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X0e29c5b15a55caebff9e288998c58e8ccc901c7" w:displacedByCustomXml="next"/>
    <w:sdt>
      <w:sdtPr>
        <w:id w:val="1419287390"/>
        <w:docPartObj>
          <w:docPartGallery w:val="Cover Pages"/>
          <w:docPartUnique/>
        </w:docPartObj>
      </w:sdtPr>
      <w:sdtEndPr>
        <w:rPr>
          <w:rFonts w:ascii="Arial" w:hAnsi="Arial" w:cs="Arial"/>
          <w:b/>
          <w:szCs w:val="22"/>
        </w:rPr>
      </w:sdtEndPr>
      <w:sdtContent>
        <w:p w14:paraId="0CBDE6B9" w14:textId="77777777" w:rsidR="00060776" w:rsidRDefault="00060776">
          <w:r>
            <w:rPr>
              <w:noProof/>
            </w:rPr>
            <mc:AlternateContent>
              <mc:Choice Requires="wpg">
                <w:drawing>
                  <wp:anchor distT="0" distB="0" distL="114300" distR="114300" simplePos="0" relativeHeight="251659264" behindDoc="1" locked="0" layoutInCell="1" allowOverlap="1" wp14:anchorId="47AEA505" wp14:editId="11FD8CD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BB09695" w14:textId="77777777" w:rsidR="00060776" w:rsidRDefault="007322AD">
                                      <w:pPr>
                                        <w:pStyle w:val="NoSpacing"/>
                                        <w:spacing w:before="120"/>
                                        <w:jc w:val="center"/>
                                        <w:rPr>
                                          <w:color w:val="FFFFFF" w:themeColor="background1"/>
                                        </w:rPr>
                                      </w:pPr>
                                      <w:r>
                                        <w:rPr>
                                          <w:color w:val="FFFFFF" w:themeColor="background1"/>
                                        </w:rPr>
                                        <w:t>MUHAMMAD JUNAID</w:t>
                                      </w:r>
                                    </w:p>
                                  </w:sdtContent>
                                </w:sdt>
                                <w:p w14:paraId="408DC42C" w14:textId="77777777" w:rsidR="00060776" w:rsidRDefault="008923D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322AD">
                                        <w:rPr>
                                          <w:caps/>
                                          <w:color w:val="FFFFFF" w:themeColor="background1"/>
                                        </w:rPr>
                                        <w:t>sTUDENT ID: 2424944</w:t>
                                      </w:r>
                                    </w:sdtContent>
                                  </w:sdt>
                                  <w:r w:rsidR="0006077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322A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8"/>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5E64546" w14:textId="77777777" w:rsidR="00060776" w:rsidRPr="007322AD" w:rsidRDefault="007322AD">
                                      <w:pPr>
                                        <w:pStyle w:val="NoSpacing"/>
                                        <w:jc w:val="center"/>
                                        <w:rPr>
                                          <w:rFonts w:asciiTheme="majorHAnsi" w:eastAsiaTheme="majorEastAsia" w:hAnsiTheme="majorHAnsi" w:cstheme="majorBidi"/>
                                          <w:caps/>
                                          <w:color w:val="156082" w:themeColor="accent1"/>
                                          <w:sz w:val="58"/>
                                          <w:szCs w:val="72"/>
                                        </w:rPr>
                                      </w:pPr>
                                      <w:r w:rsidRPr="007322AD">
                                        <w:rPr>
                                          <w:rFonts w:asciiTheme="majorHAnsi" w:eastAsiaTheme="majorEastAsia" w:hAnsiTheme="majorHAnsi" w:cstheme="majorBidi"/>
                                          <w:caps/>
                                          <w:color w:val="156082" w:themeColor="accent1"/>
                                          <w:sz w:val="58"/>
                                          <w:szCs w:val="72"/>
                                        </w:rPr>
                                        <w:t>WRITTEN ASSIGNMENT</w:t>
                                      </w:r>
                                      <w:r>
                                        <w:rPr>
                                          <w:rFonts w:asciiTheme="majorHAnsi" w:eastAsiaTheme="majorEastAsia" w:hAnsiTheme="majorHAnsi" w:cstheme="majorBidi"/>
                                          <w:caps/>
                                          <w:color w:val="156082" w:themeColor="accent1"/>
                                          <w:sz w:val="58"/>
                                          <w:szCs w:val="72"/>
                                        </w:rPr>
                                        <w:t xml:space="preserve"> REPORT MODULE CODE: BMHP5016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AEA50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">
                    <v:rect id="Rectangle 194" o:spid="_x0000_s1027" style="position:absolute;width:68580;height:1371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" fillcolor="#156082 [3204]" stroked="f" strokeweight="1pt"/>
                    <v:rect id="Rectangle 195" o:spid="_x0000_s1028" style="position:absolute;top:40943;width:68580;height:5029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BB09695" w14:textId="77777777" w:rsidR="00060776" w:rsidRDefault="007322AD">
                                <w:pPr>
                                  <w:pStyle w:val="NoSpacing"/>
                                  <w:spacing w:before="120"/>
                                  <w:jc w:val="center"/>
                                  <w:rPr>
                                    <w:color w:val="FFFFFF" w:themeColor="background1"/>
                                  </w:rPr>
                                </w:pPr>
                                <w:r>
                                  <w:rPr>
                                    <w:color w:val="FFFFFF" w:themeColor="background1"/>
                                  </w:rPr>
                                  <w:t>MUHAMMAD JUNAID</w:t>
                                </w:r>
                              </w:p>
                            </w:sdtContent>
                          </w:sdt>
                          <w:p w14:paraId="408DC42C" w14:textId="77777777" w:rsidR="00060776" w:rsidRDefault="008923D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322AD">
                                  <w:rPr>
                                    <w:caps/>
                                    <w:color w:val="FFFFFF" w:themeColor="background1"/>
                                  </w:rPr>
                                  <w:t>sTUDENT ID: 2424944</w:t>
                                </w:r>
                              </w:sdtContent>
                            </w:sdt>
                            <w:r w:rsidR="0006077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322A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" fillcolor="white [3212]" stroked="f" strokeweight=".5pt">
                      <v:textbox inset="36pt,7.2pt,36pt,7.2pt">
                        <w:txbxContent>
                          <w:sdt>
                            <w:sdtPr>
                              <w:rPr>
                                <w:rFonts w:asciiTheme="majorHAnsi" w:eastAsiaTheme="majorEastAsia" w:hAnsiTheme="majorHAnsi" w:cstheme="majorBidi"/>
                                <w:caps/>
                                <w:color w:val="156082" w:themeColor="accent1"/>
                                <w:sz w:val="58"/>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5E64546" w14:textId="77777777" w:rsidR="00060776" w:rsidRPr="007322AD" w:rsidRDefault="007322AD">
                                <w:pPr>
                                  <w:pStyle w:val="NoSpacing"/>
                                  <w:jc w:val="center"/>
                                  <w:rPr>
                                    <w:rFonts w:asciiTheme="majorHAnsi" w:eastAsiaTheme="majorEastAsia" w:hAnsiTheme="majorHAnsi" w:cstheme="majorBidi"/>
                                    <w:caps/>
                                    <w:color w:val="156082" w:themeColor="accent1"/>
                                    <w:sz w:val="58"/>
                                    <w:szCs w:val="72"/>
                                  </w:rPr>
                                </w:pPr>
                                <w:r w:rsidRPr="007322AD">
                                  <w:rPr>
                                    <w:rFonts w:asciiTheme="majorHAnsi" w:eastAsiaTheme="majorEastAsia" w:hAnsiTheme="majorHAnsi" w:cstheme="majorBidi"/>
                                    <w:caps/>
                                    <w:color w:val="156082" w:themeColor="accent1"/>
                                    <w:sz w:val="58"/>
                                    <w:szCs w:val="72"/>
                                  </w:rPr>
                                  <w:t>WRITTEN ASSIGNMENT</w:t>
                                </w:r>
                                <w:r>
                                  <w:rPr>
                                    <w:rFonts w:asciiTheme="majorHAnsi" w:eastAsiaTheme="majorEastAsia" w:hAnsiTheme="majorHAnsi" w:cstheme="majorBidi"/>
                                    <w:caps/>
                                    <w:color w:val="156082" w:themeColor="accent1"/>
                                    <w:sz w:val="58"/>
                                    <w:szCs w:val="72"/>
                                  </w:rPr>
                                  <w:t xml:space="preserve"> REPORT MODULE CODE: BMHP5016</w:t>
                                </w:r>
                              </w:p>
                            </w:sdtContent>
                          </w:sdt>
                        </w:txbxContent>
                      </v:textbox>
                    </v:shape>
                    <w10:wrap anchorx="page" anchory="page"/>
                  </v:group>
                </w:pict>
              </mc:Fallback>
            </mc:AlternateContent>
          </w:r>
        </w:p>
        <w:p w14:paraId="6C48F1FD" w14:textId="77777777" w:rsidR="00060776" w:rsidRDefault="00060776">
          <w:pPr>
            <w:rPr>
              <w:rFonts w:ascii="Arial" w:hAnsi="Arial" w:cs="Arial"/>
              <w:b/>
              <w:szCs w:val="22"/>
            </w:rPr>
          </w:pPr>
          <w:r>
            <w:rPr>
              <w:rFonts w:ascii="Arial" w:hAnsi="Arial" w:cs="Arial"/>
              <w:b/>
              <w:szCs w:val="22"/>
            </w:rPr>
            <w:br w:type="page"/>
          </w:r>
        </w:p>
      </w:sdtContent>
    </w:sdt>
    <w:p w14:paraId="45786C3F" w14:textId="77777777" w:rsidR="007D121E" w:rsidRPr="001F7057" w:rsidRDefault="007D121E" w:rsidP="001F7057">
      <w:pPr>
        <w:jc w:val="center"/>
        <w:rPr>
          <w:rFonts w:ascii="Arial" w:hAnsi="Arial" w:cs="Arial"/>
          <w:sz w:val="28"/>
          <w:szCs w:val="22"/>
          <w:u w:val="single"/>
        </w:rPr>
      </w:pPr>
      <w:r w:rsidRPr="001F7057">
        <w:rPr>
          <w:rFonts w:ascii="Arial" w:hAnsi="Arial" w:cs="Arial"/>
          <w:sz w:val="28"/>
          <w:szCs w:val="22"/>
          <w:u w:val="single"/>
        </w:rPr>
        <w:t>TABLE OF CONTENTS</w:t>
      </w:r>
    </w:p>
    <w:p w14:paraId="37DD97F6" w14:textId="77777777" w:rsidR="007D121E" w:rsidRDefault="007D121E">
      <w:pPr>
        <w:rPr>
          <w:rFonts w:ascii="Arial" w:hAnsi="Arial" w:cs="Arial"/>
          <w:b/>
          <w:szCs w:val="22"/>
        </w:rPr>
      </w:pPr>
    </w:p>
    <w:tbl>
      <w:tblPr>
        <w:tblStyle w:val="TableGrid"/>
        <w:tblW w:w="0" w:type="auto"/>
        <w:tblLook w:val="04A0" w:firstRow="1" w:lastRow="0" w:firstColumn="1" w:lastColumn="0" w:noHBand="0" w:noVBand="1"/>
      </w:tblPr>
      <w:tblGrid>
        <w:gridCol w:w="793"/>
        <w:gridCol w:w="7212"/>
        <w:gridCol w:w="1238"/>
      </w:tblGrid>
      <w:tr w:rsidR="007D121E" w14:paraId="7625A16A" w14:textId="77777777" w:rsidTr="001F7057">
        <w:trPr>
          <w:trHeight w:val="796"/>
        </w:trPr>
        <w:tc>
          <w:tcPr>
            <w:tcW w:w="793" w:type="dxa"/>
            <w:vAlign w:val="center"/>
          </w:tcPr>
          <w:p w14:paraId="4B1B817F" w14:textId="77777777" w:rsidR="007D121E" w:rsidRDefault="001F7057">
            <w:pPr>
              <w:rPr>
                <w:rFonts w:ascii="Arial" w:hAnsi="Arial" w:cs="Arial"/>
                <w:b/>
                <w:szCs w:val="22"/>
              </w:rPr>
            </w:pPr>
            <w:r>
              <w:rPr>
                <w:rFonts w:ascii="Arial" w:hAnsi="Arial" w:cs="Arial"/>
                <w:b/>
                <w:szCs w:val="22"/>
              </w:rPr>
              <w:t>S.No</w:t>
            </w:r>
          </w:p>
        </w:tc>
        <w:tc>
          <w:tcPr>
            <w:tcW w:w="7212" w:type="dxa"/>
            <w:vAlign w:val="center"/>
          </w:tcPr>
          <w:p w14:paraId="7943C9C3" w14:textId="77777777" w:rsidR="007D121E" w:rsidRDefault="001F7057" w:rsidP="001F7057">
            <w:pPr>
              <w:jc w:val="center"/>
              <w:rPr>
                <w:rFonts w:ascii="Arial" w:hAnsi="Arial" w:cs="Arial"/>
                <w:b/>
                <w:szCs w:val="22"/>
              </w:rPr>
            </w:pPr>
            <w:r>
              <w:rPr>
                <w:rFonts w:ascii="Arial" w:hAnsi="Arial" w:cs="Arial"/>
                <w:b/>
                <w:szCs w:val="22"/>
              </w:rPr>
              <w:t>Topics</w:t>
            </w:r>
          </w:p>
        </w:tc>
        <w:tc>
          <w:tcPr>
            <w:tcW w:w="1238" w:type="dxa"/>
            <w:vAlign w:val="center"/>
          </w:tcPr>
          <w:p w14:paraId="38A03BDF" w14:textId="77777777" w:rsidR="007D121E" w:rsidRDefault="001F7057">
            <w:pPr>
              <w:rPr>
                <w:rFonts w:ascii="Arial" w:hAnsi="Arial" w:cs="Arial"/>
                <w:b/>
                <w:szCs w:val="22"/>
              </w:rPr>
            </w:pPr>
            <w:r>
              <w:rPr>
                <w:rFonts w:ascii="Arial" w:hAnsi="Arial" w:cs="Arial"/>
                <w:b/>
                <w:szCs w:val="22"/>
              </w:rPr>
              <w:t>Page No</w:t>
            </w:r>
          </w:p>
        </w:tc>
      </w:tr>
      <w:tr w:rsidR="007D121E" w14:paraId="3A29E4E7" w14:textId="77777777" w:rsidTr="001F7057">
        <w:trPr>
          <w:trHeight w:val="796"/>
        </w:trPr>
        <w:tc>
          <w:tcPr>
            <w:tcW w:w="793" w:type="dxa"/>
            <w:vAlign w:val="center"/>
          </w:tcPr>
          <w:p w14:paraId="1CAE63AF" w14:textId="77777777" w:rsidR="007D121E" w:rsidRPr="007D121E" w:rsidRDefault="007D121E" w:rsidP="001F7057">
            <w:pPr>
              <w:jc w:val="center"/>
              <w:rPr>
                <w:rFonts w:ascii="Arial" w:hAnsi="Arial" w:cs="Arial"/>
                <w:szCs w:val="22"/>
              </w:rPr>
            </w:pPr>
            <w:r w:rsidRPr="007D121E">
              <w:rPr>
                <w:rFonts w:ascii="Arial" w:hAnsi="Arial" w:cs="Arial"/>
                <w:szCs w:val="22"/>
              </w:rPr>
              <w:t>1</w:t>
            </w:r>
          </w:p>
        </w:tc>
        <w:tc>
          <w:tcPr>
            <w:tcW w:w="7212" w:type="dxa"/>
            <w:vAlign w:val="center"/>
          </w:tcPr>
          <w:p w14:paraId="6932F3EF" w14:textId="77777777" w:rsidR="007D121E" w:rsidRPr="007D121E" w:rsidRDefault="007D121E" w:rsidP="001F7057">
            <w:pPr>
              <w:rPr>
                <w:rFonts w:ascii="Arial" w:hAnsi="Arial" w:cs="Arial"/>
                <w:szCs w:val="22"/>
              </w:rPr>
            </w:pPr>
            <w:r w:rsidRPr="007D121E">
              <w:rPr>
                <w:rFonts w:ascii="Arial" w:hAnsi="Arial" w:cs="Arial"/>
                <w:szCs w:val="22"/>
              </w:rPr>
              <w:t>Introduction</w:t>
            </w:r>
          </w:p>
        </w:tc>
        <w:tc>
          <w:tcPr>
            <w:tcW w:w="1238" w:type="dxa"/>
            <w:vAlign w:val="center"/>
          </w:tcPr>
          <w:p w14:paraId="62C4FCFA" w14:textId="77777777" w:rsidR="007D121E" w:rsidRPr="007D121E" w:rsidRDefault="007D121E" w:rsidP="001F7057">
            <w:pPr>
              <w:jc w:val="center"/>
              <w:rPr>
                <w:rFonts w:ascii="Arial" w:hAnsi="Arial" w:cs="Arial"/>
                <w:szCs w:val="22"/>
              </w:rPr>
            </w:pPr>
            <w:r w:rsidRPr="007D121E">
              <w:rPr>
                <w:rFonts w:ascii="Arial" w:hAnsi="Arial" w:cs="Arial"/>
                <w:szCs w:val="22"/>
              </w:rPr>
              <w:t>2</w:t>
            </w:r>
          </w:p>
        </w:tc>
      </w:tr>
      <w:tr w:rsidR="007D121E" w14:paraId="0F08DE22" w14:textId="77777777" w:rsidTr="001F7057">
        <w:trPr>
          <w:trHeight w:val="796"/>
        </w:trPr>
        <w:tc>
          <w:tcPr>
            <w:tcW w:w="793" w:type="dxa"/>
            <w:vAlign w:val="center"/>
          </w:tcPr>
          <w:p w14:paraId="743F42D6" w14:textId="77777777" w:rsidR="007D121E" w:rsidRPr="007D121E" w:rsidRDefault="007D121E" w:rsidP="001F7057">
            <w:pPr>
              <w:jc w:val="center"/>
              <w:rPr>
                <w:rFonts w:ascii="Arial" w:hAnsi="Arial" w:cs="Arial"/>
                <w:szCs w:val="22"/>
              </w:rPr>
            </w:pPr>
            <w:r w:rsidRPr="007D121E">
              <w:rPr>
                <w:rFonts w:ascii="Arial" w:hAnsi="Arial" w:cs="Arial"/>
                <w:szCs w:val="22"/>
              </w:rPr>
              <w:t>2</w:t>
            </w:r>
          </w:p>
        </w:tc>
        <w:tc>
          <w:tcPr>
            <w:tcW w:w="7212" w:type="dxa"/>
            <w:vAlign w:val="center"/>
          </w:tcPr>
          <w:p w14:paraId="39F4128A" w14:textId="77777777" w:rsidR="007D121E" w:rsidRPr="007D121E" w:rsidRDefault="007D121E" w:rsidP="001F7057">
            <w:pPr>
              <w:rPr>
                <w:rFonts w:ascii="Arial" w:hAnsi="Arial" w:cs="Arial"/>
                <w:szCs w:val="22"/>
              </w:rPr>
            </w:pPr>
            <w:r w:rsidRPr="007D121E">
              <w:rPr>
                <w:rFonts w:ascii="Arial" w:hAnsi="Arial" w:cs="Arial"/>
                <w:szCs w:val="22"/>
              </w:rPr>
              <w:t>Person-Centred Care: Definition, Benefits, and Limitations</w:t>
            </w:r>
          </w:p>
        </w:tc>
        <w:tc>
          <w:tcPr>
            <w:tcW w:w="1238" w:type="dxa"/>
            <w:vAlign w:val="center"/>
          </w:tcPr>
          <w:p w14:paraId="63780947" w14:textId="77777777" w:rsidR="007D121E" w:rsidRPr="007D121E" w:rsidRDefault="007D121E" w:rsidP="001F7057">
            <w:pPr>
              <w:jc w:val="center"/>
              <w:rPr>
                <w:rFonts w:ascii="Arial" w:hAnsi="Arial" w:cs="Arial"/>
                <w:szCs w:val="22"/>
              </w:rPr>
            </w:pPr>
            <w:r w:rsidRPr="007D121E">
              <w:rPr>
                <w:rFonts w:ascii="Arial" w:hAnsi="Arial" w:cs="Arial"/>
                <w:szCs w:val="22"/>
              </w:rPr>
              <w:t>2</w:t>
            </w:r>
          </w:p>
        </w:tc>
      </w:tr>
      <w:tr w:rsidR="007D121E" w14:paraId="429F2361" w14:textId="77777777" w:rsidTr="001F7057">
        <w:trPr>
          <w:trHeight w:val="796"/>
        </w:trPr>
        <w:tc>
          <w:tcPr>
            <w:tcW w:w="793" w:type="dxa"/>
            <w:vAlign w:val="center"/>
          </w:tcPr>
          <w:p w14:paraId="623E830F" w14:textId="77777777" w:rsidR="007D121E" w:rsidRPr="007D121E" w:rsidRDefault="007D121E" w:rsidP="001F7057">
            <w:pPr>
              <w:jc w:val="center"/>
              <w:rPr>
                <w:rFonts w:ascii="Arial" w:hAnsi="Arial" w:cs="Arial"/>
                <w:szCs w:val="22"/>
              </w:rPr>
            </w:pPr>
            <w:r w:rsidRPr="007D121E">
              <w:rPr>
                <w:rFonts w:ascii="Arial" w:hAnsi="Arial" w:cs="Arial"/>
                <w:szCs w:val="22"/>
              </w:rPr>
              <w:t>3</w:t>
            </w:r>
          </w:p>
        </w:tc>
        <w:tc>
          <w:tcPr>
            <w:tcW w:w="7212" w:type="dxa"/>
            <w:vAlign w:val="center"/>
          </w:tcPr>
          <w:p w14:paraId="1336C5F2" w14:textId="77777777" w:rsidR="007D121E" w:rsidRPr="007D121E" w:rsidRDefault="007D121E" w:rsidP="001F7057">
            <w:pPr>
              <w:rPr>
                <w:rFonts w:ascii="Arial" w:hAnsi="Arial" w:cs="Arial"/>
                <w:szCs w:val="22"/>
              </w:rPr>
            </w:pPr>
            <w:r w:rsidRPr="007D121E">
              <w:rPr>
                <w:rFonts w:ascii="Arial" w:hAnsi="Arial" w:cs="Arial"/>
                <w:szCs w:val="22"/>
              </w:rPr>
              <w:t xml:space="preserve">Theoretical Model Underpinning Person-Centred Care </w:t>
            </w:r>
          </w:p>
        </w:tc>
        <w:tc>
          <w:tcPr>
            <w:tcW w:w="1238" w:type="dxa"/>
            <w:vAlign w:val="center"/>
          </w:tcPr>
          <w:p w14:paraId="3754932E" w14:textId="77777777" w:rsidR="007D121E" w:rsidRPr="007D121E" w:rsidRDefault="007D121E" w:rsidP="001F7057">
            <w:pPr>
              <w:jc w:val="center"/>
              <w:rPr>
                <w:rFonts w:ascii="Arial" w:hAnsi="Arial" w:cs="Arial"/>
                <w:szCs w:val="22"/>
              </w:rPr>
            </w:pPr>
            <w:r w:rsidRPr="007D121E">
              <w:rPr>
                <w:rFonts w:ascii="Arial" w:hAnsi="Arial" w:cs="Arial"/>
                <w:szCs w:val="22"/>
              </w:rPr>
              <w:t>3</w:t>
            </w:r>
          </w:p>
        </w:tc>
      </w:tr>
      <w:tr w:rsidR="007D121E" w14:paraId="7C454C1B" w14:textId="77777777" w:rsidTr="001F7057">
        <w:trPr>
          <w:trHeight w:val="796"/>
        </w:trPr>
        <w:tc>
          <w:tcPr>
            <w:tcW w:w="793" w:type="dxa"/>
            <w:vAlign w:val="center"/>
          </w:tcPr>
          <w:p w14:paraId="6E1D07A4" w14:textId="77777777" w:rsidR="007D121E" w:rsidRPr="007D121E" w:rsidRDefault="007D121E" w:rsidP="001F7057">
            <w:pPr>
              <w:jc w:val="center"/>
              <w:rPr>
                <w:rFonts w:ascii="Arial" w:hAnsi="Arial" w:cs="Arial"/>
                <w:szCs w:val="22"/>
              </w:rPr>
            </w:pPr>
            <w:r w:rsidRPr="007D121E">
              <w:rPr>
                <w:rFonts w:ascii="Arial" w:hAnsi="Arial" w:cs="Arial"/>
                <w:szCs w:val="22"/>
              </w:rPr>
              <w:t>4</w:t>
            </w:r>
          </w:p>
        </w:tc>
        <w:tc>
          <w:tcPr>
            <w:tcW w:w="7212" w:type="dxa"/>
            <w:vAlign w:val="center"/>
          </w:tcPr>
          <w:p w14:paraId="6ABB22C0" w14:textId="77777777" w:rsidR="007D121E" w:rsidRPr="007D121E" w:rsidRDefault="007D121E" w:rsidP="001F7057">
            <w:pPr>
              <w:rPr>
                <w:rFonts w:ascii="Arial" w:hAnsi="Arial" w:cs="Arial"/>
                <w:szCs w:val="22"/>
              </w:rPr>
            </w:pPr>
            <w:r w:rsidRPr="007D121E">
              <w:rPr>
                <w:rFonts w:ascii="Arial" w:hAnsi="Arial" w:cs="Arial"/>
                <w:szCs w:val="22"/>
              </w:rPr>
              <w:t>Ethical Fundamentals of Health and Social Care</w:t>
            </w:r>
          </w:p>
        </w:tc>
        <w:tc>
          <w:tcPr>
            <w:tcW w:w="1238" w:type="dxa"/>
            <w:vAlign w:val="center"/>
          </w:tcPr>
          <w:p w14:paraId="2831097A" w14:textId="77777777" w:rsidR="007D121E" w:rsidRPr="007D121E" w:rsidRDefault="007D121E" w:rsidP="001F7057">
            <w:pPr>
              <w:jc w:val="center"/>
              <w:rPr>
                <w:rFonts w:ascii="Arial" w:hAnsi="Arial" w:cs="Arial"/>
                <w:szCs w:val="22"/>
              </w:rPr>
            </w:pPr>
            <w:r w:rsidRPr="007D121E">
              <w:rPr>
                <w:rFonts w:ascii="Arial" w:hAnsi="Arial" w:cs="Arial"/>
                <w:szCs w:val="22"/>
              </w:rPr>
              <w:t>4</w:t>
            </w:r>
          </w:p>
        </w:tc>
      </w:tr>
      <w:tr w:rsidR="007D121E" w14:paraId="6895BBDA" w14:textId="77777777" w:rsidTr="001F7057">
        <w:trPr>
          <w:trHeight w:val="796"/>
        </w:trPr>
        <w:tc>
          <w:tcPr>
            <w:tcW w:w="793" w:type="dxa"/>
            <w:vAlign w:val="center"/>
          </w:tcPr>
          <w:p w14:paraId="0985B042" w14:textId="77777777" w:rsidR="007D121E" w:rsidRPr="007D121E" w:rsidRDefault="007D121E" w:rsidP="001F7057">
            <w:pPr>
              <w:jc w:val="center"/>
              <w:rPr>
                <w:rFonts w:ascii="Arial" w:hAnsi="Arial" w:cs="Arial"/>
                <w:szCs w:val="22"/>
              </w:rPr>
            </w:pPr>
            <w:r w:rsidRPr="007D121E">
              <w:rPr>
                <w:rFonts w:ascii="Arial" w:hAnsi="Arial" w:cs="Arial"/>
                <w:szCs w:val="22"/>
              </w:rPr>
              <w:t>5</w:t>
            </w:r>
          </w:p>
        </w:tc>
        <w:tc>
          <w:tcPr>
            <w:tcW w:w="7212" w:type="dxa"/>
            <w:vAlign w:val="center"/>
          </w:tcPr>
          <w:p w14:paraId="68C77E9C" w14:textId="77777777" w:rsidR="007D121E" w:rsidRPr="007D121E" w:rsidRDefault="007D121E" w:rsidP="001F7057">
            <w:pPr>
              <w:rPr>
                <w:rFonts w:ascii="Arial" w:hAnsi="Arial" w:cs="Arial"/>
                <w:szCs w:val="22"/>
              </w:rPr>
            </w:pPr>
            <w:r w:rsidRPr="007D121E">
              <w:rPr>
                <w:rFonts w:ascii="Arial" w:hAnsi="Arial" w:cs="Arial"/>
                <w:szCs w:val="22"/>
              </w:rPr>
              <w:t>Partnership Working in Health and Social Care</w:t>
            </w:r>
          </w:p>
        </w:tc>
        <w:tc>
          <w:tcPr>
            <w:tcW w:w="1238" w:type="dxa"/>
            <w:vAlign w:val="center"/>
          </w:tcPr>
          <w:p w14:paraId="48510E13" w14:textId="77777777" w:rsidR="007D121E" w:rsidRPr="007D121E" w:rsidRDefault="007D121E" w:rsidP="001F7057">
            <w:pPr>
              <w:jc w:val="center"/>
              <w:rPr>
                <w:rFonts w:ascii="Arial" w:hAnsi="Arial" w:cs="Arial"/>
                <w:szCs w:val="22"/>
              </w:rPr>
            </w:pPr>
            <w:r w:rsidRPr="007D121E">
              <w:rPr>
                <w:rFonts w:ascii="Arial" w:hAnsi="Arial" w:cs="Arial"/>
                <w:szCs w:val="22"/>
              </w:rPr>
              <w:t>5</w:t>
            </w:r>
          </w:p>
        </w:tc>
      </w:tr>
      <w:tr w:rsidR="007D121E" w14:paraId="1910F05A" w14:textId="77777777" w:rsidTr="001F7057">
        <w:trPr>
          <w:trHeight w:val="796"/>
        </w:trPr>
        <w:tc>
          <w:tcPr>
            <w:tcW w:w="793" w:type="dxa"/>
            <w:vAlign w:val="center"/>
          </w:tcPr>
          <w:p w14:paraId="535488F0" w14:textId="77777777" w:rsidR="007D121E" w:rsidRPr="007D121E" w:rsidRDefault="007D121E" w:rsidP="001F7057">
            <w:pPr>
              <w:jc w:val="center"/>
              <w:rPr>
                <w:rFonts w:ascii="Arial" w:hAnsi="Arial" w:cs="Arial"/>
                <w:szCs w:val="22"/>
              </w:rPr>
            </w:pPr>
            <w:r w:rsidRPr="007D121E">
              <w:rPr>
                <w:rFonts w:ascii="Arial" w:hAnsi="Arial" w:cs="Arial"/>
                <w:szCs w:val="22"/>
              </w:rPr>
              <w:t>6</w:t>
            </w:r>
          </w:p>
        </w:tc>
        <w:tc>
          <w:tcPr>
            <w:tcW w:w="7212" w:type="dxa"/>
            <w:vAlign w:val="center"/>
          </w:tcPr>
          <w:p w14:paraId="6D164ADB" w14:textId="77777777" w:rsidR="007D121E" w:rsidRPr="007D121E" w:rsidRDefault="007D121E" w:rsidP="001F7057">
            <w:pPr>
              <w:rPr>
                <w:rFonts w:ascii="Arial" w:hAnsi="Arial" w:cs="Arial"/>
                <w:szCs w:val="22"/>
              </w:rPr>
            </w:pPr>
            <w:r w:rsidRPr="007D121E">
              <w:rPr>
                <w:rFonts w:ascii="Arial" w:hAnsi="Arial" w:cs="Arial"/>
                <w:szCs w:val="22"/>
              </w:rPr>
              <w:t>Application of Partnership Working in Adult Social Care</w:t>
            </w:r>
          </w:p>
        </w:tc>
        <w:tc>
          <w:tcPr>
            <w:tcW w:w="1238" w:type="dxa"/>
            <w:vAlign w:val="center"/>
          </w:tcPr>
          <w:p w14:paraId="0B42B470" w14:textId="77777777" w:rsidR="007D121E" w:rsidRPr="007D121E" w:rsidRDefault="007D121E" w:rsidP="001F7057">
            <w:pPr>
              <w:jc w:val="center"/>
              <w:rPr>
                <w:rFonts w:ascii="Arial" w:hAnsi="Arial" w:cs="Arial"/>
                <w:szCs w:val="22"/>
              </w:rPr>
            </w:pPr>
            <w:r w:rsidRPr="007D121E">
              <w:rPr>
                <w:rFonts w:ascii="Arial" w:hAnsi="Arial" w:cs="Arial"/>
                <w:szCs w:val="22"/>
              </w:rPr>
              <w:t>5</w:t>
            </w:r>
          </w:p>
        </w:tc>
      </w:tr>
      <w:tr w:rsidR="007D121E" w14:paraId="0341EEB2" w14:textId="77777777" w:rsidTr="001F7057">
        <w:trPr>
          <w:trHeight w:val="1637"/>
        </w:trPr>
        <w:tc>
          <w:tcPr>
            <w:tcW w:w="793" w:type="dxa"/>
            <w:vAlign w:val="center"/>
          </w:tcPr>
          <w:p w14:paraId="39E160FF" w14:textId="77777777" w:rsidR="007D121E" w:rsidRPr="007D121E" w:rsidRDefault="007D121E" w:rsidP="001F7057">
            <w:pPr>
              <w:jc w:val="center"/>
              <w:rPr>
                <w:rFonts w:ascii="Arial" w:hAnsi="Arial" w:cs="Arial"/>
                <w:szCs w:val="22"/>
              </w:rPr>
            </w:pPr>
            <w:r w:rsidRPr="007D121E">
              <w:rPr>
                <w:rFonts w:ascii="Arial" w:hAnsi="Arial" w:cs="Arial"/>
                <w:szCs w:val="22"/>
              </w:rPr>
              <w:t>7</w:t>
            </w:r>
          </w:p>
        </w:tc>
        <w:tc>
          <w:tcPr>
            <w:tcW w:w="7212" w:type="dxa"/>
            <w:vAlign w:val="center"/>
          </w:tcPr>
          <w:p w14:paraId="1652E83D" w14:textId="77777777" w:rsidR="007D121E" w:rsidRPr="007D121E" w:rsidRDefault="007D121E" w:rsidP="001F7057">
            <w:pPr>
              <w:rPr>
                <w:rFonts w:ascii="Arial" w:hAnsi="Arial" w:cs="Arial"/>
                <w:szCs w:val="22"/>
              </w:rPr>
            </w:pPr>
            <w:r w:rsidRPr="007D121E">
              <w:rPr>
                <w:rFonts w:ascii="Arial" w:hAnsi="Arial" w:cs="Arial"/>
                <w:szCs w:val="22"/>
              </w:rPr>
              <w:t>Policy and Legislation Related to Person-Centred Care and Partnership Working</w:t>
            </w:r>
          </w:p>
        </w:tc>
        <w:tc>
          <w:tcPr>
            <w:tcW w:w="1238" w:type="dxa"/>
            <w:vAlign w:val="center"/>
          </w:tcPr>
          <w:p w14:paraId="05A41839" w14:textId="77777777" w:rsidR="007D121E" w:rsidRPr="007D121E" w:rsidRDefault="007D121E" w:rsidP="001F7057">
            <w:pPr>
              <w:jc w:val="center"/>
              <w:rPr>
                <w:rFonts w:ascii="Arial" w:hAnsi="Arial" w:cs="Arial"/>
                <w:szCs w:val="22"/>
              </w:rPr>
            </w:pPr>
            <w:r w:rsidRPr="007D121E">
              <w:rPr>
                <w:rFonts w:ascii="Arial" w:hAnsi="Arial" w:cs="Arial"/>
                <w:szCs w:val="22"/>
              </w:rPr>
              <w:t>6</w:t>
            </w:r>
          </w:p>
        </w:tc>
      </w:tr>
      <w:tr w:rsidR="007D121E" w14:paraId="05398B78" w14:textId="77777777" w:rsidTr="001F7057">
        <w:trPr>
          <w:trHeight w:val="1593"/>
        </w:trPr>
        <w:tc>
          <w:tcPr>
            <w:tcW w:w="793" w:type="dxa"/>
            <w:vAlign w:val="center"/>
          </w:tcPr>
          <w:p w14:paraId="136EC7AF" w14:textId="77777777" w:rsidR="007D121E" w:rsidRPr="007D121E" w:rsidRDefault="007D121E" w:rsidP="001F7057">
            <w:pPr>
              <w:jc w:val="center"/>
              <w:rPr>
                <w:rFonts w:ascii="Arial" w:hAnsi="Arial" w:cs="Arial"/>
                <w:szCs w:val="22"/>
              </w:rPr>
            </w:pPr>
            <w:r w:rsidRPr="007D121E">
              <w:rPr>
                <w:rFonts w:ascii="Arial" w:hAnsi="Arial" w:cs="Arial"/>
                <w:szCs w:val="22"/>
              </w:rPr>
              <w:t>8</w:t>
            </w:r>
          </w:p>
        </w:tc>
        <w:tc>
          <w:tcPr>
            <w:tcW w:w="7212" w:type="dxa"/>
            <w:vAlign w:val="center"/>
          </w:tcPr>
          <w:p w14:paraId="1BEF2DB7" w14:textId="77777777" w:rsidR="007D121E" w:rsidRPr="007D121E" w:rsidRDefault="007D121E" w:rsidP="001F7057">
            <w:pPr>
              <w:rPr>
                <w:rFonts w:ascii="Arial" w:hAnsi="Arial" w:cs="Arial"/>
                <w:szCs w:val="22"/>
              </w:rPr>
            </w:pPr>
            <w:r w:rsidRPr="007D121E">
              <w:rPr>
                <w:rFonts w:ascii="Arial" w:hAnsi="Arial" w:cs="Arial"/>
                <w:szCs w:val="22"/>
              </w:rPr>
              <w:t>Recommendations for Future Development of Person-Centred Care and Partnership Working</w:t>
            </w:r>
          </w:p>
        </w:tc>
        <w:tc>
          <w:tcPr>
            <w:tcW w:w="1238" w:type="dxa"/>
            <w:vAlign w:val="center"/>
          </w:tcPr>
          <w:p w14:paraId="41B9853F" w14:textId="77777777" w:rsidR="007D121E" w:rsidRPr="007D121E" w:rsidRDefault="007D121E" w:rsidP="001F7057">
            <w:pPr>
              <w:jc w:val="center"/>
              <w:rPr>
                <w:rFonts w:ascii="Arial" w:hAnsi="Arial" w:cs="Arial"/>
                <w:szCs w:val="22"/>
              </w:rPr>
            </w:pPr>
            <w:r w:rsidRPr="007D121E">
              <w:rPr>
                <w:rFonts w:ascii="Arial" w:hAnsi="Arial" w:cs="Arial"/>
                <w:szCs w:val="22"/>
              </w:rPr>
              <w:t>6</w:t>
            </w:r>
          </w:p>
        </w:tc>
      </w:tr>
      <w:tr w:rsidR="007D121E" w14:paraId="37EDB87A" w14:textId="77777777" w:rsidTr="001F7057">
        <w:trPr>
          <w:trHeight w:val="796"/>
        </w:trPr>
        <w:tc>
          <w:tcPr>
            <w:tcW w:w="793" w:type="dxa"/>
            <w:vAlign w:val="center"/>
          </w:tcPr>
          <w:p w14:paraId="0BA83C4F" w14:textId="77777777" w:rsidR="007D121E" w:rsidRPr="007D121E" w:rsidRDefault="007D121E" w:rsidP="001F7057">
            <w:pPr>
              <w:jc w:val="center"/>
              <w:rPr>
                <w:rFonts w:ascii="Arial" w:hAnsi="Arial" w:cs="Arial"/>
                <w:szCs w:val="22"/>
              </w:rPr>
            </w:pPr>
            <w:r w:rsidRPr="007D121E">
              <w:rPr>
                <w:rFonts w:ascii="Arial" w:hAnsi="Arial" w:cs="Arial"/>
                <w:szCs w:val="22"/>
              </w:rPr>
              <w:t>9</w:t>
            </w:r>
          </w:p>
        </w:tc>
        <w:tc>
          <w:tcPr>
            <w:tcW w:w="7212" w:type="dxa"/>
            <w:vAlign w:val="center"/>
          </w:tcPr>
          <w:p w14:paraId="501E61A3" w14:textId="77777777" w:rsidR="007D121E" w:rsidRPr="007D121E" w:rsidRDefault="007D121E" w:rsidP="001F7057">
            <w:pPr>
              <w:rPr>
                <w:rFonts w:ascii="Arial" w:hAnsi="Arial" w:cs="Arial"/>
                <w:szCs w:val="22"/>
              </w:rPr>
            </w:pPr>
            <w:r w:rsidRPr="007D121E">
              <w:rPr>
                <w:rFonts w:ascii="Arial" w:hAnsi="Arial" w:cs="Arial"/>
                <w:szCs w:val="22"/>
              </w:rPr>
              <w:t>Conclusion</w:t>
            </w:r>
          </w:p>
        </w:tc>
        <w:tc>
          <w:tcPr>
            <w:tcW w:w="1238" w:type="dxa"/>
            <w:vAlign w:val="center"/>
          </w:tcPr>
          <w:p w14:paraId="38949A3C" w14:textId="77777777" w:rsidR="007D121E" w:rsidRPr="007D121E" w:rsidRDefault="007D121E" w:rsidP="001F7057">
            <w:pPr>
              <w:jc w:val="center"/>
              <w:rPr>
                <w:rFonts w:ascii="Arial" w:hAnsi="Arial" w:cs="Arial"/>
                <w:szCs w:val="22"/>
              </w:rPr>
            </w:pPr>
            <w:r w:rsidRPr="007D121E">
              <w:rPr>
                <w:rFonts w:ascii="Arial" w:hAnsi="Arial" w:cs="Arial"/>
                <w:szCs w:val="22"/>
              </w:rPr>
              <w:t>7</w:t>
            </w:r>
          </w:p>
        </w:tc>
      </w:tr>
      <w:tr w:rsidR="007D121E" w14:paraId="5595DA45" w14:textId="77777777" w:rsidTr="001F7057">
        <w:trPr>
          <w:trHeight w:val="796"/>
        </w:trPr>
        <w:tc>
          <w:tcPr>
            <w:tcW w:w="793" w:type="dxa"/>
            <w:vAlign w:val="center"/>
          </w:tcPr>
          <w:p w14:paraId="35CB0181" w14:textId="77777777" w:rsidR="007D121E" w:rsidRPr="007D121E" w:rsidRDefault="007D121E" w:rsidP="001F7057">
            <w:pPr>
              <w:jc w:val="center"/>
              <w:rPr>
                <w:rFonts w:ascii="Arial" w:hAnsi="Arial" w:cs="Arial"/>
                <w:szCs w:val="22"/>
              </w:rPr>
            </w:pPr>
            <w:r w:rsidRPr="007D121E">
              <w:rPr>
                <w:rFonts w:ascii="Arial" w:hAnsi="Arial" w:cs="Arial"/>
                <w:szCs w:val="22"/>
              </w:rPr>
              <w:t>10</w:t>
            </w:r>
          </w:p>
        </w:tc>
        <w:tc>
          <w:tcPr>
            <w:tcW w:w="7212" w:type="dxa"/>
            <w:vAlign w:val="center"/>
          </w:tcPr>
          <w:p w14:paraId="48057BE4" w14:textId="77777777" w:rsidR="007D121E" w:rsidRPr="007D121E" w:rsidRDefault="007D121E" w:rsidP="001F7057">
            <w:pPr>
              <w:rPr>
                <w:rFonts w:ascii="Arial" w:hAnsi="Arial" w:cs="Arial"/>
                <w:szCs w:val="22"/>
              </w:rPr>
            </w:pPr>
            <w:r w:rsidRPr="007D121E">
              <w:rPr>
                <w:rFonts w:ascii="Arial" w:hAnsi="Arial" w:cs="Arial"/>
                <w:szCs w:val="22"/>
              </w:rPr>
              <w:t>References</w:t>
            </w:r>
          </w:p>
        </w:tc>
        <w:tc>
          <w:tcPr>
            <w:tcW w:w="1238" w:type="dxa"/>
            <w:vAlign w:val="center"/>
          </w:tcPr>
          <w:p w14:paraId="156EC55A" w14:textId="77777777" w:rsidR="007D121E" w:rsidRPr="007D121E" w:rsidRDefault="007D121E" w:rsidP="001F7057">
            <w:pPr>
              <w:jc w:val="center"/>
              <w:rPr>
                <w:rFonts w:ascii="Arial" w:hAnsi="Arial" w:cs="Arial"/>
                <w:szCs w:val="22"/>
              </w:rPr>
            </w:pPr>
            <w:r w:rsidRPr="007D121E">
              <w:rPr>
                <w:rFonts w:ascii="Arial" w:hAnsi="Arial" w:cs="Arial"/>
                <w:szCs w:val="22"/>
              </w:rPr>
              <w:t>8</w:t>
            </w:r>
          </w:p>
        </w:tc>
      </w:tr>
    </w:tbl>
    <w:p w14:paraId="70E37B54" w14:textId="77777777" w:rsidR="007D121E" w:rsidRDefault="007D121E">
      <w:pPr>
        <w:rPr>
          <w:rFonts w:ascii="Arial" w:hAnsi="Arial" w:cs="Arial"/>
          <w:b/>
          <w:szCs w:val="22"/>
        </w:rPr>
      </w:pPr>
      <w:r>
        <w:rPr>
          <w:rFonts w:ascii="Arial" w:hAnsi="Arial" w:cs="Arial"/>
          <w:b/>
          <w:szCs w:val="22"/>
        </w:rPr>
        <w:br w:type="page"/>
      </w:r>
    </w:p>
    <w:p w14:paraId="61FF45CB" w14:textId="77777777" w:rsidR="00DC7900" w:rsidRPr="004A5282" w:rsidRDefault="00615383" w:rsidP="00F30F7E">
      <w:pPr>
        <w:pStyle w:val="FirstParagraph"/>
        <w:spacing w:line="360" w:lineRule="auto"/>
        <w:rPr>
          <w:rFonts w:ascii="Arial" w:hAnsi="Arial" w:cs="Arial"/>
          <w:b/>
          <w:szCs w:val="22"/>
        </w:rPr>
      </w:pPr>
      <w:r w:rsidRPr="004A5282">
        <w:rPr>
          <w:rFonts w:ascii="Arial" w:hAnsi="Arial" w:cs="Arial"/>
          <w:b/>
          <w:szCs w:val="22"/>
        </w:rPr>
        <w:t>Person-Centred Care and Partnership Working in Adult Social Care</w:t>
      </w:r>
    </w:p>
    <w:p w14:paraId="19255564" w14:textId="77777777" w:rsidR="00DC7900" w:rsidRPr="004A5282" w:rsidRDefault="00615383" w:rsidP="00CB74AD">
      <w:pPr>
        <w:pStyle w:val="FirstParagraph"/>
        <w:spacing w:line="360" w:lineRule="auto"/>
        <w:jc w:val="both"/>
        <w:rPr>
          <w:rFonts w:ascii="Arial" w:hAnsi="Arial" w:cs="Arial"/>
          <w:b/>
          <w:szCs w:val="22"/>
        </w:rPr>
      </w:pPr>
      <w:bookmarkStart w:id="1" w:name="introduction-200-words"/>
      <w:r w:rsidRPr="004A5282">
        <w:rPr>
          <w:rFonts w:ascii="Arial" w:hAnsi="Arial" w:cs="Arial"/>
          <w:b/>
          <w:szCs w:val="22"/>
        </w:rPr>
        <w:t xml:space="preserve">1. Introduction </w:t>
      </w:r>
    </w:p>
    <w:p w14:paraId="48498C3C"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Partnership Working (PW) and Person-Centred Care (PCC) represent the main elements of the current health and social care practice in the United Kingdom. PCC aims at addressing the needs, preferences, and values of service users individually and making sure that they are active participants in making decisions that concern their care (McCormack and McCance, 2017). Partnership working, in its turn, denotes the work of various stakeholders, such as healthcare professionals, social workers, families, and service users, to deliver holistic and coordinated care (Glasby, 2016). PCC and PW strive to enhance the quality of services, outcomes, and user satisfaction as well as promote ethical and professional practices (NHS England, 2021).</w:t>
      </w:r>
    </w:p>
    <w:p w14:paraId="4895A865"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This report is a critical analysis of both PCC and PW, concerns of adult social care, their theoretical assumptions, application, and ethical issues, as well as legislation. It assesses the interactions of these components to provide successful service delivery, which points out advantages, difficulties, and future development. Connecting theory to practice and policy, the report shows how PCC and PW can help to improve person-centered, integrated care in the UK (Care Quality Commission, 2019). </w:t>
      </w:r>
    </w:p>
    <w:p w14:paraId="306A1949" w14:textId="77777777" w:rsidR="00DC7900" w:rsidRPr="004A5282" w:rsidRDefault="00615383" w:rsidP="00CB74AD">
      <w:pPr>
        <w:pStyle w:val="FirstParagraph"/>
        <w:spacing w:line="360" w:lineRule="auto"/>
        <w:jc w:val="both"/>
        <w:rPr>
          <w:rFonts w:ascii="Arial" w:hAnsi="Arial" w:cs="Arial"/>
          <w:b/>
          <w:szCs w:val="22"/>
        </w:rPr>
      </w:pPr>
      <w:bookmarkStart w:id="2" w:name="X2f973aa940b91aa8cef9b1e12dfb9151ac21d7a"/>
      <w:bookmarkEnd w:id="1"/>
      <w:r w:rsidRPr="004A5282">
        <w:rPr>
          <w:rFonts w:ascii="Arial" w:hAnsi="Arial" w:cs="Arial"/>
          <w:b/>
          <w:szCs w:val="22"/>
        </w:rPr>
        <w:t xml:space="preserve">2. Person-Centred Care: Definition, Benefits, and Limitations </w:t>
      </w:r>
    </w:p>
    <w:p w14:paraId="7158E341"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Person-Centred Care (PCC) is an approach that puts the needs, preferences, and values of a service user in the centre of care planning and delivery, thus being a holistic approach (McCormack &amp; McCance, 2017). It focuses on respect, autonomy, and partnership, so that service users are actively involved in the decisions, which have an impact on their health and well-being (Department of Health, 2015). PCC is based on an appreciation that each individual is distinct and care is to be provided based on his/her physical, emotional and social demands (Kitwood, 1997).</w:t>
      </w:r>
    </w:p>
    <w:p w14:paraId="7A13175E"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advantages of PCC are well known both in scholarly literature and practice. To begin with, it improves service-user outcomes, namely the engagement and adherence to care plans, which leads to improved health and well-being (Santana et al., 2018). Secondly, PCC benefits individuals and makes them feel dignified, independent, and self-efficient, which are paramount in social care environments (McCormack and McCance, 2017). Thirdly, PCC enhances better relations between professionals and service users, as well as increases communication, trust, and satisfaction (Santana et al., 2018). Furthermore, when organisations use PCC, staff satisfaction also tends to rise and conflict is less frequent, which represents a more collaborative work environment (CQC, 2019).</w:t>
      </w:r>
    </w:p>
    <w:p w14:paraId="49745A6C" w14:textId="77777777" w:rsidR="002B1278" w:rsidRPr="00CB74AD" w:rsidRDefault="002B1278" w:rsidP="00CB74AD">
      <w:pPr>
        <w:pStyle w:val="FirstParagraph"/>
        <w:spacing w:line="360" w:lineRule="auto"/>
        <w:jc w:val="both"/>
        <w:rPr>
          <w:rFonts w:ascii="Arial" w:hAnsi="Arial" w:cs="Arial"/>
          <w:sz w:val="22"/>
          <w:szCs w:val="22"/>
          <w:highlight w:val="yellow"/>
        </w:rPr>
      </w:pPr>
      <w:r w:rsidRPr="00CB74AD">
        <w:rPr>
          <w:rFonts w:ascii="Arial" w:hAnsi="Arial" w:cs="Arial"/>
          <w:sz w:val="22"/>
          <w:szCs w:val="22"/>
        </w:rPr>
        <w:t>Nevertheless, PCC has a number of restrictions, even though it has its benefits. The fact that PCC cannot always be applied in practice due to resource constraints, such as lack of staff and time, can be a problem (Glasby, 2016). Also, not all professionals are adequately trained in the principles of PCC and thus do not have enough skills to apply care (McCormack and McCance, 2017). Even the organisational cultures that value efficiency more than individualised care can be at odds with the PCC principles, resulting in a superficial or just tokenistic interaction with the service users (Santana et al., 2018). Moreover, complex cases i.e. the presence of multiple co-morbidities or cognitive deficiencies might pose some problems with the practical use of PCC and highly skilled and flexible methods are required (Kitwood, 1997).</w:t>
      </w:r>
    </w:p>
    <w:p w14:paraId="0FBDC305" w14:textId="77777777" w:rsidR="00DC7900" w:rsidRPr="004A5282" w:rsidRDefault="00615383" w:rsidP="00CB74AD">
      <w:pPr>
        <w:pStyle w:val="FirstParagraph"/>
        <w:spacing w:line="360" w:lineRule="auto"/>
        <w:jc w:val="both"/>
        <w:rPr>
          <w:rFonts w:ascii="Arial" w:hAnsi="Arial" w:cs="Arial"/>
          <w:b/>
          <w:szCs w:val="22"/>
        </w:rPr>
      </w:pPr>
      <w:bookmarkStart w:id="3" w:name="X42843a3711c6c0a72193024a00c86abe9793ea4"/>
      <w:bookmarkEnd w:id="2"/>
      <w:r w:rsidRPr="004A5282">
        <w:rPr>
          <w:rFonts w:ascii="Arial" w:hAnsi="Arial" w:cs="Arial"/>
          <w:b/>
          <w:szCs w:val="22"/>
        </w:rPr>
        <w:t xml:space="preserve">3. Theoretical Model Underpinning Person-Centred Care </w:t>
      </w:r>
    </w:p>
    <w:p w14:paraId="7DEF4BDD"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Person-Centred Care (PCC) cannot be understood and applied without a solid theoretical base. The Person-Centred Nursing Framework is one of the most prominent models (McCormack and McCance, 2017), which offers a systematic method of applying PCC principles into practice. This model represents the main pillars of PCC: the care environment, professional competence, interpersonal relationships, and shared decision-making that interrelate to support holistic, personalised care (McCormack &amp; McCance, 2017).</w:t>
      </w:r>
    </w:p>
    <w:p w14:paraId="603E4E33"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framework focuses on the professional attributes of knowledge, skill, and ethical awareness, which can help healthcare practitioners to interact meaningfully with service users (McCormack and McCance, 2017). The component of care environment acknowledges that organisational culture, resources and leadership are essential to the continuation of PCC and quality care cannot only rely on individual practitioners but on systems that support it (McCormack et al., 2021). Interpersonal relations play the key role since they enable trust, understanding, empathy and enable care to be actually person-centred. Lastly, shared decision-making is also paramount to guarantee that the users of services are actively involved in the process of planning and assessing their care, which promotes autonomy and dignity (Santana et al., 2018).</w:t>
      </w:r>
    </w:p>
    <w:p w14:paraId="514AF08A"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Practitioners might be limited by resource constraints, excessive workload, and organisational demands to work with service users in their entirety (Glasby, 2016). Moreover, the inconsistency of implementation might be caused by fluctuations in the training of staff and competence, which can undermine the desired PCC advantages (McCormack and McCance, 2017). It is also a framework that all service users are capable of making equal contributions in care decisions and may not necessarily work well with individuals with cognitive impairments or complex needs (Kitwood, 1997). </w:t>
      </w:r>
    </w:p>
    <w:p w14:paraId="42FABB32" w14:textId="77777777" w:rsidR="002B1278" w:rsidRPr="00CB74AD" w:rsidRDefault="002B1278" w:rsidP="00CB74AD">
      <w:pPr>
        <w:pStyle w:val="FirstParagraph"/>
        <w:spacing w:line="360" w:lineRule="auto"/>
        <w:jc w:val="both"/>
        <w:rPr>
          <w:rFonts w:ascii="Arial" w:hAnsi="Arial" w:cs="Arial"/>
          <w:sz w:val="22"/>
          <w:szCs w:val="22"/>
          <w:highlight w:val="yellow"/>
        </w:rPr>
      </w:pPr>
      <w:r w:rsidRPr="00CB74AD">
        <w:rPr>
          <w:rFonts w:ascii="Arial" w:hAnsi="Arial" w:cs="Arial"/>
          <w:sz w:val="22"/>
          <w:szCs w:val="22"/>
        </w:rPr>
        <w:t>The framework provided by McCormack and McCance is still useful in directing the practice, connecting theory with practical strategies, and promoting reflective practice in healthcare practice. It offers an evidence-based background that does not only improve service-user outcomes but also assists in delivering ethical and effective care (McCormack et al., 2021; Santana et al., 2018).</w:t>
      </w:r>
    </w:p>
    <w:p w14:paraId="27EC3792" w14:textId="77777777" w:rsidR="00DC7900" w:rsidRPr="004A5282" w:rsidRDefault="00615383" w:rsidP="00CB74AD">
      <w:pPr>
        <w:pStyle w:val="FirstParagraph"/>
        <w:spacing w:line="360" w:lineRule="auto"/>
        <w:jc w:val="both"/>
        <w:rPr>
          <w:rFonts w:ascii="Arial" w:hAnsi="Arial" w:cs="Arial"/>
          <w:b/>
          <w:szCs w:val="22"/>
        </w:rPr>
      </w:pPr>
      <w:bookmarkStart w:id="4" w:name="X54b5d2c26f7cbf9664288ad80ddc9e6dba4aa20"/>
      <w:bookmarkEnd w:id="3"/>
      <w:r w:rsidRPr="004A5282">
        <w:rPr>
          <w:rFonts w:ascii="Arial" w:hAnsi="Arial" w:cs="Arial"/>
          <w:b/>
          <w:szCs w:val="22"/>
        </w:rPr>
        <w:t>4. Ethical Fundame</w:t>
      </w:r>
      <w:r w:rsidR="004A5282">
        <w:rPr>
          <w:rFonts w:ascii="Arial" w:hAnsi="Arial" w:cs="Arial"/>
          <w:b/>
          <w:szCs w:val="22"/>
        </w:rPr>
        <w:t>ntals of Health and Social Care</w:t>
      </w:r>
    </w:p>
    <w:p w14:paraId="2C1C9DAE"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ethics in health and social care practice is the focus of Person-Centred Care (PCC) and Partnership Working (PW). The decision is made based on ethical standards and rules, and it is crucial that the service users will be treated in a manner of dignity, respect, and fairness. The main ethical principles are autonomy, beneficence, non-maleficence, and justice, which are directly applicable to PCC and PW (Beauchamp and Childress, 2019).</w:t>
      </w:r>
    </w:p>
    <w:p w14:paraId="60D9D42E"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Autonomy will emphasise on the right of the service users to make informed decisions concerning their care. This principle in PCC is implemented in shared decision-making, which allows individuals to share preferences and be actively involved in the process of planning their care (McCormack &amp; McCance, 2017). The partnership working also depends on autonomy because any effective collaboration presupposes the recognition and respect of the contributions of the service users, families, and the professionals (Glasby, 2016).</w:t>
      </w:r>
    </w:p>
    <w:p w14:paraId="1FADDCDA"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principles of beneficence and non-maleficence demand that professionals should serve the best interests of the users of the services provided without causing harm. PCC also guarantees that care is personalised to the particular requirements, which fosters wellbeing and reduces risk whereas PW enables integrated efforts to avoid mistakes, repeating or ove</w:t>
      </w:r>
      <w:r w:rsidR="00F37458">
        <w:rPr>
          <w:rFonts w:ascii="Arial" w:hAnsi="Arial" w:cs="Arial"/>
          <w:sz w:val="22"/>
          <w:szCs w:val="22"/>
        </w:rPr>
        <w:t>rsights (Santana et al., 2018).</w:t>
      </w:r>
    </w:p>
    <w:p w14:paraId="6BFE5F80" w14:textId="77777777" w:rsidR="002B1278"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Justice dwells on equality and justice of accessing care and distributing resources. Practical PCC and PW promote ethical practice in such a way that everyone is provided with care according to the needs of an individual, despite their socio-economic status and other personal conditions (NHS England, 2021). </w:t>
      </w:r>
    </w:p>
    <w:p w14:paraId="18A29635" w14:textId="77777777" w:rsidR="00F37458" w:rsidRDefault="00F37458" w:rsidP="00F37458">
      <w:pPr>
        <w:pStyle w:val="BodyText"/>
        <w:rPr>
          <w:highlight w:val="yellow"/>
        </w:rPr>
      </w:pPr>
    </w:p>
    <w:p w14:paraId="30692787" w14:textId="77777777" w:rsidR="00973447" w:rsidRPr="00F37458" w:rsidRDefault="00973447" w:rsidP="00F37458">
      <w:pPr>
        <w:pStyle w:val="BodyText"/>
        <w:rPr>
          <w:highlight w:val="yellow"/>
        </w:rPr>
      </w:pPr>
    </w:p>
    <w:p w14:paraId="4D1E2954" w14:textId="77777777" w:rsidR="00DC7900" w:rsidRPr="00CB74AD" w:rsidRDefault="00615383" w:rsidP="00CB74AD">
      <w:pPr>
        <w:pStyle w:val="FirstParagraph"/>
        <w:spacing w:line="360" w:lineRule="auto"/>
        <w:jc w:val="both"/>
        <w:rPr>
          <w:rFonts w:ascii="Arial" w:hAnsi="Arial" w:cs="Arial"/>
          <w:b/>
          <w:szCs w:val="22"/>
        </w:rPr>
      </w:pPr>
      <w:bookmarkStart w:id="5" w:name="X658d72a79dd854e19aaa83be716f57f3b5e0f9c"/>
      <w:bookmarkEnd w:id="4"/>
      <w:r w:rsidRPr="00CB74AD">
        <w:rPr>
          <w:rFonts w:ascii="Arial" w:hAnsi="Arial" w:cs="Arial"/>
          <w:b/>
          <w:szCs w:val="22"/>
        </w:rPr>
        <w:t>5. Partnership Wo</w:t>
      </w:r>
      <w:r w:rsidR="00CB74AD">
        <w:rPr>
          <w:rFonts w:ascii="Arial" w:hAnsi="Arial" w:cs="Arial"/>
          <w:b/>
          <w:szCs w:val="22"/>
        </w:rPr>
        <w:t>rking in Health and Social Care</w:t>
      </w:r>
    </w:p>
    <w:p w14:paraId="192459B4"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Partnership Working (PW) is a communication model in which several stakeholders, such as health workers, social care workers, service users, and families collaborate to provide coordinated and holistic care (Glasby, 2016). </w:t>
      </w:r>
    </w:p>
    <w:p w14:paraId="22920E3B"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advantages of PW are well-described. It helps to support continuity of care, shared responsibility, and improve cross-professional communication (Checkland et al., 2020). To service users, PW makes sure that care is holistic, individualized, and sensitive to the needs that change, building trust and connection (Santana et al., 2018). In professionals, collaboration has the potential to enhance knowledge sharing, enhance problem-solving, and minimise the errors that occur due to the disjointed care (Glasby, 2016).</w:t>
      </w:r>
    </w:p>
    <w:p w14:paraId="5838BDFB" w14:textId="77777777" w:rsidR="002B1278" w:rsidRPr="00CB74AD" w:rsidRDefault="002B1278" w:rsidP="00CB74AD">
      <w:pPr>
        <w:pStyle w:val="FirstParagraph"/>
        <w:spacing w:line="360" w:lineRule="auto"/>
        <w:jc w:val="both"/>
        <w:rPr>
          <w:rFonts w:ascii="Arial" w:hAnsi="Arial" w:cs="Arial"/>
          <w:sz w:val="22"/>
          <w:szCs w:val="22"/>
          <w:highlight w:val="yellow"/>
        </w:rPr>
      </w:pPr>
      <w:r w:rsidRPr="00CB74AD">
        <w:rPr>
          <w:rFonts w:ascii="Arial" w:hAnsi="Arial" w:cs="Arial"/>
          <w:sz w:val="22"/>
          <w:szCs w:val="22"/>
        </w:rPr>
        <w:t>Partnership working has major challenges, regardless of these benefits. Collaboration may be impeded by organisational structural barriers, including different organisational priorities, budgets, and policies (Humphries et al., 2019). Professional cultural differences and differences in the style of communication can also lead to misunderstandings or conflict, which will decrease the effectiveness of integrated care (Checkland et al., 2020). Moreover, accountability and role definition may be vague, which may result in overlaps or gaps in the provision of services, which may have adverse impacts on service users (Glasby, 2016).</w:t>
      </w:r>
    </w:p>
    <w:p w14:paraId="13DD2A24" w14:textId="77777777" w:rsidR="00DC7900" w:rsidRPr="00CB74AD" w:rsidRDefault="00615383" w:rsidP="00CB74AD">
      <w:pPr>
        <w:pStyle w:val="FirstParagraph"/>
        <w:spacing w:line="360" w:lineRule="auto"/>
        <w:jc w:val="both"/>
        <w:rPr>
          <w:rFonts w:ascii="Arial" w:hAnsi="Arial" w:cs="Arial"/>
          <w:b/>
          <w:szCs w:val="22"/>
        </w:rPr>
      </w:pPr>
      <w:bookmarkStart w:id="6" w:name="Xa5f6e7bd1f4b00a6bc81fec596885f7843fc58e"/>
      <w:bookmarkEnd w:id="5"/>
      <w:r w:rsidRPr="00CB74AD">
        <w:rPr>
          <w:rFonts w:ascii="Arial" w:hAnsi="Arial" w:cs="Arial"/>
          <w:b/>
          <w:szCs w:val="22"/>
        </w:rPr>
        <w:t>6. Application of Partnersh</w:t>
      </w:r>
      <w:r w:rsidR="00CB74AD">
        <w:rPr>
          <w:rFonts w:ascii="Arial" w:hAnsi="Arial" w:cs="Arial"/>
          <w:b/>
          <w:szCs w:val="22"/>
        </w:rPr>
        <w:t>ip Working in Adult Social Care</w:t>
      </w:r>
    </w:p>
    <w:p w14:paraId="26A66665"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Partnership Working (PW) must be effectively applied in adult social care to address the needs of the service users that are highly complex and diverse, especially in weak adults who may need assistance of several agencies. In the given context, PW usually implies cooperation with social workers, healthcare specialists, voluntary organisations, families, and service users themselves, which allows coordinating care, making it timely and personal (Glasby, 2016).</w:t>
      </w:r>
    </w:p>
    <w:p w14:paraId="58B2F6D3" w14:textId="77777777" w:rsidR="000830C8"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One can find a practical example in the Integrated Care Systems (ICSs) in the UK that seek to unite NHS organisations, local authorities, and community suppliers to plan and provide seamless care to adults with a long-term condition or social care needs (NHS England, 2021). Early need identification through frequent meetings in multidisciplinary teams, joint care planning, and continuity of care through shared information systems can help professionals prevent hospitalization and ensure continuity through care (Humphries et al., 2019). </w:t>
      </w:r>
    </w:p>
    <w:p w14:paraId="64B3D717" w14:textId="77777777" w:rsidR="002B1278" w:rsidRPr="00CB74AD" w:rsidRDefault="002B1278" w:rsidP="00CB74AD">
      <w:pPr>
        <w:pStyle w:val="FirstParagraph"/>
        <w:spacing w:line="360" w:lineRule="auto"/>
        <w:jc w:val="both"/>
        <w:rPr>
          <w:rFonts w:ascii="Arial" w:hAnsi="Arial" w:cs="Arial"/>
          <w:sz w:val="22"/>
          <w:szCs w:val="22"/>
          <w:highlight w:val="yellow"/>
        </w:rPr>
      </w:pPr>
      <w:r w:rsidRPr="00CB74AD">
        <w:rPr>
          <w:rFonts w:ascii="Arial" w:hAnsi="Arial" w:cs="Arial"/>
          <w:sz w:val="22"/>
          <w:szCs w:val="22"/>
        </w:rPr>
        <w:t>Nevertheless, practice difficulties still exist. The information sharing and mutual decision making may be impeded with the differences in organisational priorities, funding streams, and IT systems (Checkland et al., 2020). Cultural discrepancies between agencies and professional hierarchies can also contribute to the difficulties in collaboration, which decreases the efficiency and effectiveness of care provision (Glasby, 2016). There are also cognitive impaired or complex needs service users who might experience challenges in participating in partnership processes and, thus, require flexible and customized solutions (Santana et al., 2018).</w:t>
      </w:r>
    </w:p>
    <w:p w14:paraId="624F7069" w14:textId="77777777" w:rsidR="00DC7900" w:rsidRPr="00CB74AD" w:rsidRDefault="00615383" w:rsidP="00CB74AD">
      <w:pPr>
        <w:pStyle w:val="FirstParagraph"/>
        <w:spacing w:line="360" w:lineRule="auto"/>
        <w:jc w:val="both"/>
        <w:rPr>
          <w:rFonts w:ascii="Arial" w:hAnsi="Arial" w:cs="Arial"/>
          <w:b/>
          <w:szCs w:val="22"/>
        </w:rPr>
      </w:pPr>
      <w:bookmarkStart w:id="7" w:name="Xf73094a9fc835ec657284e84db230fee02fe031"/>
      <w:bookmarkEnd w:id="6"/>
      <w:r w:rsidRPr="00CB74AD">
        <w:rPr>
          <w:rFonts w:ascii="Arial" w:hAnsi="Arial" w:cs="Arial"/>
          <w:b/>
          <w:szCs w:val="22"/>
        </w:rPr>
        <w:t>7. Policy and Legislation Related to Person-Centred Care</w:t>
      </w:r>
      <w:r w:rsidR="00CB74AD">
        <w:rPr>
          <w:rFonts w:ascii="Arial" w:hAnsi="Arial" w:cs="Arial"/>
          <w:b/>
          <w:szCs w:val="22"/>
        </w:rPr>
        <w:t xml:space="preserve"> and Partnership Working</w:t>
      </w:r>
    </w:p>
    <w:p w14:paraId="1C984AEE"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UK has a strong legislative and policy framework that supports Person-Centred Care (PCC) and Partnership Working (PW), by ensuring that organisational service delivery becomes ethical, professional and legally accepted. The Care Act 2014 is of focal concern to the adult social care, which focuses on fostering well-being, personal choice and service integration (Department of Health and Social Care, 2014). It mandates the local authorities to consider needs in a comprehensive manner and offer services that are individualized based on individual needs, which is in line with PCC. In addition, the Act encourages the collaboration of agencies and helps PW, as it requires coordinated care through collaboration with health, voluntary, and private organisations (Humphries et al., 2019).</w:t>
      </w:r>
    </w:p>
    <w:p w14:paraId="197F5DB0"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PW is also assisted by the Health and Social Care Act 2012, which introduces frameworks of integrated care and shared responsibility by the NHS organisations and the local authorities (Checkland et al., 2020). These legislative requirements are supported by such policies as the NHS Long Term Plan focusing on multi-disciplinary collaboration, community-based care, and service-user involvement (NHS England, 2019). Equally, the policies and guidance provided by the Care Quality Commission (CQC) protect the aspect of ensuring PCC and PW is integrated into the professional practice with the emphasis on safety, dignity, and accountability (CQC, 2019).</w:t>
      </w:r>
    </w:p>
    <w:p w14:paraId="4639D884" w14:textId="77777777" w:rsidR="00DC7900" w:rsidRPr="00CB74AD" w:rsidRDefault="00615383" w:rsidP="00CB74AD">
      <w:pPr>
        <w:pStyle w:val="FirstParagraph"/>
        <w:spacing w:line="360" w:lineRule="auto"/>
        <w:jc w:val="both"/>
        <w:rPr>
          <w:rFonts w:ascii="Arial" w:hAnsi="Arial" w:cs="Arial"/>
          <w:b/>
          <w:szCs w:val="22"/>
        </w:rPr>
      </w:pPr>
      <w:bookmarkStart w:id="8" w:name="X2e76e726bafa2198ffa8e0646706b98c186353f"/>
      <w:bookmarkEnd w:id="7"/>
      <w:r w:rsidRPr="00CB74AD">
        <w:rPr>
          <w:rFonts w:ascii="Arial" w:hAnsi="Arial" w:cs="Arial"/>
          <w:b/>
          <w:szCs w:val="22"/>
        </w:rPr>
        <w:t>8. Recommendations for Future Development of Person-Centr</w:t>
      </w:r>
      <w:r w:rsidR="00CB74AD">
        <w:rPr>
          <w:rFonts w:ascii="Arial" w:hAnsi="Arial" w:cs="Arial"/>
          <w:b/>
          <w:szCs w:val="22"/>
        </w:rPr>
        <w:t>ed Care and Partnership Working</w:t>
      </w:r>
    </w:p>
    <w:p w14:paraId="343426E8"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In order to improve the efficacy of Person-Centred Care (PCC) and Partnership Working (PW) in the UK, some evidences-based recommendations may be taken into consideration. To start with, investment in work force training is necessary. Professional development in the sphere of PCC principles, ethical practice, and teamwork skills should be continuous among the staff so that the delivery of care of the required quality is observed throughout (McCormack and McCance, 2017; Glasby, 2016). </w:t>
      </w:r>
    </w:p>
    <w:p w14:paraId="4FC55BC9"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Secondly, it is important to reinforce organisational culture and leadership. The organisations should create cultures that value PCC and ensure successful multi-agency partnership. Barriers, including professional hierarchies, communication issues, and conflicting organisational priorities, can be overcome with the help of clear leadership, role clarity, and shared goals (Humphries et al., 2019). The collaboration and continuous improvement can also be promoted by embedding the reflective practice and the regular multidisciplinary meetings.</w:t>
      </w:r>
    </w:p>
    <w:p w14:paraId="615F0F20" w14:textId="77777777" w:rsidR="002B1278" w:rsidRPr="00CB74AD" w:rsidRDefault="002B1278" w:rsidP="00CB74AD">
      <w:pPr>
        <w:pStyle w:val="FirstParagraph"/>
        <w:spacing w:line="360" w:lineRule="auto"/>
        <w:jc w:val="both"/>
        <w:rPr>
          <w:rFonts w:ascii="Arial" w:hAnsi="Arial" w:cs="Arial"/>
          <w:sz w:val="22"/>
          <w:szCs w:val="22"/>
          <w:highlight w:val="yellow"/>
        </w:rPr>
      </w:pPr>
      <w:r w:rsidRPr="00CB74AD">
        <w:rPr>
          <w:rFonts w:ascii="Arial" w:hAnsi="Arial" w:cs="Arial"/>
          <w:sz w:val="22"/>
          <w:szCs w:val="22"/>
        </w:rPr>
        <w:t>Thirdly, improving technology and information sharing systems should be suggested. The digital records and communication platforms allow the efficient exchange of data among agencies and minimize mistakes and enhance coordinated care (Checkland et al., 2020). Lastly, the policy makers must persist in harmonizing legislation, funding, and strategic planning with PCC and PW aim, whereby resources and regulatory backing enable the person-centred, collaborative care in all health and social care environments (NHS England, 2019).</w:t>
      </w:r>
    </w:p>
    <w:p w14:paraId="16D4280D" w14:textId="77777777" w:rsidR="00DC7900" w:rsidRPr="00CB74AD" w:rsidRDefault="00CB74AD" w:rsidP="00CB74AD">
      <w:pPr>
        <w:pStyle w:val="FirstParagraph"/>
        <w:spacing w:line="360" w:lineRule="auto"/>
        <w:jc w:val="both"/>
        <w:rPr>
          <w:rFonts w:ascii="Arial" w:hAnsi="Arial" w:cs="Arial"/>
          <w:b/>
          <w:szCs w:val="22"/>
        </w:rPr>
      </w:pPr>
      <w:bookmarkStart w:id="9" w:name="conclusion-150-words"/>
      <w:bookmarkEnd w:id="8"/>
      <w:r>
        <w:rPr>
          <w:rFonts w:ascii="Arial" w:hAnsi="Arial" w:cs="Arial"/>
          <w:b/>
          <w:szCs w:val="22"/>
        </w:rPr>
        <w:t>9. Conclusion</w:t>
      </w:r>
    </w:p>
    <w:p w14:paraId="64114400" w14:textId="77777777" w:rsidR="002B1278" w:rsidRPr="00CB74AD" w:rsidRDefault="002B1278" w:rsidP="00CB74AD">
      <w:pPr>
        <w:pStyle w:val="FirstParagraph"/>
        <w:spacing w:line="360" w:lineRule="auto"/>
        <w:jc w:val="both"/>
        <w:rPr>
          <w:rFonts w:ascii="Arial" w:hAnsi="Arial" w:cs="Arial"/>
          <w:sz w:val="22"/>
          <w:szCs w:val="22"/>
        </w:rPr>
      </w:pPr>
      <w:r w:rsidRPr="00CB74AD">
        <w:rPr>
          <w:rFonts w:ascii="Arial" w:hAnsi="Arial" w:cs="Arial"/>
          <w:sz w:val="22"/>
          <w:szCs w:val="22"/>
        </w:rPr>
        <w:t>The UK health and social care practice requires effective and ethical practices which include Person-Centred Care (PCC) and Partnership Working (PW). PCC helps to guarantee active participation of service users in the decisions concerning their care, which facilitates autonomy, dignity, and better outcomes, whereas PW allows professionals, service users, and families to work together to provide coordinated and holistic care (McCormack and McCance, 2017; Glasby, 2016).</w:t>
      </w:r>
    </w:p>
    <w:p w14:paraId="056AA692" w14:textId="77777777" w:rsidR="002B1278" w:rsidRPr="00CB74AD" w:rsidRDefault="002B1278" w:rsidP="00CB74AD">
      <w:pPr>
        <w:pStyle w:val="FirstParagraph"/>
        <w:spacing w:line="360" w:lineRule="auto"/>
        <w:jc w:val="both"/>
        <w:rPr>
          <w:rFonts w:ascii="Arial" w:hAnsi="Arial" w:cs="Arial"/>
          <w:sz w:val="22"/>
          <w:szCs w:val="22"/>
          <w:highlight w:val="yellow"/>
        </w:rPr>
      </w:pPr>
      <w:r w:rsidRPr="00CB74AD">
        <w:rPr>
          <w:rFonts w:ascii="Arial" w:hAnsi="Arial" w:cs="Arial"/>
          <w:sz w:val="22"/>
          <w:szCs w:val="22"/>
        </w:rPr>
        <w:t>This report has been able to critically analyze the theoretical basis, ethical considerations, practical issues and legislative guidelines behind PCC and PW. Although the two methods have significant advantages, issues like lack of resources, organisational problem, and absence of workforce training may act as impediments to the process. Professional development, integrated technology, and supportive leadership recommendations are also evidence-based and should be addressed to enhance PCC and PW and provide high-quality care in the most sustainable manner (Checkland et al., 2020; NHS England, 2019).</w:t>
      </w:r>
    </w:p>
    <w:p w14:paraId="6784D819" w14:textId="77777777" w:rsidR="00CB74AD" w:rsidRPr="00CB74AD" w:rsidRDefault="00CB74AD" w:rsidP="00CB74AD">
      <w:pPr>
        <w:pStyle w:val="FirstParagraph"/>
        <w:spacing w:line="360" w:lineRule="auto"/>
        <w:jc w:val="both"/>
        <w:rPr>
          <w:rFonts w:ascii="Arial" w:hAnsi="Arial" w:cs="Arial"/>
          <w:sz w:val="22"/>
          <w:szCs w:val="22"/>
        </w:rPr>
      </w:pPr>
      <w:bookmarkStart w:id="10" w:name="references"/>
      <w:bookmarkEnd w:id="9"/>
      <w:r w:rsidRPr="00CB74AD">
        <w:rPr>
          <w:rFonts w:ascii="Arial" w:hAnsi="Arial" w:cs="Arial"/>
          <w:sz w:val="22"/>
          <w:szCs w:val="22"/>
        </w:rPr>
        <w:br w:type="page"/>
      </w:r>
    </w:p>
    <w:p w14:paraId="6E632599" w14:textId="77777777" w:rsidR="00143D83" w:rsidRPr="00CB74AD" w:rsidRDefault="00CB74AD" w:rsidP="00CB74AD">
      <w:pPr>
        <w:pStyle w:val="FirstParagraph"/>
        <w:spacing w:line="360" w:lineRule="auto"/>
        <w:jc w:val="both"/>
        <w:rPr>
          <w:rFonts w:ascii="Arial" w:hAnsi="Arial" w:cs="Arial"/>
          <w:b/>
          <w:szCs w:val="22"/>
        </w:rPr>
      </w:pPr>
      <w:r w:rsidRPr="00CB74AD">
        <w:rPr>
          <w:rFonts w:ascii="Arial" w:hAnsi="Arial" w:cs="Arial"/>
          <w:b/>
          <w:szCs w:val="22"/>
        </w:rPr>
        <w:t>Reference</w:t>
      </w:r>
      <w:r w:rsidR="0033093E">
        <w:rPr>
          <w:rFonts w:ascii="Arial" w:hAnsi="Arial" w:cs="Arial"/>
          <w:b/>
          <w:szCs w:val="22"/>
        </w:rPr>
        <w:t>s</w:t>
      </w:r>
    </w:p>
    <w:p w14:paraId="6CA65BB6"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Beauchamp, T.L. &amp; Childress, J.F. (2019) </w:t>
      </w:r>
      <w:r w:rsidRPr="00CB74AD">
        <w:rPr>
          <w:rFonts w:ascii="Arial" w:hAnsi="Arial" w:cs="Arial"/>
          <w:i/>
          <w:iCs/>
          <w:sz w:val="22"/>
          <w:szCs w:val="22"/>
        </w:rPr>
        <w:t>Principles of Biomedical Ethics.</w:t>
      </w:r>
      <w:r w:rsidRPr="00CB74AD">
        <w:rPr>
          <w:rFonts w:ascii="Arial" w:hAnsi="Arial" w:cs="Arial"/>
          <w:sz w:val="22"/>
          <w:szCs w:val="22"/>
        </w:rPr>
        <w:t xml:space="preserve"> 8th edn. Oxford University Press.</w:t>
      </w:r>
    </w:p>
    <w:p w14:paraId="45193BFE"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Care Quality Commission (CQC) (2019) </w:t>
      </w:r>
      <w:r w:rsidRPr="00CB74AD">
        <w:rPr>
          <w:rFonts w:ascii="Arial" w:hAnsi="Arial" w:cs="Arial"/>
          <w:i/>
          <w:iCs/>
          <w:sz w:val="22"/>
          <w:szCs w:val="22"/>
        </w:rPr>
        <w:t>The state of health care and adult social care in England 2018/19.</w:t>
      </w:r>
      <w:r w:rsidRPr="00CB74AD">
        <w:rPr>
          <w:rFonts w:ascii="Arial" w:hAnsi="Arial" w:cs="Arial"/>
          <w:sz w:val="22"/>
          <w:szCs w:val="22"/>
        </w:rPr>
        <w:t xml:space="preserve"> CQC.</w:t>
      </w:r>
    </w:p>
    <w:p w14:paraId="741F683F"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Checkland, K., Harrison, S. &amp; Marshall, M. (2020) ‘Integrated care in England: history, policy and practice,’ </w:t>
      </w:r>
      <w:r w:rsidRPr="00CB74AD">
        <w:rPr>
          <w:rFonts w:ascii="Arial" w:hAnsi="Arial" w:cs="Arial"/>
          <w:i/>
          <w:iCs/>
          <w:sz w:val="22"/>
          <w:szCs w:val="22"/>
        </w:rPr>
        <w:t>British Medical Bulletin</w:t>
      </w:r>
      <w:r w:rsidRPr="00CB74AD">
        <w:rPr>
          <w:rFonts w:ascii="Arial" w:hAnsi="Arial" w:cs="Arial"/>
          <w:sz w:val="22"/>
          <w:szCs w:val="22"/>
        </w:rPr>
        <w:t>, 134(1), pp. 7–20.</w:t>
      </w:r>
    </w:p>
    <w:p w14:paraId="73EF2515"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Department of Health (2015) </w:t>
      </w:r>
      <w:r w:rsidRPr="00CB74AD">
        <w:rPr>
          <w:rFonts w:ascii="Arial" w:hAnsi="Arial" w:cs="Arial"/>
          <w:i/>
          <w:iCs/>
          <w:sz w:val="22"/>
          <w:szCs w:val="22"/>
        </w:rPr>
        <w:t>Statement of Government Policy on Adult Social Care.</w:t>
      </w:r>
      <w:r w:rsidRPr="00CB74AD">
        <w:rPr>
          <w:rFonts w:ascii="Arial" w:hAnsi="Arial" w:cs="Arial"/>
          <w:sz w:val="22"/>
          <w:szCs w:val="22"/>
        </w:rPr>
        <w:t xml:space="preserve"> HMSO.</w:t>
      </w:r>
    </w:p>
    <w:p w14:paraId="386E7B8F"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Department of Health &amp; Social Care (2014) </w:t>
      </w:r>
      <w:r w:rsidRPr="00CB74AD">
        <w:rPr>
          <w:rFonts w:ascii="Arial" w:hAnsi="Arial" w:cs="Arial"/>
          <w:i/>
          <w:iCs/>
          <w:sz w:val="22"/>
          <w:szCs w:val="22"/>
        </w:rPr>
        <w:t>Care Act 2014: statutory guidance.</w:t>
      </w:r>
      <w:r w:rsidRPr="00CB74AD">
        <w:rPr>
          <w:rFonts w:ascii="Arial" w:hAnsi="Arial" w:cs="Arial"/>
          <w:sz w:val="22"/>
          <w:szCs w:val="22"/>
        </w:rPr>
        <w:t xml:space="preserve"> HMSO.</w:t>
      </w:r>
    </w:p>
    <w:p w14:paraId="0186EA34"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Glasby, J. (2016) </w:t>
      </w:r>
      <w:r w:rsidRPr="00CB74AD">
        <w:rPr>
          <w:rFonts w:ascii="Arial" w:hAnsi="Arial" w:cs="Arial"/>
          <w:i/>
          <w:iCs/>
          <w:sz w:val="22"/>
          <w:szCs w:val="22"/>
        </w:rPr>
        <w:t>Partnership working in health and social care: What is integrated care and how can we deliver it?</w:t>
      </w:r>
      <w:r w:rsidRPr="00CB74AD">
        <w:rPr>
          <w:rFonts w:ascii="Arial" w:hAnsi="Arial" w:cs="Arial"/>
          <w:sz w:val="22"/>
          <w:szCs w:val="22"/>
        </w:rPr>
        <w:t xml:space="preserve"> Policy Press.</w:t>
      </w:r>
    </w:p>
    <w:p w14:paraId="2FD38AC8"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Humphries, R., Galea, A. &amp; Richardson, G. (2019) </w:t>
      </w:r>
      <w:r w:rsidRPr="00CB74AD">
        <w:rPr>
          <w:rFonts w:ascii="Arial" w:hAnsi="Arial" w:cs="Arial"/>
          <w:i/>
          <w:iCs/>
          <w:sz w:val="22"/>
          <w:szCs w:val="22"/>
        </w:rPr>
        <w:t>Delivering integrated care in England: lessons for policy and practice.</w:t>
      </w:r>
      <w:r w:rsidRPr="00CB74AD">
        <w:rPr>
          <w:rFonts w:ascii="Arial" w:hAnsi="Arial" w:cs="Arial"/>
          <w:sz w:val="22"/>
          <w:szCs w:val="22"/>
        </w:rPr>
        <w:t xml:space="preserve"> King’s Fund.</w:t>
      </w:r>
    </w:p>
    <w:p w14:paraId="617FF5D8"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Kitwood, T. (1997) </w:t>
      </w:r>
      <w:r w:rsidRPr="00CB74AD">
        <w:rPr>
          <w:rFonts w:ascii="Arial" w:hAnsi="Arial" w:cs="Arial"/>
          <w:i/>
          <w:iCs/>
          <w:sz w:val="22"/>
          <w:szCs w:val="22"/>
        </w:rPr>
        <w:t>Dementia Reconsidered: The Person Comes First.</w:t>
      </w:r>
      <w:r w:rsidRPr="00CB74AD">
        <w:rPr>
          <w:rFonts w:ascii="Arial" w:hAnsi="Arial" w:cs="Arial"/>
          <w:sz w:val="22"/>
          <w:szCs w:val="22"/>
        </w:rPr>
        <w:t xml:space="preserve"> Open University Press.</w:t>
      </w:r>
    </w:p>
    <w:p w14:paraId="050746FC"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McCormack, B. &amp; McCance, T. (2017) </w:t>
      </w:r>
      <w:r w:rsidRPr="00CB74AD">
        <w:rPr>
          <w:rFonts w:ascii="Arial" w:hAnsi="Arial" w:cs="Arial"/>
          <w:i/>
          <w:iCs/>
          <w:sz w:val="22"/>
          <w:szCs w:val="22"/>
        </w:rPr>
        <w:t>Person-Centred Practice in Nursing and Health Care: Theory and Practice.</w:t>
      </w:r>
      <w:r w:rsidRPr="00CB74AD">
        <w:rPr>
          <w:rFonts w:ascii="Arial" w:hAnsi="Arial" w:cs="Arial"/>
          <w:sz w:val="22"/>
          <w:szCs w:val="22"/>
        </w:rPr>
        <w:t xml:space="preserve"> 2nd edn. Wiley-Blackwell.</w:t>
      </w:r>
    </w:p>
    <w:p w14:paraId="033AF5D0"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McCormack, B., Dewing, J. &amp; McCance, T. (2021) </w:t>
      </w:r>
      <w:r w:rsidRPr="00CB74AD">
        <w:rPr>
          <w:rFonts w:ascii="Arial" w:hAnsi="Arial" w:cs="Arial"/>
          <w:i/>
          <w:iCs/>
          <w:sz w:val="22"/>
          <w:szCs w:val="22"/>
        </w:rPr>
        <w:t>Person-Centred Nursing: Theory into Practice.</w:t>
      </w:r>
      <w:r w:rsidRPr="00CB74AD">
        <w:rPr>
          <w:rFonts w:ascii="Arial" w:hAnsi="Arial" w:cs="Arial"/>
          <w:sz w:val="22"/>
          <w:szCs w:val="22"/>
        </w:rPr>
        <w:t xml:space="preserve"> 3rd edn. Oxford: Wiley-Blackwell.</w:t>
      </w:r>
    </w:p>
    <w:p w14:paraId="07F4CBE3"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NHS England (2019) </w:t>
      </w:r>
      <w:r w:rsidRPr="00CB74AD">
        <w:rPr>
          <w:rFonts w:ascii="Arial" w:hAnsi="Arial" w:cs="Arial"/>
          <w:i/>
          <w:iCs/>
          <w:sz w:val="22"/>
          <w:szCs w:val="22"/>
        </w:rPr>
        <w:t>The NHS Long Term Plan.</w:t>
      </w:r>
      <w:r w:rsidRPr="00CB74AD">
        <w:rPr>
          <w:rFonts w:ascii="Arial" w:hAnsi="Arial" w:cs="Arial"/>
          <w:sz w:val="22"/>
          <w:szCs w:val="22"/>
        </w:rPr>
        <w:t xml:space="preserve"> NHS England.</w:t>
      </w:r>
    </w:p>
    <w:p w14:paraId="553E7418"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NHS England (2021) </w:t>
      </w:r>
      <w:r w:rsidRPr="00CB74AD">
        <w:rPr>
          <w:rFonts w:ascii="Arial" w:hAnsi="Arial" w:cs="Arial"/>
          <w:i/>
          <w:iCs/>
          <w:sz w:val="22"/>
          <w:szCs w:val="22"/>
        </w:rPr>
        <w:t>Integrated care: Our vision for collaboration in the NHS.</w:t>
      </w:r>
      <w:r w:rsidRPr="00CB74AD">
        <w:rPr>
          <w:rFonts w:ascii="Arial" w:hAnsi="Arial" w:cs="Arial"/>
          <w:sz w:val="22"/>
          <w:szCs w:val="22"/>
        </w:rPr>
        <w:t xml:space="preserve"> NHS England.</w:t>
      </w:r>
    </w:p>
    <w:p w14:paraId="57F8A921"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Nursing and Midwifery Council (NMC) (2018) </w:t>
      </w:r>
      <w:r w:rsidRPr="00CB74AD">
        <w:rPr>
          <w:rFonts w:ascii="Arial" w:hAnsi="Arial" w:cs="Arial"/>
          <w:i/>
          <w:iCs/>
          <w:sz w:val="22"/>
          <w:szCs w:val="22"/>
        </w:rPr>
        <w:t>The Code: Professional standards of practice and behaviour for nurses, midwives and nursing associates.</w:t>
      </w:r>
      <w:r w:rsidRPr="00CB74AD">
        <w:rPr>
          <w:rFonts w:ascii="Arial" w:hAnsi="Arial" w:cs="Arial"/>
          <w:sz w:val="22"/>
          <w:szCs w:val="22"/>
        </w:rPr>
        <w:t xml:space="preserve"> NMC.</w:t>
      </w:r>
    </w:p>
    <w:p w14:paraId="797D4188" w14:textId="77777777" w:rsidR="00143D83" w:rsidRPr="00CB74AD" w:rsidRDefault="00143D83" w:rsidP="00CB74AD">
      <w:pPr>
        <w:pStyle w:val="FirstParagraph"/>
        <w:spacing w:line="360" w:lineRule="auto"/>
        <w:jc w:val="both"/>
        <w:rPr>
          <w:rFonts w:ascii="Arial" w:hAnsi="Arial" w:cs="Arial"/>
          <w:sz w:val="22"/>
          <w:szCs w:val="22"/>
        </w:rPr>
      </w:pPr>
      <w:r w:rsidRPr="00CB74AD">
        <w:rPr>
          <w:rFonts w:ascii="Arial" w:hAnsi="Arial" w:cs="Arial"/>
          <w:sz w:val="22"/>
          <w:szCs w:val="22"/>
        </w:rPr>
        <w:t xml:space="preserve">Santana, M. et al. (2018) ‘Measuring patient-centred care: a systematic review of tools and guidelines,’ </w:t>
      </w:r>
      <w:r w:rsidRPr="00CB74AD">
        <w:rPr>
          <w:rFonts w:ascii="Arial" w:hAnsi="Arial" w:cs="Arial"/>
          <w:i/>
          <w:iCs/>
          <w:sz w:val="22"/>
          <w:szCs w:val="22"/>
        </w:rPr>
        <w:t>Health Expectations</w:t>
      </w:r>
      <w:r w:rsidRPr="00CB74AD">
        <w:rPr>
          <w:rFonts w:ascii="Arial" w:hAnsi="Arial" w:cs="Arial"/>
          <w:sz w:val="22"/>
          <w:szCs w:val="22"/>
        </w:rPr>
        <w:t>, 21(2), pp. 441–452.</w:t>
      </w:r>
    </w:p>
    <w:bookmarkEnd w:id="10"/>
    <w:bookmarkEnd w:id="0"/>
    <w:p w14:paraId="554809D9" w14:textId="77777777" w:rsidR="00DC7900" w:rsidRDefault="00DC7900" w:rsidP="00143D83">
      <w:pPr>
        <w:pStyle w:val="Heading3"/>
      </w:pPr>
    </w:p>
    <w:sectPr w:rsidR="00DC7900" w:rsidSect="00060776">
      <w:footerReference w:type="default" r:id="rId7"/>
      <w:footnotePr>
        <w:numRestart w:val="eachSect"/>
      </w:footnotePr>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FDBD4" w14:textId="77777777" w:rsidR="00117A3F" w:rsidRDefault="00117A3F" w:rsidP="007D121E">
      <w:pPr>
        <w:spacing w:after="0"/>
      </w:pPr>
      <w:r>
        <w:separator/>
      </w:r>
    </w:p>
  </w:endnote>
  <w:endnote w:type="continuationSeparator" w:id="0">
    <w:p w14:paraId="6FA942B2" w14:textId="77777777" w:rsidR="00117A3F" w:rsidRDefault="00117A3F" w:rsidP="007D121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07703"/>
      <w:docPartObj>
        <w:docPartGallery w:val="Page Numbers (Bottom of Page)"/>
        <w:docPartUnique/>
      </w:docPartObj>
    </w:sdtPr>
    <w:sdtEndPr>
      <w:rPr>
        <w:noProof/>
      </w:rPr>
    </w:sdtEndPr>
    <w:sdtContent>
      <w:p w14:paraId="380F8ED1" w14:textId="77777777" w:rsidR="007D121E" w:rsidRDefault="007D121E">
        <w:pPr>
          <w:pStyle w:val="Footer"/>
          <w:jc w:val="right"/>
        </w:pPr>
        <w:r>
          <w:fldChar w:fldCharType="begin"/>
        </w:r>
        <w:r>
          <w:instrText xml:space="preserve"> PAGE   \* MERGEFORMAT </w:instrText>
        </w:r>
        <w:r>
          <w:fldChar w:fldCharType="separate"/>
        </w:r>
        <w:r w:rsidR="007322AD">
          <w:rPr>
            <w:noProof/>
          </w:rPr>
          <w:t>8</w:t>
        </w:r>
        <w:r>
          <w:rPr>
            <w:noProof/>
          </w:rPr>
          <w:fldChar w:fldCharType="end"/>
        </w:r>
      </w:p>
    </w:sdtContent>
  </w:sdt>
  <w:p w14:paraId="47E6AAE9" w14:textId="77777777" w:rsidR="007D121E" w:rsidRDefault="007D1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146C3" w14:textId="77777777" w:rsidR="00117A3F" w:rsidRDefault="00117A3F" w:rsidP="007D121E">
      <w:pPr>
        <w:spacing w:after="0"/>
      </w:pPr>
      <w:r>
        <w:separator/>
      </w:r>
    </w:p>
  </w:footnote>
  <w:footnote w:type="continuationSeparator" w:id="0">
    <w:p w14:paraId="50AE46D2" w14:textId="77777777" w:rsidR="00117A3F" w:rsidRDefault="00117A3F" w:rsidP="007D121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DC7286E0"/>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A8EC08D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3E9E61ED"/>
    <w:multiLevelType w:val="multilevel"/>
    <w:tmpl w:val="1FEA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3936942">
    <w:abstractNumId w:val="0"/>
  </w:num>
  <w:num w:numId="2" w16cid:durableId="1538083146">
    <w:abstractNumId w:val="1"/>
  </w:num>
  <w:num w:numId="3" w16cid:durableId="1599410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900"/>
    <w:rsid w:val="00060776"/>
    <w:rsid w:val="000830C8"/>
    <w:rsid w:val="000B2A45"/>
    <w:rsid w:val="00117A3F"/>
    <w:rsid w:val="00143D83"/>
    <w:rsid w:val="0017722B"/>
    <w:rsid w:val="001F7057"/>
    <w:rsid w:val="002B1278"/>
    <w:rsid w:val="0033093E"/>
    <w:rsid w:val="004A5282"/>
    <w:rsid w:val="00615383"/>
    <w:rsid w:val="007322AD"/>
    <w:rsid w:val="007D121E"/>
    <w:rsid w:val="008923D0"/>
    <w:rsid w:val="00973447"/>
    <w:rsid w:val="00C21848"/>
    <w:rsid w:val="00C531E1"/>
    <w:rsid w:val="00CB74AD"/>
    <w:rsid w:val="00DC7900"/>
    <w:rsid w:val="00F30F7E"/>
    <w:rsid w:val="00F374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185FC"/>
  <w15:docId w15:val="{0DAD4D07-8ABD-49C0-AEBB-52F69E94E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rmalWeb">
    <w:name w:val="Normal (Web)"/>
    <w:basedOn w:val="Normal"/>
    <w:uiPriority w:val="99"/>
    <w:semiHidden/>
    <w:unhideWhenUsed/>
    <w:rsid w:val="00143D83"/>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43D83"/>
    <w:rPr>
      <w:b/>
      <w:bCs/>
    </w:rPr>
  </w:style>
  <w:style w:type="character" w:styleId="Emphasis">
    <w:name w:val="Emphasis"/>
    <w:basedOn w:val="DefaultParagraphFont"/>
    <w:uiPriority w:val="20"/>
    <w:qFormat/>
    <w:rsid w:val="00143D83"/>
    <w:rPr>
      <w:i/>
      <w:iCs/>
    </w:rPr>
  </w:style>
  <w:style w:type="table" w:styleId="TableGrid">
    <w:name w:val="Table Grid"/>
    <w:basedOn w:val="TableNormal"/>
    <w:rsid w:val="007D121E"/>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7D121E"/>
    <w:pPr>
      <w:tabs>
        <w:tab w:val="center" w:pos="4680"/>
        <w:tab w:val="right" w:pos="9360"/>
      </w:tabs>
      <w:spacing w:after="0"/>
    </w:pPr>
  </w:style>
  <w:style w:type="character" w:customStyle="1" w:styleId="HeaderChar">
    <w:name w:val="Header Char"/>
    <w:basedOn w:val="DefaultParagraphFont"/>
    <w:link w:val="Header"/>
    <w:rsid w:val="007D121E"/>
  </w:style>
  <w:style w:type="paragraph" w:styleId="Footer">
    <w:name w:val="footer"/>
    <w:basedOn w:val="Normal"/>
    <w:link w:val="FooterChar"/>
    <w:uiPriority w:val="99"/>
    <w:unhideWhenUsed/>
    <w:rsid w:val="007D121E"/>
    <w:pPr>
      <w:tabs>
        <w:tab w:val="center" w:pos="4680"/>
        <w:tab w:val="right" w:pos="9360"/>
      </w:tabs>
      <w:spacing w:after="0"/>
    </w:pPr>
  </w:style>
  <w:style w:type="character" w:customStyle="1" w:styleId="FooterChar">
    <w:name w:val="Footer Char"/>
    <w:basedOn w:val="DefaultParagraphFont"/>
    <w:link w:val="Footer"/>
    <w:uiPriority w:val="99"/>
    <w:rsid w:val="007D121E"/>
  </w:style>
  <w:style w:type="paragraph" w:styleId="NoSpacing">
    <w:name w:val="No Spacing"/>
    <w:link w:val="NoSpacingChar"/>
    <w:uiPriority w:val="1"/>
    <w:qFormat/>
    <w:rsid w:val="00060776"/>
    <w:pPr>
      <w:spacing w:after="0"/>
    </w:pPr>
    <w:rPr>
      <w:rFonts w:eastAsiaTheme="minorEastAsia"/>
      <w:sz w:val="22"/>
      <w:szCs w:val="22"/>
    </w:rPr>
  </w:style>
  <w:style w:type="character" w:customStyle="1" w:styleId="NoSpacingChar">
    <w:name w:val="No Spacing Char"/>
    <w:basedOn w:val="DefaultParagraphFont"/>
    <w:link w:val="NoSpacing"/>
    <w:uiPriority w:val="1"/>
    <w:rsid w:val="00060776"/>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585548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sTUDENT ID: 2424944</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 REPORT MODULE CODE: BMHP5016</dc:title>
  <dc:creator>MUHAMMAD JUNAID</dc:creator>
  <cp:keywords/>
  <cp:lastModifiedBy>Mohammed Junaid</cp:lastModifiedBy>
  <cp:revision>2</cp:revision>
  <dcterms:created xsi:type="dcterms:W3CDTF">2026-03-29T09:12:00Z</dcterms:created>
  <dcterms:modified xsi:type="dcterms:W3CDTF">2026-03-29T09:12:00Z</dcterms:modified>
</cp:coreProperties>
</file>