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0734849"/>
        <w:docPartObj>
          <w:docPartGallery w:val="Cover Pages"/>
          <w:docPartUnique/>
        </w:docPartObj>
      </w:sdtPr>
      <w:sdtEndPr>
        <w:rPr>
          <w:rFonts w:ascii="Arial" w:hAnsi="Arial" w:cs="Arial"/>
          <w:b/>
          <w:bCs/>
        </w:rPr>
      </w:sdtEndPr>
      <w:sdtContent>
        <w:p w14:paraId="75F5125E" w14:textId="77777777" w:rsidR="00027880" w:rsidRDefault="00027880" w:rsidP="00027880"/>
        <w:tbl>
          <w:tblPr>
            <w:tblpPr w:leftFromText="187" w:rightFromText="187" w:horzAnchor="margin"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132"/>
          </w:tblGrid>
          <w:tr w:rsidR="00027880" w14:paraId="73DBE393" w14:textId="77777777">
            <w:sdt>
              <w:sdtPr>
                <w:rPr>
                  <w:rFonts w:ascii="Arial" w:hAnsi="Arial" w:cs="Arial"/>
                  <w:sz w:val="24"/>
                  <w:szCs w:val="24"/>
                </w:rPr>
                <w:alias w:val="Company"/>
                <w:id w:val="13406915"/>
                <w:placeholder>
                  <w:docPart w:val="5322D342E58A4FF59F5D28568960BE43"/>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55CEA6A5" w14:textId="23834CC3" w:rsidR="00027880" w:rsidRDefault="00BB4871">
                    <w:pPr>
                      <w:pStyle w:val="NoSpacing"/>
                      <w:rPr>
                        <w:color w:val="0F4761" w:themeColor="accent1" w:themeShade="BF"/>
                        <w:sz w:val="24"/>
                      </w:rPr>
                    </w:pPr>
                    <w:r>
                      <w:rPr>
                        <w:rFonts w:ascii="Arial" w:hAnsi="Arial" w:cs="Arial"/>
                        <w:sz w:val="24"/>
                        <w:szCs w:val="24"/>
                      </w:rPr>
                      <w:t>Asses</w:t>
                    </w:r>
                    <w:r w:rsidR="00F8477B">
                      <w:rPr>
                        <w:rFonts w:ascii="Arial" w:hAnsi="Arial" w:cs="Arial"/>
                        <w:sz w:val="24"/>
                        <w:szCs w:val="24"/>
                      </w:rPr>
                      <w:t>s</w:t>
                    </w:r>
                    <w:r>
                      <w:rPr>
                        <w:rFonts w:ascii="Arial" w:hAnsi="Arial" w:cs="Arial"/>
                        <w:sz w:val="24"/>
                        <w:szCs w:val="24"/>
                      </w:rPr>
                      <w:t>ment</w:t>
                    </w:r>
                    <w:r w:rsidR="00015C46">
                      <w:rPr>
                        <w:rFonts w:ascii="Arial" w:hAnsi="Arial" w:cs="Arial"/>
                        <w:sz w:val="24"/>
                        <w:szCs w:val="24"/>
                      </w:rPr>
                      <w:t xml:space="preserve"> </w:t>
                    </w:r>
                    <w:r w:rsidR="00AB2597">
                      <w:rPr>
                        <w:rFonts w:ascii="Arial" w:hAnsi="Arial" w:cs="Arial"/>
                        <w:sz w:val="24"/>
                        <w:szCs w:val="24"/>
                      </w:rPr>
                      <w:t xml:space="preserve">Component </w:t>
                    </w:r>
                    <w:r w:rsidR="001D44F5">
                      <w:rPr>
                        <w:rFonts w:ascii="Arial" w:hAnsi="Arial" w:cs="Arial"/>
                        <w:sz w:val="24"/>
                        <w:szCs w:val="24"/>
                      </w:rPr>
                      <w:t>1</w:t>
                    </w:r>
                  </w:p>
                </w:tc>
              </w:sdtContent>
            </w:sdt>
          </w:tr>
          <w:tr w:rsidR="00027880" w14:paraId="55FB686E" w14:textId="77777777">
            <w:tc>
              <w:tcPr>
                <w:tcW w:w="7209" w:type="dxa"/>
              </w:tcPr>
              <w:sdt>
                <w:sdtPr>
                  <w:rPr>
                    <w:rFonts w:ascii="Arial" w:eastAsiaTheme="majorEastAsia" w:hAnsi="Arial" w:cs="Arial"/>
                    <w:sz w:val="88"/>
                    <w:szCs w:val="88"/>
                  </w:rPr>
                  <w:alias w:val="Title"/>
                  <w:id w:val="13406919"/>
                  <w:placeholder>
                    <w:docPart w:val="A4466F78F51948E6A6271F2CFE6D029E"/>
                  </w:placeholder>
                  <w:dataBinding w:prefixMappings="xmlns:ns0='http://schemas.openxmlformats.org/package/2006/metadata/core-properties' xmlns:ns1='http://purl.org/dc/elements/1.1/'" w:xpath="/ns0:coreProperties[1]/ns1:title[1]" w:storeItemID="{6C3C8BC8-F283-45AE-878A-BAB7291924A1}"/>
                  <w:text/>
                </w:sdtPr>
                <w:sdtEndPr/>
                <w:sdtContent>
                  <w:p w14:paraId="55B68439" w14:textId="0816FA90" w:rsidR="00027880" w:rsidRDefault="006D30C7">
                    <w:pPr>
                      <w:pStyle w:val="NoSpacing"/>
                      <w:spacing w:line="216" w:lineRule="auto"/>
                      <w:rPr>
                        <w:rFonts w:asciiTheme="majorHAnsi" w:eastAsiaTheme="majorEastAsia" w:hAnsiTheme="majorHAnsi" w:cstheme="majorBidi"/>
                        <w:color w:val="156082" w:themeColor="accent1"/>
                        <w:sz w:val="88"/>
                        <w:szCs w:val="88"/>
                      </w:rPr>
                    </w:pPr>
                    <w:r>
                      <w:rPr>
                        <w:rFonts w:ascii="Arial" w:eastAsiaTheme="majorEastAsia" w:hAnsi="Arial" w:cs="Arial"/>
                        <w:sz w:val="88"/>
                        <w:szCs w:val="88"/>
                      </w:rPr>
                      <w:t>Independent Study Module</w:t>
                    </w:r>
                  </w:p>
                </w:sdtContent>
              </w:sdt>
            </w:tc>
          </w:tr>
          <w:tr w:rsidR="00027880" w14:paraId="3BEB26C8" w14:textId="77777777">
            <w:tc>
              <w:tcPr>
                <w:tcW w:w="7209" w:type="dxa"/>
                <w:tcMar>
                  <w:top w:w="216" w:type="dxa"/>
                  <w:left w:w="115" w:type="dxa"/>
                  <w:bottom w:w="216" w:type="dxa"/>
                  <w:right w:w="115" w:type="dxa"/>
                </w:tcMar>
              </w:tcPr>
              <w:p w14:paraId="67DA4738" w14:textId="77777777" w:rsidR="00027880" w:rsidRDefault="00027880" w:rsidP="00943F1B">
                <w:pPr>
                  <w:pStyle w:val="NoSpacing"/>
                  <w:rPr>
                    <w:color w:val="0F4761" w:themeColor="accent1" w:themeShade="BF"/>
                    <w:sz w:val="24"/>
                  </w:rPr>
                </w:pPr>
              </w:p>
            </w:tc>
          </w:tr>
        </w:tbl>
        <w:p w14:paraId="473B8EAA" w14:textId="77777777" w:rsidR="00027880" w:rsidRDefault="00027880" w:rsidP="00027880">
          <w:pPr>
            <w:pStyle w:val="NoSpacing"/>
            <w:rPr>
              <w:rFonts w:ascii="Arial" w:hAnsi="Arial" w:cs="Arial"/>
              <w:b/>
              <w:bCs/>
            </w:rPr>
          </w:pPr>
          <w:r>
            <w:rPr>
              <w:rFonts w:ascii="Arial" w:hAnsi="Arial" w:cs="Arial"/>
              <w:b/>
              <w:bCs/>
            </w:rPr>
            <w:t xml:space="preserve"> </w:t>
          </w:r>
        </w:p>
        <w:p w14:paraId="52DCD896" w14:textId="77777777" w:rsidR="00027880" w:rsidRDefault="00027880" w:rsidP="00027880">
          <w:pPr>
            <w:pStyle w:val="NoSpacing"/>
            <w:rPr>
              <w:rFonts w:ascii="Arial" w:hAnsi="Arial" w:cs="Arial"/>
              <w:b/>
              <w:bCs/>
            </w:rPr>
          </w:pPr>
        </w:p>
        <w:p w14:paraId="7D6DE19B" w14:textId="77777777" w:rsidR="00027880" w:rsidRDefault="00027880" w:rsidP="00AF275B">
          <w:pPr>
            <w:pStyle w:val="NoSpacing"/>
            <w:ind w:right="283"/>
            <w:rPr>
              <w:rFonts w:ascii="Arial" w:hAnsi="Arial" w:cs="Arial"/>
              <w:b/>
              <w:bCs/>
            </w:rPr>
          </w:pPr>
        </w:p>
        <w:p w14:paraId="7B7505D2" w14:textId="77777777" w:rsidR="00027880" w:rsidRDefault="00027880" w:rsidP="00027880">
          <w:pPr>
            <w:pStyle w:val="NoSpacing"/>
            <w:rPr>
              <w:rFonts w:ascii="Arial" w:hAnsi="Arial" w:cs="Arial"/>
              <w:b/>
              <w:bCs/>
            </w:rPr>
          </w:pPr>
        </w:p>
        <w:p w14:paraId="536D35B6" w14:textId="77777777" w:rsidR="00027880" w:rsidRDefault="00027880" w:rsidP="00027880">
          <w:pPr>
            <w:pStyle w:val="NoSpacing"/>
            <w:rPr>
              <w:rFonts w:ascii="Arial" w:hAnsi="Arial" w:cs="Arial"/>
              <w:b/>
              <w:bCs/>
            </w:rPr>
          </w:pPr>
        </w:p>
        <w:p w14:paraId="1FB25AAA" w14:textId="77777777" w:rsidR="00027880" w:rsidRDefault="00027880" w:rsidP="00027880">
          <w:pPr>
            <w:pStyle w:val="NoSpacing"/>
            <w:rPr>
              <w:rFonts w:ascii="Arial" w:hAnsi="Arial" w:cs="Arial"/>
              <w:b/>
              <w:bCs/>
            </w:rPr>
          </w:pPr>
        </w:p>
        <w:p w14:paraId="184CF38B" w14:textId="77777777" w:rsidR="00027880" w:rsidRDefault="00027880" w:rsidP="00027880">
          <w:pPr>
            <w:pStyle w:val="NoSpacing"/>
            <w:rPr>
              <w:rFonts w:ascii="Arial" w:hAnsi="Arial" w:cs="Arial"/>
              <w:b/>
              <w:bCs/>
            </w:rPr>
          </w:pPr>
        </w:p>
        <w:p w14:paraId="5B27CF6C" w14:textId="77777777" w:rsidR="00027880" w:rsidRDefault="00027880" w:rsidP="00027880">
          <w:pPr>
            <w:pStyle w:val="NoSpacing"/>
            <w:rPr>
              <w:rFonts w:ascii="Arial" w:hAnsi="Arial" w:cs="Arial"/>
              <w:b/>
              <w:bCs/>
            </w:rPr>
          </w:pPr>
        </w:p>
        <w:p w14:paraId="214D375B" w14:textId="77777777" w:rsidR="00027880" w:rsidRDefault="00027880" w:rsidP="00027880">
          <w:pPr>
            <w:pStyle w:val="NoSpacing"/>
            <w:rPr>
              <w:rFonts w:ascii="Arial" w:hAnsi="Arial" w:cs="Arial"/>
              <w:b/>
              <w:bCs/>
            </w:rPr>
          </w:pPr>
        </w:p>
        <w:p w14:paraId="2A515EB9" w14:textId="77777777" w:rsidR="00027880" w:rsidRDefault="00027880" w:rsidP="00027880">
          <w:pPr>
            <w:pStyle w:val="NoSpacing"/>
            <w:rPr>
              <w:rFonts w:ascii="Arial" w:hAnsi="Arial" w:cs="Arial"/>
              <w:b/>
              <w:bCs/>
            </w:rPr>
          </w:pPr>
        </w:p>
        <w:p w14:paraId="0EABAFAF" w14:textId="77777777" w:rsidR="00027880" w:rsidRDefault="00027880" w:rsidP="00027880">
          <w:pPr>
            <w:pStyle w:val="NoSpacing"/>
            <w:rPr>
              <w:rFonts w:ascii="Arial" w:hAnsi="Arial" w:cs="Arial"/>
              <w:b/>
              <w:bCs/>
            </w:rPr>
          </w:pPr>
        </w:p>
        <w:p w14:paraId="6B7F8332" w14:textId="77777777" w:rsidR="00027880" w:rsidRDefault="00027880" w:rsidP="00027880">
          <w:pPr>
            <w:pStyle w:val="NoSpacing"/>
            <w:rPr>
              <w:rFonts w:ascii="Arial" w:hAnsi="Arial" w:cs="Arial"/>
              <w:b/>
              <w:bCs/>
            </w:rPr>
          </w:pPr>
        </w:p>
        <w:p w14:paraId="15D8FEF7" w14:textId="77777777" w:rsidR="00027880" w:rsidRDefault="00027880" w:rsidP="00027880">
          <w:pPr>
            <w:pStyle w:val="NoSpacing"/>
            <w:rPr>
              <w:rFonts w:ascii="Arial" w:hAnsi="Arial" w:cs="Arial"/>
              <w:b/>
              <w:bCs/>
            </w:rPr>
          </w:pPr>
        </w:p>
        <w:p w14:paraId="40BA0F7D" w14:textId="77777777" w:rsidR="00027880" w:rsidRDefault="00027880" w:rsidP="00027880">
          <w:pPr>
            <w:pStyle w:val="NoSpacing"/>
            <w:rPr>
              <w:rFonts w:ascii="Arial" w:hAnsi="Arial" w:cs="Arial"/>
              <w:b/>
              <w:bCs/>
            </w:rPr>
          </w:pPr>
        </w:p>
        <w:p w14:paraId="3CF10C5F" w14:textId="77777777" w:rsidR="00027880" w:rsidRDefault="00027880" w:rsidP="00027880">
          <w:pPr>
            <w:pStyle w:val="NoSpacing"/>
            <w:rPr>
              <w:rFonts w:ascii="Arial" w:hAnsi="Arial" w:cs="Arial"/>
              <w:b/>
              <w:bCs/>
            </w:rPr>
          </w:pPr>
        </w:p>
        <w:p w14:paraId="067469D0" w14:textId="77777777" w:rsidR="00027880" w:rsidRDefault="00027880" w:rsidP="00027880">
          <w:pPr>
            <w:pStyle w:val="NoSpacing"/>
            <w:rPr>
              <w:rFonts w:ascii="Arial" w:hAnsi="Arial" w:cs="Arial"/>
              <w:b/>
              <w:bCs/>
            </w:rPr>
          </w:pPr>
        </w:p>
        <w:p w14:paraId="3B0C071C" w14:textId="77777777" w:rsidR="00027880" w:rsidRDefault="00027880" w:rsidP="00027880">
          <w:pPr>
            <w:pStyle w:val="NoSpacing"/>
            <w:rPr>
              <w:rFonts w:ascii="Arial" w:hAnsi="Arial" w:cs="Arial"/>
              <w:b/>
              <w:bCs/>
            </w:rPr>
          </w:pPr>
        </w:p>
        <w:p w14:paraId="5779A000" w14:textId="77777777" w:rsidR="00027880" w:rsidRDefault="00027880" w:rsidP="00027880">
          <w:pPr>
            <w:pStyle w:val="NoSpacing"/>
            <w:rPr>
              <w:rFonts w:ascii="Arial" w:hAnsi="Arial" w:cs="Arial"/>
              <w:b/>
              <w:bCs/>
            </w:rPr>
          </w:pPr>
        </w:p>
        <w:p w14:paraId="6FFC103D" w14:textId="77777777" w:rsidR="00027880" w:rsidRDefault="00027880" w:rsidP="00027880">
          <w:pPr>
            <w:pStyle w:val="NoSpacing"/>
            <w:rPr>
              <w:rFonts w:ascii="Arial" w:hAnsi="Arial" w:cs="Arial"/>
              <w:b/>
              <w:bCs/>
            </w:rPr>
          </w:pPr>
        </w:p>
        <w:p w14:paraId="3407F81C" w14:textId="77777777" w:rsidR="00027880" w:rsidRDefault="00027880" w:rsidP="00027880">
          <w:pPr>
            <w:pStyle w:val="NoSpacing"/>
            <w:rPr>
              <w:rFonts w:ascii="Arial" w:hAnsi="Arial" w:cs="Arial"/>
              <w:b/>
              <w:bCs/>
            </w:rPr>
          </w:pPr>
        </w:p>
        <w:p w14:paraId="30C61F11" w14:textId="77777777" w:rsidR="00027880" w:rsidRDefault="00027880" w:rsidP="00027880">
          <w:pPr>
            <w:pStyle w:val="NoSpacing"/>
            <w:rPr>
              <w:rFonts w:ascii="Arial" w:hAnsi="Arial" w:cs="Arial"/>
              <w:b/>
              <w:bCs/>
            </w:rPr>
          </w:pPr>
        </w:p>
        <w:p w14:paraId="3BA2A14C" w14:textId="77777777" w:rsidR="00027880" w:rsidRDefault="00027880" w:rsidP="00027880">
          <w:pPr>
            <w:pStyle w:val="NoSpacing"/>
            <w:rPr>
              <w:rFonts w:ascii="Arial" w:hAnsi="Arial" w:cs="Arial"/>
              <w:b/>
              <w:bCs/>
            </w:rPr>
          </w:pPr>
        </w:p>
        <w:p w14:paraId="6912BD71" w14:textId="77777777" w:rsidR="00027880" w:rsidRDefault="00027880" w:rsidP="00027880">
          <w:pPr>
            <w:pStyle w:val="NoSpacing"/>
            <w:rPr>
              <w:rFonts w:ascii="Arial" w:hAnsi="Arial" w:cs="Arial"/>
              <w:b/>
              <w:bCs/>
            </w:rPr>
          </w:pPr>
        </w:p>
        <w:p w14:paraId="0EFA9A48" w14:textId="77777777" w:rsidR="00027880" w:rsidRDefault="00027880" w:rsidP="00027880">
          <w:pPr>
            <w:pStyle w:val="NoSpacing"/>
            <w:rPr>
              <w:rFonts w:ascii="Arial" w:hAnsi="Arial" w:cs="Arial"/>
              <w:b/>
              <w:bCs/>
            </w:rPr>
          </w:pPr>
        </w:p>
        <w:p w14:paraId="3EFD63CB" w14:textId="77777777" w:rsidR="00027880" w:rsidRDefault="00027880" w:rsidP="00027880">
          <w:pPr>
            <w:pStyle w:val="NoSpacing"/>
            <w:rPr>
              <w:rFonts w:ascii="Arial" w:hAnsi="Arial" w:cs="Arial"/>
              <w:b/>
              <w:bCs/>
            </w:rPr>
          </w:pPr>
        </w:p>
        <w:p w14:paraId="19EA3FF6" w14:textId="77777777" w:rsidR="00027880" w:rsidRDefault="00027880" w:rsidP="00027880">
          <w:pPr>
            <w:pStyle w:val="NoSpacing"/>
            <w:rPr>
              <w:rFonts w:ascii="Arial" w:hAnsi="Arial" w:cs="Arial"/>
              <w:b/>
              <w:bCs/>
            </w:rPr>
          </w:pPr>
        </w:p>
        <w:p w14:paraId="4AA47258" w14:textId="77777777" w:rsidR="00027880" w:rsidRDefault="00027880" w:rsidP="00027880">
          <w:pPr>
            <w:pStyle w:val="NoSpacing"/>
            <w:rPr>
              <w:rFonts w:ascii="Arial" w:hAnsi="Arial" w:cs="Arial"/>
              <w:b/>
              <w:bCs/>
            </w:rPr>
          </w:pPr>
        </w:p>
        <w:p w14:paraId="21C379BB" w14:textId="77777777" w:rsidR="00027880" w:rsidRDefault="00027880" w:rsidP="00027880">
          <w:pPr>
            <w:pStyle w:val="NoSpacing"/>
            <w:rPr>
              <w:rFonts w:ascii="Arial" w:hAnsi="Arial" w:cs="Arial"/>
              <w:b/>
              <w:bCs/>
            </w:rPr>
          </w:pPr>
        </w:p>
        <w:p w14:paraId="6321B3A7" w14:textId="46866601" w:rsidR="00027880" w:rsidRDefault="00027880" w:rsidP="00027880">
          <w:pPr>
            <w:pStyle w:val="NoSpacing"/>
            <w:rPr>
              <w:rFonts w:ascii="Arial" w:hAnsi="Arial" w:cs="Arial"/>
              <w:b/>
              <w:bCs/>
            </w:rPr>
          </w:pPr>
        </w:p>
        <w:p w14:paraId="1EF5FAC4" w14:textId="77777777" w:rsidR="00027880" w:rsidRDefault="00027880" w:rsidP="00027880">
          <w:pPr>
            <w:pStyle w:val="NoSpacing"/>
            <w:rPr>
              <w:rFonts w:ascii="Arial" w:hAnsi="Arial" w:cs="Arial"/>
              <w:b/>
              <w:bCs/>
            </w:rPr>
          </w:pPr>
        </w:p>
        <w:p w14:paraId="5DA1F6A9" w14:textId="77777777" w:rsidR="00027880" w:rsidRDefault="00027880" w:rsidP="00027880">
          <w:pPr>
            <w:pStyle w:val="NoSpacing"/>
            <w:rPr>
              <w:rFonts w:ascii="Arial" w:hAnsi="Arial" w:cs="Arial"/>
              <w:b/>
              <w:bCs/>
            </w:rPr>
          </w:pPr>
        </w:p>
        <w:p w14:paraId="298099D9" w14:textId="77777777" w:rsidR="00027880" w:rsidRDefault="00027880" w:rsidP="00027880">
          <w:pPr>
            <w:pStyle w:val="NoSpacing"/>
            <w:rPr>
              <w:rFonts w:ascii="Arial" w:hAnsi="Arial" w:cs="Arial"/>
              <w:b/>
              <w:bCs/>
            </w:rPr>
          </w:pPr>
        </w:p>
        <w:p w14:paraId="459AD540" w14:textId="77777777" w:rsidR="00027880" w:rsidRDefault="00027880" w:rsidP="00027880">
          <w:pPr>
            <w:pStyle w:val="NoSpacing"/>
            <w:rPr>
              <w:rFonts w:ascii="Arial" w:hAnsi="Arial" w:cs="Arial"/>
              <w:b/>
              <w:bCs/>
            </w:rPr>
          </w:pPr>
        </w:p>
        <w:p w14:paraId="5FF3D3A9" w14:textId="77777777" w:rsidR="00027880" w:rsidRDefault="00027880" w:rsidP="00027880">
          <w:pPr>
            <w:pStyle w:val="NoSpacing"/>
            <w:rPr>
              <w:rFonts w:ascii="Arial" w:hAnsi="Arial" w:cs="Arial"/>
              <w:b/>
              <w:bCs/>
            </w:rPr>
          </w:pPr>
        </w:p>
        <w:p w14:paraId="280BEB50" w14:textId="77777777" w:rsidR="00027880" w:rsidRDefault="00027880" w:rsidP="00027880">
          <w:pPr>
            <w:pStyle w:val="NoSpacing"/>
            <w:rPr>
              <w:rFonts w:ascii="Arial" w:hAnsi="Arial" w:cs="Arial"/>
              <w:b/>
              <w:bCs/>
            </w:rPr>
          </w:pPr>
        </w:p>
        <w:p w14:paraId="6C4F2BA2" w14:textId="0444B873" w:rsidR="00027880" w:rsidRDefault="00027880" w:rsidP="00237CE2">
          <w:pPr>
            <w:pStyle w:val="NoSpacing"/>
            <w:spacing w:line="360" w:lineRule="auto"/>
            <w:rPr>
              <w:rFonts w:ascii="Arial" w:hAnsi="Arial" w:cs="Arial"/>
              <w:sz w:val="28"/>
              <w:szCs w:val="28"/>
            </w:rPr>
          </w:pPr>
          <w:r>
            <w:rPr>
              <w:rFonts w:ascii="Arial" w:hAnsi="Arial" w:cs="Arial"/>
              <w:sz w:val="28"/>
              <w:szCs w:val="28"/>
            </w:rPr>
            <w:t xml:space="preserve">Student Name: </w:t>
          </w:r>
          <w:r w:rsidR="00761E7F">
            <w:rPr>
              <w:rFonts w:ascii="Arial" w:hAnsi="Arial" w:cs="Arial"/>
              <w:sz w:val="28"/>
              <w:szCs w:val="28"/>
            </w:rPr>
            <w:tab/>
          </w:r>
          <w:r>
            <w:rPr>
              <w:rFonts w:ascii="Arial" w:hAnsi="Arial" w:cs="Arial"/>
              <w:sz w:val="28"/>
              <w:szCs w:val="28"/>
            </w:rPr>
            <w:t>Mia Evans</w:t>
          </w:r>
        </w:p>
        <w:p w14:paraId="3449E24F" w14:textId="6845BBA3" w:rsidR="00027880" w:rsidRPr="005D5DA0" w:rsidRDefault="00027880" w:rsidP="00237CE2">
          <w:pPr>
            <w:pStyle w:val="NoSpacing"/>
            <w:spacing w:line="360" w:lineRule="auto"/>
            <w:rPr>
              <w:rFonts w:ascii="Arial" w:hAnsi="Arial" w:cs="Arial"/>
              <w:sz w:val="28"/>
              <w:szCs w:val="28"/>
            </w:rPr>
          </w:pPr>
          <w:r w:rsidRPr="005D5DA0">
            <w:rPr>
              <w:rFonts w:ascii="Arial" w:hAnsi="Arial" w:cs="Arial"/>
              <w:sz w:val="28"/>
              <w:szCs w:val="28"/>
            </w:rPr>
            <w:t>Student N</w:t>
          </w:r>
          <w:r w:rsidR="00636351">
            <w:rPr>
              <w:rFonts w:ascii="Arial" w:hAnsi="Arial" w:cs="Arial"/>
              <w:sz w:val="28"/>
              <w:szCs w:val="28"/>
            </w:rPr>
            <w:t>o.</w:t>
          </w:r>
          <w:r w:rsidRPr="005D5DA0">
            <w:rPr>
              <w:rFonts w:ascii="Arial" w:hAnsi="Arial" w:cs="Arial"/>
              <w:sz w:val="28"/>
              <w:szCs w:val="28"/>
            </w:rPr>
            <w:t xml:space="preserve">: </w:t>
          </w:r>
          <w:r w:rsidR="00636351">
            <w:rPr>
              <w:rFonts w:ascii="Arial" w:hAnsi="Arial" w:cs="Arial"/>
              <w:sz w:val="28"/>
              <w:szCs w:val="28"/>
            </w:rPr>
            <w:tab/>
          </w:r>
          <w:r w:rsidRPr="005D5DA0">
            <w:rPr>
              <w:rFonts w:ascii="Arial" w:hAnsi="Arial" w:cs="Arial"/>
              <w:sz w:val="28"/>
              <w:szCs w:val="28"/>
            </w:rPr>
            <w:t>2129370</w:t>
          </w:r>
        </w:p>
        <w:p w14:paraId="117BBF4D" w14:textId="12F01A38" w:rsidR="00027880" w:rsidRDefault="00027880" w:rsidP="00237CE2">
          <w:pPr>
            <w:pStyle w:val="NoSpacing"/>
            <w:spacing w:line="360" w:lineRule="auto"/>
            <w:rPr>
              <w:rFonts w:ascii="Arial" w:hAnsi="Arial" w:cs="Arial"/>
              <w:sz w:val="28"/>
              <w:szCs w:val="28"/>
            </w:rPr>
          </w:pPr>
          <w:r>
            <w:rPr>
              <w:rFonts w:ascii="Arial" w:hAnsi="Arial" w:cs="Arial"/>
              <w:sz w:val="28"/>
              <w:szCs w:val="28"/>
            </w:rPr>
            <w:t xml:space="preserve">Qualification: </w:t>
          </w:r>
          <w:r w:rsidR="00237CE2">
            <w:rPr>
              <w:rFonts w:ascii="Arial" w:hAnsi="Arial" w:cs="Arial"/>
              <w:sz w:val="28"/>
              <w:szCs w:val="28"/>
            </w:rPr>
            <w:tab/>
          </w:r>
          <w:r>
            <w:rPr>
              <w:rFonts w:ascii="Arial" w:hAnsi="Arial" w:cs="Arial"/>
              <w:sz w:val="28"/>
              <w:szCs w:val="28"/>
            </w:rPr>
            <w:t>Master of Arts, Professional Practice Level 7</w:t>
          </w:r>
        </w:p>
        <w:p w14:paraId="5366B534" w14:textId="6C942198" w:rsidR="00027880" w:rsidRDefault="00027880" w:rsidP="00636351">
          <w:pPr>
            <w:pStyle w:val="NoSpacing"/>
            <w:spacing w:line="360" w:lineRule="auto"/>
            <w:ind w:left="2160" w:hanging="2160"/>
            <w:rPr>
              <w:rFonts w:ascii="Arial" w:hAnsi="Arial" w:cs="Arial"/>
              <w:sz w:val="28"/>
              <w:szCs w:val="28"/>
            </w:rPr>
          </w:pPr>
          <w:r w:rsidRPr="005D5DA0">
            <w:rPr>
              <w:rFonts w:ascii="Arial" w:hAnsi="Arial" w:cs="Arial"/>
              <w:sz w:val="28"/>
              <w:szCs w:val="28"/>
            </w:rPr>
            <w:t xml:space="preserve">Module:  </w:t>
          </w:r>
          <w:r w:rsidR="00237CE2">
            <w:rPr>
              <w:rFonts w:ascii="Arial" w:hAnsi="Arial" w:cs="Arial"/>
              <w:sz w:val="28"/>
              <w:szCs w:val="28"/>
            </w:rPr>
            <w:tab/>
          </w:r>
          <w:r w:rsidRPr="005D5DA0">
            <w:rPr>
              <w:rFonts w:ascii="Arial" w:hAnsi="Arial" w:cs="Arial"/>
              <w:sz w:val="28"/>
              <w:szCs w:val="28"/>
            </w:rPr>
            <w:t>BMPF70</w:t>
          </w:r>
          <w:r w:rsidR="00EB3129">
            <w:rPr>
              <w:rFonts w:ascii="Arial" w:hAnsi="Arial" w:cs="Arial"/>
              <w:sz w:val="28"/>
              <w:szCs w:val="28"/>
            </w:rPr>
            <w:t>12</w:t>
          </w:r>
          <w:r w:rsidRPr="005D5DA0">
            <w:rPr>
              <w:rFonts w:ascii="Arial" w:hAnsi="Arial" w:cs="Arial"/>
              <w:sz w:val="28"/>
              <w:szCs w:val="28"/>
            </w:rPr>
            <w:t xml:space="preserve"> </w:t>
          </w:r>
          <w:r w:rsidR="00636351">
            <w:rPr>
              <w:rFonts w:ascii="Arial" w:hAnsi="Arial" w:cs="Arial"/>
              <w:sz w:val="28"/>
              <w:szCs w:val="28"/>
            </w:rPr>
            <w:br/>
          </w:r>
          <w:r w:rsidR="004806E9">
            <w:rPr>
              <w:rFonts w:ascii="Arial" w:hAnsi="Arial" w:cs="Arial"/>
              <w:sz w:val="28"/>
              <w:szCs w:val="28"/>
            </w:rPr>
            <w:t>Independent Study Module</w:t>
          </w:r>
        </w:p>
        <w:p w14:paraId="264269A1" w14:textId="55FB9112" w:rsidR="00027880" w:rsidRPr="005D5DA0" w:rsidRDefault="00027880" w:rsidP="00237CE2">
          <w:pPr>
            <w:pStyle w:val="NoSpacing"/>
            <w:spacing w:line="360" w:lineRule="auto"/>
            <w:rPr>
              <w:rFonts w:ascii="Arial" w:hAnsi="Arial" w:cs="Arial"/>
              <w:sz w:val="28"/>
              <w:szCs w:val="28"/>
            </w:rPr>
          </w:pPr>
          <w:r>
            <w:rPr>
              <w:rFonts w:ascii="Arial" w:hAnsi="Arial" w:cs="Arial"/>
              <w:sz w:val="28"/>
              <w:szCs w:val="28"/>
            </w:rPr>
            <w:t>Word Count:</w:t>
          </w:r>
          <w:r w:rsidR="00237CE2">
            <w:rPr>
              <w:rFonts w:ascii="Arial" w:hAnsi="Arial" w:cs="Arial"/>
              <w:sz w:val="28"/>
              <w:szCs w:val="28"/>
            </w:rPr>
            <w:tab/>
          </w:r>
          <w:r w:rsidR="00551880" w:rsidRPr="0011481C">
            <w:rPr>
              <w:rFonts w:ascii="Arial" w:hAnsi="Arial" w:cs="Arial"/>
              <w:color w:val="000000" w:themeColor="text1"/>
              <w:sz w:val="28"/>
              <w:szCs w:val="28"/>
            </w:rPr>
            <w:t>29</w:t>
          </w:r>
          <w:r w:rsidR="003F7CB6">
            <w:rPr>
              <w:rFonts w:ascii="Arial" w:hAnsi="Arial" w:cs="Arial"/>
              <w:color w:val="000000" w:themeColor="text1"/>
              <w:sz w:val="28"/>
              <w:szCs w:val="28"/>
            </w:rPr>
            <w:t>13</w:t>
          </w:r>
          <w:r w:rsidR="008371AF">
            <w:rPr>
              <w:rFonts w:ascii="Arial" w:hAnsi="Arial" w:cs="Arial"/>
              <w:sz w:val="28"/>
              <w:szCs w:val="28"/>
            </w:rPr>
            <w:t>/</w:t>
          </w:r>
          <w:r w:rsidR="00594F06">
            <w:rPr>
              <w:rFonts w:ascii="Arial" w:hAnsi="Arial" w:cs="Arial"/>
              <w:sz w:val="28"/>
              <w:szCs w:val="28"/>
            </w:rPr>
            <w:t>2750</w:t>
          </w:r>
          <w:r w:rsidR="000A3878">
            <w:rPr>
              <w:rFonts w:ascii="Arial" w:hAnsi="Arial" w:cs="Arial"/>
              <w:sz w:val="28"/>
              <w:szCs w:val="28"/>
            </w:rPr>
            <w:t xml:space="preserve"> plus or minus 10%</w:t>
          </w:r>
          <w:r w:rsidR="00147485">
            <w:rPr>
              <w:rFonts w:ascii="Arial" w:hAnsi="Arial" w:cs="Arial"/>
              <w:sz w:val="28"/>
              <w:szCs w:val="28"/>
            </w:rPr>
            <w:t xml:space="preserve"> </w:t>
          </w:r>
        </w:p>
        <w:p w14:paraId="5CDB01E1" w14:textId="77777777" w:rsidR="00027880" w:rsidRDefault="00F87EAA" w:rsidP="00027880">
          <w:pPr>
            <w:rPr>
              <w:rFonts w:ascii="Arial" w:hAnsi="Arial" w:cs="Arial"/>
              <w:b/>
              <w:bCs/>
            </w:rPr>
          </w:pPr>
        </w:p>
      </w:sdtContent>
    </w:sdt>
    <w:p w14:paraId="58E3FE03" w14:textId="77777777" w:rsidR="00027880" w:rsidRDefault="00027880" w:rsidP="00027880">
      <w:pPr>
        <w:spacing w:line="360" w:lineRule="auto"/>
        <w:rPr>
          <w:rFonts w:ascii="Arial" w:hAnsi="Arial" w:cs="Arial"/>
          <w:b/>
          <w:bCs/>
        </w:rPr>
      </w:pPr>
    </w:p>
    <w:p w14:paraId="3D949ACC" w14:textId="77777777" w:rsidR="00027880" w:rsidRDefault="00027880" w:rsidP="00027880">
      <w:pPr>
        <w:spacing w:line="360" w:lineRule="auto"/>
        <w:rPr>
          <w:rFonts w:ascii="Arial" w:hAnsi="Arial" w:cs="Arial"/>
          <w:b/>
          <w:bCs/>
          <w:sz w:val="28"/>
          <w:szCs w:val="28"/>
        </w:rPr>
      </w:pPr>
    </w:p>
    <w:p w14:paraId="6FC25894" w14:textId="77777777" w:rsidR="00DB509F" w:rsidRDefault="00DB509F" w:rsidP="00027880">
      <w:pPr>
        <w:spacing w:line="360" w:lineRule="auto"/>
        <w:rPr>
          <w:rFonts w:ascii="Arial" w:hAnsi="Arial" w:cs="Arial"/>
          <w:b/>
          <w:bCs/>
          <w:sz w:val="28"/>
          <w:szCs w:val="28"/>
        </w:rPr>
      </w:pPr>
    </w:p>
    <w:p w14:paraId="10D1FCE1" w14:textId="77777777" w:rsidR="00DB509F" w:rsidRDefault="00DB509F" w:rsidP="00027880">
      <w:pPr>
        <w:spacing w:line="360" w:lineRule="auto"/>
        <w:rPr>
          <w:rFonts w:ascii="Arial" w:hAnsi="Arial" w:cs="Arial"/>
          <w:b/>
          <w:bCs/>
          <w:sz w:val="28"/>
          <w:szCs w:val="28"/>
        </w:rPr>
      </w:pPr>
    </w:p>
    <w:p w14:paraId="355C05ED" w14:textId="2A1D8F57" w:rsidR="00DB509F" w:rsidRPr="00DB509F" w:rsidRDefault="00DB509F" w:rsidP="6F82E494">
      <w:pPr>
        <w:spacing w:line="360" w:lineRule="auto"/>
        <w:rPr>
          <w:rFonts w:ascii="Arial" w:hAnsi="Arial" w:cs="Arial"/>
          <w:b/>
          <w:bCs/>
          <w:sz w:val="32"/>
          <w:szCs w:val="32"/>
          <w:u w:val="single"/>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48"/>
        <w:gridCol w:w="3882"/>
      </w:tblGrid>
      <w:tr w:rsidR="00476532" w:rsidRPr="00476532" w14:paraId="76E2C6A1" w14:textId="3B41228B" w:rsidTr="00CD224B">
        <w:tc>
          <w:tcPr>
            <w:tcW w:w="5390" w:type="dxa"/>
          </w:tcPr>
          <w:p w14:paraId="46B7090B" w14:textId="77777777" w:rsidR="00476532" w:rsidRPr="00476532" w:rsidRDefault="00476532" w:rsidP="00007A0D">
            <w:pPr>
              <w:spacing w:line="360" w:lineRule="auto"/>
            </w:pPr>
            <w:r w:rsidRPr="00476532">
              <w:rPr>
                <w:rFonts w:ascii="Arial" w:hAnsi="Arial" w:cs="Arial"/>
                <w:b/>
                <w:bCs/>
                <w:sz w:val="32"/>
                <w:szCs w:val="32"/>
                <w:u w:val="single"/>
                <w:lang w:val="en-US"/>
              </w:rPr>
              <w:t>Contents</w:t>
            </w:r>
          </w:p>
        </w:tc>
        <w:tc>
          <w:tcPr>
            <w:tcW w:w="4239" w:type="dxa"/>
          </w:tcPr>
          <w:p w14:paraId="4CD7069C" w14:textId="5A38B075" w:rsidR="00476532" w:rsidRPr="00476532" w:rsidRDefault="00476532" w:rsidP="00476532">
            <w:pPr>
              <w:spacing w:line="360" w:lineRule="auto"/>
              <w:jc w:val="right"/>
              <w:rPr>
                <w:rFonts w:ascii="Arial" w:hAnsi="Arial" w:cs="Arial"/>
                <w:b/>
                <w:bCs/>
                <w:sz w:val="32"/>
                <w:szCs w:val="32"/>
                <w:u w:val="single"/>
                <w:lang w:val="en-US"/>
              </w:rPr>
            </w:pPr>
            <w:r>
              <w:rPr>
                <w:rFonts w:ascii="Arial" w:hAnsi="Arial" w:cs="Arial"/>
                <w:b/>
                <w:bCs/>
                <w:sz w:val="32"/>
                <w:szCs w:val="32"/>
                <w:u w:val="single"/>
                <w:lang w:val="en-US"/>
              </w:rPr>
              <w:t>P</w:t>
            </w:r>
            <w:r w:rsidR="00431CEE">
              <w:rPr>
                <w:rFonts w:ascii="Arial" w:hAnsi="Arial" w:cs="Arial"/>
                <w:b/>
                <w:bCs/>
                <w:sz w:val="32"/>
                <w:szCs w:val="32"/>
                <w:u w:val="single"/>
                <w:lang w:val="en-US"/>
              </w:rPr>
              <w:t>age</w:t>
            </w:r>
          </w:p>
        </w:tc>
      </w:tr>
      <w:tr w:rsidR="00476532" w:rsidRPr="00476532" w14:paraId="7977046B" w14:textId="6FEA60C3" w:rsidTr="00CD224B">
        <w:tc>
          <w:tcPr>
            <w:tcW w:w="5390" w:type="dxa"/>
          </w:tcPr>
          <w:p w14:paraId="74EB144F" w14:textId="77777777" w:rsidR="00476532" w:rsidRPr="00476532" w:rsidRDefault="00476532" w:rsidP="00007A0D">
            <w:pPr>
              <w:spacing w:line="360" w:lineRule="auto"/>
              <w:rPr>
                <w:rFonts w:ascii="Arial" w:hAnsi="Arial" w:cs="Arial"/>
                <w:b/>
                <w:bCs/>
                <w:sz w:val="28"/>
                <w:szCs w:val="28"/>
              </w:rPr>
            </w:pPr>
            <w:r w:rsidRPr="00476532">
              <w:rPr>
                <w:rFonts w:ascii="Arial" w:hAnsi="Arial" w:cs="Arial"/>
                <w:b/>
                <w:bCs/>
                <w:sz w:val="28"/>
                <w:szCs w:val="28"/>
                <w:lang w:val="en-US"/>
              </w:rPr>
              <w:t>​</w:t>
            </w:r>
            <w:r w:rsidRPr="00476532">
              <w:rPr>
                <w:rFonts w:ascii="Arial" w:hAnsi="Arial" w:cs="Arial"/>
                <w:b/>
                <w:bCs/>
                <w:sz w:val="28"/>
                <w:szCs w:val="28"/>
              </w:rPr>
              <w:t> </w:t>
            </w:r>
          </w:p>
        </w:tc>
        <w:tc>
          <w:tcPr>
            <w:tcW w:w="4239" w:type="dxa"/>
          </w:tcPr>
          <w:p w14:paraId="0D8F1D2B" w14:textId="77777777" w:rsidR="00476532" w:rsidRPr="00476532" w:rsidRDefault="00476532" w:rsidP="00007A0D">
            <w:pPr>
              <w:spacing w:line="360" w:lineRule="auto"/>
              <w:rPr>
                <w:rFonts w:ascii="Arial" w:hAnsi="Arial" w:cs="Arial"/>
                <w:b/>
                <w:bCs/>
                <w:sz w:val="28"/>
                <w:szCs w:val="28"/>
                <w:lang w:val="en-US"/>
              </w:rPr>
            </w:pPr>
          </w:p>
        </w:tc>
      </w:tr>
      <w:tr w:rsidR="00476532" w:rsidRPr="00476532" w14:paraId="7E0CFFFD" w14:textId="1F8C5FC0" w:rsidTr="00CD224B">
        <w:tc>
          <w:tcPr>
            <w:tcW w:w="5390" w:type="dxa"/>
          </w:tcPr>
          <w:p w14:paraId="65F18876" w14:textId="282558F2" w:rsidR="00476532" w:rsidRPr="00476532" w:rsidRDefault="00476532" w:rsidP="008A5248">
            <w:pPr>
              <w:pStyle w:val="ListParagraph"/>
              <w:numPr>
                <w:ilvl w:val="0"/>
                <w:numId w:val="10"/>
              </w:numPr>
              <w:spacing w:line="480" w:lineRule="auto"/>
              <w:ind w:left="426" w:hanging="426"/>
              <w:rPr>
                <w:rFonts w:ascii="Arial" w:hAnsi="Arial" w:cs="Arial"/>
                <w:b/>
                <w:bCs/>
                <w:sz w:val="28"/>
                <w:szCs w:val="28"/>
              </w:rPr>
            </w:pPr>
            <w:r w:rsidRPr="00476532">
              <w:rPr>
                <w:rFonts w:ascii="Arial" w:hAnsi="Arial" w:cs="Arial"/>
                <w:b/>
                <w:bCs/>
                <w:sz w:val="28"/>
                <w:szCs w:val="28"/>
                <w:lang w:val="en-US"/>
              </w:rPr>
              <w:t xml:space="preserve"> Proposal</w:t>
            </w:r>
            <w:r w:rsidRPr="00476532">
              <w:rPr>
                <w:rFonts w:ascii="Arial" w:hAnsi="Arial" w:cs="Arial"/>
                <w:b/>
                <w:bCs/>
                <w:sz w:val="28"/>
                <w:szCs w:val="28"/>
                <w:lang w:val="en-US"/>
              </w:rPr>
              <w:tab/>
            </w:r>
            <w:r w:rsidR="001F768B">
              <w:rPr>
                <w:rFonts w:ascii="Arial" w:hAnsi="Arial" w:cs="Arial"/>
                <w:b/>
                <w:bCs/>
                <w:sz w:val="28"/>
                <w:szCs w:val="28"/>
                <w:lang w:val="en-US"/>
              </w:rPr>
              <w:t xml:space="preserve">           </w:t>
            </w:r>
            <w:r w:rsidRPr="00561802">
              <w:rPr>
                <w:rFonts w:ascii="Arial" w:hAnsi="Arial" w:cs="Arial"/>
                <w:sz w:val="28"/>
                <w:szCs w:val="28"/>
                <w:lang w:val="en-US"/>
              </w:rPr>
              <w:t>(5</w:t>
            </w:r>
            <w:r w:rsidR="006B189C">
              <w:rPr>
                <w:rFonts w:ascii="Arial" w:hAnsi="Arial" w:cs="Arial"/>
                <w:sz w:val="28"/>
                <w:szCs w:val="28"/>
                <w:lang w:val="en-US"/>
              </w:rPr>
              <w:t>26</w:t>
            </w:r>
            <w:r w:rsidR="00561802" w:rsidRPr="00561802">
              <w:rPr>
                <w:rFonts w:ascii="Arial" w:hAnsi="Arial" w:cs="Arial"/>
                <w:sz w:val="28"/>
                <w:szCs w:val="28"/>
                <w:lang w:val="en-US"/>
              </w:rPr>
              <w:t>/500</w:t>
            </w:r>
            <w:r w:rsidRPr="00561802">
              <w:rPr>
                <w:rFonts w:ascii="Arial" w:hAnsi="Arial" w:cs="Arial"/>
                <w:sz w:val="28"/>
                <w:szCs w:val="28"/>
                <w:lang w:val="en-US"/>
              </w:rPr>
              <w:t>)</w:t>
            </w:r>
            <w:r w:rsidRPr="00561802">
              <w:rPr>
                <w:rFonts w:ascii="Arial" w:hAnsi="Arial" w:cs="Arial"/>
                <w:sz w:val="28"/>
                <w:szCs w:val="28"/>
                <w:lang w:val="en-US"/>
              </w:rPr>
              <w:tab/>
            </w:r>
          </w:p>
        </w:tc>
        <w:tc>
          <w:tcPr>
            <w:tcW w:w="4239" w:type="dxa"/>
          </w:tcPr>
          <w:p w14:paraId="67421360" w14:textId="4BD65710" w:rsidR="00476532" w:rsidRPr="00431CEE" w:rsidRDefault="00431CEE" w:rsidP="008A5248">
            <w:pPr>
              <w:pStyle w:val="ListParagraph"/>
              <w:spacing w:line="480" w:lineRule="auto"/>
              <w:ind w:left="426"/>
              <w:jc w:val="right"/>
              <w:rPr>
                <w:rFonts w:ascii="Arial" w:hAnsi="Arial" w:cs="Arial"/>
                <w:sz w:val="28"/>
                <w:szCs w:val="28"/>
                <w:lang w:val="en-US"/>
              </w:rPr>
            </w:pPr>
            <w:r w:rsidRPr="00431CEE">
              <w:rPr>
                <w:rFonts w:ascii="Arial" w:hAnsi="Arial" w:cs="Arial"/>
                <w:sz w:val="28"/>
                <w:szCs w:val="28"/>
                <w:lang w:val="en-US"/>
              </w:rPr>
              <w:t>2</w:t>
            </w:r>
          </w:p>
        </w:tc>
      </w:tr>
      <w:tr w:rsidR="00476532" w:rsidRPr="00476532" w14:paraId="5BDA8DD5" w14:textId="7E6F4789" w:rsidTr="00CD224B">
        <w:tc>
          <w:tcPr>
            <w:tcW w:w="5390" w:type="dxa"/>
          </w:tcPr>
          <w:p w14:paraId="53C5870B" w14:textId="4C4F35E9" w:rsidR="00476532" w:rsidRPr="00476532" w:rsidRDefault="00476532" w:rsidP="008A5248">
            <w:pPr>
              <w:spacing w:line="480" w:lineRule="auto"/>
              <w:rPr>
                <w:rFonts w:ascii="Arial" w:hAnsi="Arial" w:cs="Arial"/>
                <w:b/>
                <w:bCs/>
                <w:sz w:val="28"/>
                <w:szCs w:val="28"/>
              </w:rPr>
            </w:pPr>
            <w:r w:rsidRPr="00476532">
              <w:rPr>
                <w:rFonts w:ascii="Arial" w:hAnsi="Arial" w:cs="Arial"/>
                <w:b/>
                <w:bCs/>
                <w:sz w:val="28"/>
                <w:szCs w:val="28"/>
              </w:rPr>
              <w:t xml:space="preserve">​2.   Methodology </w:t>
            </w:r>
            <w:r w:rsidR="001F768B">
              <w:rPr>
                <w:rFonts w:ascii="Arial" w:hAnsi="Arial" w:cs="Arial"/>
                <w:b/>
                <w:bCs/>
                <w:sz w:val="28"/>
                <w:szCs w:val="28"/>
              </w:rPr>
              <w:t xml:space="preserve">      </w:t>
            </w:r>
            <w:proofErr w:type="gramStart"/>
            <w:r w:rsidR="001F768B">
              <w:rPr>
                <w:rFonts w:ascii="Arial" w:hAnsi="Arial" w:cs="Arial"/>
                <w:b/>
                <w:bCs/>
                <w:sz w:val="28"/>
                <w:szCs w:val="28"/>
              </w:rPr>
              <w:t xml:space="preserve">   </w:t>
            </w:r>
            <w:r w:rsidRPr="00561802">
              <w:rPr>
                <w:rFonts w:ascii="Arial" w:hAnsi="Arial" w:cs="Arial"/>
                <w:sz w:val="28"/>
                <w:szCs w:val="28"/>
              </w:rPr>
              <w:t>(</w:t>
            </w:r>
            <w:proofErr w:type="gramEnd"/>
            <w:r w:rsidRPr="00561802">
              <w:rPr>
                <w:rFonts w:ascii="Arial" w:hAnsi="Arial" w:cs="Arial"/>
                <w:sz w:val="28"/>
                <w:szCs w:val="28"/>
              </w:rPr>
              <w:t>7</w:t>
            </w:r>
            <w:r w:rsidR="003170EE" w:rsidRPr="00561802">
              <w:rPr>
                <w:rFonts w:ascii="Arial" w:hAnsi="Arial" w:cs="Arial"/>
                <w:sz w:val="28"/>
                <w:szCs w:val="28"/>
              </w:rPr>
              <w:t>6</w:t>
            </w:r>
            <w:r w:rsidR="007C43F0">
              <w:rPr>
                <w:rFonts w:ascii="Arial" w:hAnsi="Arial" w:cs="Arial"/>
                <w:sz w:val="28"/>
                <w:szCs w:val="28"/>
              </w:rPr>
              <w:t>6</w:t>
            </w:r>
            <w:r w:rsidR="00561802">
              <w:rPr>
                <w:rFonts w:ascii="Arial" w:hAnsi="Arial" w:cs="Arial"/>
                <w:sz w:val="28"/>
                <w:szCs w:val="28"/>
              </w:rPr>
              <w:t>/750</w:t>
            </w:r>
            <w:r w:rsidRPr="00561802">
              <w:rPr>
                <w:rFonts w:ascii="Arial" w:hAnsi="Arial" w:cs="Arial"/>
                <w:sz w:val="28"/>
                <w:szCs w:val="28"/>
              </w:rPr>
              <w:t>)</w:t>
            </w:r>
            <w:r w:rsidRPr="00476532">
              <w:tab/>
            </w:r>
          </w:p>
        </w:tc>
        <w:tc>
          <w:tcPr>
            <w:tcW w:w="4239" w:type="dxa"/>
          </w:tcPr>
          <w:p w14:paraId="0E1844D0" w14:textId="78D6E37D" w:rsidR="00476532" w:rsidRPr="00431CEE" w:rsidRDefault="00431CEE" w:rsidP="008A5248">
            <w:pPr>
              <w:spacing w:line="480" w:lineRule="auto"/>
              <w:jc w:val="right"/>
              <w:rPr>
                <w:rFonts w:ascii="Arial" w:hAnsi="Arial" w:cs="Arial"/>
                <w:sz w:val="28"/>
                <w:szCs w:val="28"/>
              </w:rPr>
            </w:pPr>
            <w:r w:rsidRPr="00431CEE">
              <w:rPr>
                <w:rFonts w:ascii="Arial" w:hAnsi="Arial" w:cs="Arial"/>
                <w:sz w:val="28"/>
                <w:szCs w:val="28"/>
              </w:rPr>
              <w:t>4</w:t>
            </w:r>
          </w:p>
        </w:tc>
      </w:tr>
      <w:tr w:rsidR="00476532" w:rsidRPr="00476532" w14:paraId="4B961886" w14:textId="19E9FFED" w:rsidTr="00CD224B">
        <w:tc>
          <w:tcPr>
            <w:tcW w:w="5390" w:type="dxa"/>
          </w:tcPr>
          <w:p w14:paraId="6A80003D" w14:textId="56E44DC8" w:rsidR="00476532" w:rsidRPr="00476532" w:rsidRDefault="00476532" w:rsidP="008A5248">
            <w:pPr>
              <w:pStyle w:val="ListParagraph"/>
              <w:numPr>
                <w:ilvl w:val="0"/>
                <w:numId w:val="12"/>
              </w:numPr>
              <w:spacing w:line="480" w:lineRule="auto"/>
              <w:ind w:left="426" w:hanging="426"/>
              <w:rPr>
                <w:rFonts w:ascii="Arial" w:hAnsi="Arial" w:cs="Arial"/>
                <w:b/>
                <w:bCs/>
                <w:sz w:val="28"/>
                <w:szCs w:val="28"/>
              </w:rPr>
            </w:pPr>
            <w:r w:rsidRPr="00476532">
              <w:rPr>
                <w:rFonts w:ascii="Arial" w:hAnsi="Arial" w:cs="Arial"/>
                <w:b/>
                <w:bCs/>
                <w:sz w:val="28"/>
                <w:szCs w:val="28"/>
                <w:lang w:val="en-US"/>
              </w:rPr>
              <w:t>Literature Review</w:t>
            </w:r>
            <w:r w:rsidRPr="00476532">
              <w:rPr>
                <w:rFonts w:ascii="Arial" w:hAnsi="Arial" w:cs="Arial"/>
                <w:b/>
                <w:bCs/>
                <w:sz w:val="28"/>
                <w:szCs w:val="28"/>
                <w:lang w:val="en-US"/>
              </w:rPr>
              <w:tab/>
            </w:r>
            <w:r w:rsidR="001F768B">
              <w:rPr>
                <w:rFonts w:ascii="Arial" w:hAnsi="Arial" w:cs="Arial"/>
                <w:b/>
                <w:bCs/>
                <w:sz w:val="28"/>
                <w:szCs w:val="28"/>
                <w:lang w:val="en-US"/>
              </w:rPr>
              <w:t xml:space="preserve"> </w:t>
            </w:r>
            <w:r w:rsidRPr="001F768B">
              <w:rPr>
                <w:rFonts w:ascii="Arial" w:hAnsi="Arial" w:cs="Arial"/>
                <w:sz w:val="28"/>
                <w:szCs w:val="28"/>
                <w:lang w:val="en-US"/>
              </w:rPr>
              <w:t>(16</w:t>
            </w:r>
            <w:r w:rsidR="003908B2">
              <w:rPr>
                <w:rFonts w:ascii="Arial" w:hAnsi="Arial" w:cs="Arial"/>
                <w:sz w:val="28"/>
                <w:szCs w:val="28"/>
                <w:lang w:val="en-US"/>
              </w:rPr>
              <w:t>21</w:t>
            </w:r>
            <w:r w:rsidR="001F768B">
              <w:rPr>
                <w:rFonts w:ascii="Arial" w:hAnsi="Arial" w:cs="Arial"/>
                <w:sz w:val="28"/>
                <w:szCs w:val="28"/>
                <w:lang w:val="en-US"/>
              </w:rPr>
              <w:t>/1500)</w:t>
            </w:r>
          </w:p>
        </w:tc>
        <w:tc>
          <w:tcPr>
            <w:tcW w:w="4239" w:type="dxa"/>
          </w:tcPr>
          <w:p w14:paraId="410BDAA6" w14:textId="753FAE58" w:rsidR="00476532" w:rsidRPr="00431CEE" w:rsidRDefault="00431CEE" w:rsidP="008A5248">
            <w:pPr>
              <w:pStyle w:val="ListParagraph"/>
              <w:spacing w:line="480" w:lineRule="auto"/>
              <w:ind w:left="426"/>
              <w:jc w:val="right"/>
              <w:rPr>
                <w:rFonts w:ascii="Arial" w:hAnsi="Arial" w:cs="Arial"/>
                <w:sz w:val="28"/>
                <w:szCs w:val="28"/>
                <w:lang w:val="en-US"/>
              </w:rPr>
            </w:pPr>
            <w:r w:rsidRPr="00431CEE">
              <w:rPr>
                <w:rFonts w:ascii="Arial" w:hAnsi="Arial" w:cs="Arial"/>
                <w:sz w:val="28"/>
                <w:szCs w:val="28"/>
                <w:lang w:val="en-US"/>
              </w:rPr>
              <w:t>7</w:t>
            </w:r>
          </w:p>
        </w:tc>
      </w:tr>
      <w:tr w:rsidR="00476532" w:rsidRPr="00476532" w14:paraId="6A7D682B" w14:textId="6CA0A8D2" w:rsidTr="00CD224B">
        <w:tc>
          <w:tcPr>
            <w:tcW w:w="5390" w:type="dxa"/>
          </w:tcPr>
          <w:p w14:paraId="5837A9E4" w14:textId="55903667" w:rsidR="00476532" w:rsidRPr="00476532" w:rsidRDefault="00E056DE" w:rsidP="008A5248">
            <w:pPr>
              <w:pStyle w:val="ListParagraph"/>
              <w:numPr>
                <w:ilvl w:val="0"/>
                <w:numId w:val="12"/>
              </w:numPr>
              <w:spacing w:line="480" w:lineRule="auto"/>
              <w:ind w:left="426" w:hanging="426"/>
              <w:rPr>
                <w:rFonts w:ascii="Arial" w:hAnsi="Arial" w:cs="Arial"/>
                <w:b/>
                <w:bCs/>
                <w:sz w:val="28"/>
                <w:szCs w:val="28"/>
              </w:rPr>
            </w:pPr>
            <w:r>
              <w:rPr>
                <w:rFonts w:ascii="Arial" w:hAnsi="Arial" w:cs="Arial"/>
                <w:b/>
                <w:bCs/>
                <w:sz w:val="28"/>
                <w:szCs w:val="28"/>
                <w:lang w:val="en-US"/>
              </w:rPr>
              <w:t>References</w:t>
            </w:r>
            <w:r w:rsidR="00476532" w:rsidRPr="00476532">
              <w:rPr>
                <w:rFonts w:ascii="Arial" w:hAnsi="Arial" w:cs="Arial"/>
                <w:b/>
                <w:bCs/>
                <w:sz w:val="28"/>
                <w:szCs w:val="28"/>
                <w:lang w:val="en-US"/>
              </w:rPr>
              <w:tab/>
            </w:r>
            <w:r w:rsidR="00476532" w:rsidRPr="00476532">
              <w:rPr>
                <w:rFonts w:ascii="Arial" w:hAnsi="Arial" w:cs="Arial"/>
                <w:b/>
                <w:bCs/>
                <w:sz w:val="28"/>
                <w:szCs w:val="28"/>
                <w:lang w:val="en-US"/>
              </w:rPr>
              <w:tab/>
            </w:r>
            <w:r w:rsidR="00476532" w:rsidRPr="00476532">
              <w:rPr>
                <w:rFonts w:ascii="Arial" w:hAnsi="Arial" w:cs="Arial"/>
                <w:b/>
                <w:bCs/>
                <w:sz w:val="28"/>
                <w:szCs w:val="28"/>
                <w:lang w:val="en-US"/>
              </w:rPr>
              <w:tab/>
            </w:r>
            <w:r w:rsidR="00476532" w:rsidRPr="00476532">
              <w:rPr>
                <w:rFonts w:ascii="Arial" w:hAnsi="Arial" w:cs="Arial"/>
                <w:b/>
                <w:bCs/>
                <w:sz w:val="28"/>
                <w:szCs w:val="28"/>
                <w:lang w:val="en-US"/>
              </w:rPr>
              <w:tab/>
            </w:r>
          </w:p>
        </w:tc>
        <w:tc>
          <w:tcPr>
            <w:tcW w:w="4239" w:type="dxa"/>
          </w:tcPr>
          <w:p w14:paraId="6A797CD1" w14:textId="6952F95D" w:rsidR="00476532" w:rsidRPr="00493E57" w:rsidRDefault="00493E57" w:rsidP="008A5248">
            <w:pPr>
              <w:pStyle w:val="ListParagraph"/>
              <w:spacing w:line="480" w:lineRule="auto"/>
              <w:ind w:left="426"/>
              <w:jc w:val="right"/>
              <w:rPr>
                <w:rFonts w:ascii="Arial" w:hAnsi="Arial" w:cs="Arial"/>
                <w:sz w:val="28"/>
                <w:szCs w:val="28"/>
                <w:lang w:val="en-US"/>
              </w:rPr>
            </w:pPr>
            <w:r w:rsidRPr="00493E57">
              <w:rPr>
                <w:rFonts w:ascii="Arial" w:hAnsi="Arial" w:cs="Arial"/>
                <w:sz w:val="28"/>
                <w:szCs w:val="28"/>
                <w:lang w:val="en-US"/>
              </w:rPr>
              <w:t>12</w:t>
            </w:r>
          </w:p>
        </w:tc>
      </w:tr>
      <w:tr w:rsidR="00476532" w:rsidRPr="00DB509F" w14:paraId="19647D53" w14:textId="61BAA7E8" w:rsidTr="00CD224B">
        <w:tc>
          <w:tcPr>
            <w:tcW w:w="5390" w:type="dxa"/>
          </w:tcPr>
          <w:p w14:paraId="68121961" w14:textId="28454416" w:rsidR="00476532" w:rsidRPr="00587556" w:rsidRDefault="00587556" w:rsidP="008A5248">
            <w:pPr>
              <w:pStyle w:val="ListParagraph"/>
              <w:numPr>
                <w:ilvl w:val="0"/>
                <w:numId w:val="12"/>
              </w:numPr>
              <w:spacing w:line="480" w:lineRule="auto"/>
              <w:ind w:left="457" w:hanging="457"/>
              <w:rPr>
                <w:rFonts w:ascii="Arial" w:hAnsi="Arial" w:cs="Arial"/>
                <w:b/>
                <w:bCs/>
                <w:sz w:val="28"/>
                <w:szCs w:val="28"/>
              </w:rPr>
            </w:pPr>
            <w:r>
              <w:rPr>
                <w:rFonts w:ascii="Arial" w:hAnsi="Arial" w:cs="Arial"/>
                <w:b/>
                <w:bCs/>
                <w:sz w:val="28"/>
                <w:szCs w:val="28"/>
              </w:rPr>
              <w:t>Appen</w:t>
            </w:r>
            <w:r w:rsidR="00493E57">
              <w:rPr>
                <w:rFonts w:ascii="Arial" w:hAnsi="Arial" w:cs="Arial"/>
                <w:b/>
                <w:bCs/>
                <w:sz w:val="28"/>
                <w:szCs w:val="28"/>
              </w:rPr>
              <w:t>dices</w:t>
            </w:r>
            <w:r w:rsidR="00476532" w:rsidRPr="00587556">
              <w:rPr>
                <w:rFonts w:ascii="Arial" w:hAnsi="Arial" w:cs="Arial"/>
                <w:b/>
                <w:bCs/>
                <w:sz w:val="28"/>
                <w:szCs w:val="28"/>
              </w:rPr>
              <w:tab/>
            </w:r>
            <w:r w:rsidR="00476532" w:rsidRPr="00587556">
              <w:rPr>
                <w:rFonts w:ascii="Arial" w:hAnsi="Arial" w:cs="Arial"/>
                <w:b/>
                <w:bCs/>
                <w:sz w:val="28"/>
                <w:szCs w:val="28"/>
              </w:rPr>
              <w:tab/>
            </w:r>
          </w:p>
        </w:tc>
        <w:tc>
          <w:tcPr>
            <w:tcW w:w="4239" w:type="dxa"/>
          </w:tcPr>
          <w:p w14:paraId="50C84EE4" w14:textId="641BBBCF" w:rsidR="00476532" w:rsidRPr="00493E57" w:rsidRDefault="00493E57" w:rsidP="008A5248">
            <w:pPr>
              <w:spacing w:line="480" w:lineRule="auto"/>
              <w:jc w:val="right"/>
              <w:rPr>
                <w:rFonts w:ascii="Arial" w:hAnsi="Arial" w:cs="Arial"/>
                <w:sz w:val="28"/>
                <w:szCs w:val="28"/>
              </w:rPr>
            </w:pPr>
            <w:r w:rsidRPr="00493E57">
              <w:rPr>
                <w:rFonts w:ascii="Arial" w:hAnsi="Arial" w:cs="Arial"/>
                <w:sz w:val="28"/>
                <w:szCs w:val="28"/>
              </w:rPr>
              <w:t>2</w:t>
            </w:r>
            <w:r w:rsidR="00834427">
              <w:rPr>
                <w:rFonts w:ascii="Arial" w:hAnsi="Arial" w:cs="Arial"/>
                <w:sz w:val="28"/>
                <w:szCs w:val="28"/>
              </w:rPr>
              <w:t>2</w:t>
            </w:r>
          </w:p>
        </w:tc>
      </w:tr>
    </w:tbl>
    <w:p w14:paraId="411BBE20" w14:textId="521D3CEC" w:rsidR="00AB467E" w:rsidRPr="00DB509F" w:rsidRDefault="00AB467E" w:rsidP="007812F8">
      <w:pPr>
        <w:spacing w:line="480" w:lineRule="auto"/>
        <w:rPr>
          <w:rFonts w:ascii="Arial" w:hAnsi="Arial" w:cs="Arial"/>
          <w:b/>
          <w:bCs/>
          <w:sz w:val="28"/>
          <w:szCs w:val="28"/>
        </w:rPr>
      </w:pP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00663FDB">
        <w:rPr>
          <w:rFonts w:ascii="Arial" w:hAnsi="Arial" w:cs="Arial"/>
          <w:b/>
          <w:bCs/>
          <w:sz w:val="28"/>
          <w:szCs w:val="28"/>
        </w:rPr>
        <w:tab/>
      </w:r>
    </w:p>
    <w:p w14:paraId="13DFBB90" w14:textId="77777777" w:rsidR="00DB509F" w:rsidRPr="00DB509F" w:rsidRDefault="00DB509F" w:rsidP="00DB509F">
      <w:pPr>
        <w:spacing w:line="360" w:lineRule="auto"/>
        <w:rPr>
          <w:rFonts w:ascii="Arial" w:hAnsi="Arial" w:cs="Arial"/>
          <w:b/>
          <w:bCs/>
          <w:sz w:val="28"/>
          <w:szCs w:val="28"/>
        </w:rPr>
      </w:pPr>
      <w:r w:rsidRPr="00DB509F">
        <w:rPr>
          <w:rFonts w:ascii="Arial" w:hAnsi="Arial" w:cs="Arial"/>
          <w:b/>
          <w:bCs/>
          <w:sz w:val="28"/>
          <w:szCs w:val="28"/>
          <w:lang w:val="en-US"/>
        </w:rPr>
        <w:t>​​</w:t>
      </w:r>
      <w:r w:rsidRPr="00DB509F">
        <w:rPr>
          <w:rFonts w:ascii="Arial" w:hAnsi="Arial" w:cs="Arial"/>
          <w:b/>
          <w:bCs/>
          <w:sz w:val="28"/>
          <w:szCs w:val="28"/>
        </w:rPr>
        <w:t> </w:t>
      </w:r>
    </w:p>
    <w:p w14:paraId="21904A32" w14:textId="77777777" w:rsidR="00DB509F" w:rsidRDefault="00DB509F" w:rsidP="00027880">
      <w:pPr>
        <w:spacing w:line="360" w:lineRule="auto"/>
        <w:rPr>
          <w:rFonts w:ascii="Arial" w:hAnsi="Arial" w:cs="Arial"/>
          <w:b/>
          <w:bCs/>
          <w:sz w:val="28"/>
          <w:szCs w:val="28"/>
        </w:rPr>
      </w:pPr>
    </w:p>
    <w:p w14:paraId="0903588F" w14:textId="77777777" w:rsidR="00027880" w:rsidRDefault="00027880" w:rsidP="00027880">
      <w:pPr>
        <w:spacing w:line="360" w:lineRule="auto"/>
        <w:rPr>
          <w:rFonts w:ascii="Arial" w:hAnsi="Arial" w:cs="Arial"/>
          <w:b/>
          <w:bCs/>
          <w:sz w:val="28"/>
          <w:szCs w:val="28"/>
        </w:rPr>
      </w:pPr>
    </w:p>
    <w:p w14:paraId="69B8F90D" w14:textId="46DBE07C" w:rsidR="00AB467E" w:rsidRDefault="00AB467E" w:rsidP="00027880">
      <w:pPr>
        <w:spacing w:line="360" w:lineRule="auto"/>
        <w:rPr>
          <w:rFonts w:ascii="Arial" w:hAnsi="Arial" w:cs="Arial"/>
          <w:b/>
          <w:bCs/>
          <w:sz w:val="28"/>
          <w:szCs w:val="28"/>
        </w:rPr>
      </w:pPr>
    </w:p>
    <w:p w14:paraId="4B6BDD99" w14:textId="57C82F29" w:rsidR="00027880" w:rsidRDefault="00027880" w:rsidP="62B1239F">
      <w:pPr>
        <w:spacing w:line="360" w:lineRule="auto"/>
        <w:rPr>
          <w:rFonts w:ascii="Arial" w:hAnsi="Arial" w:cs="Arial"/>
          <w:b/>
          <w:bCs/>
          <w:sz w:val="28"/>
          <w:szCs w:val="28"/>
        </w:rPr>
      </w:pPr>
    </w:p>
    <w:p w14:paraId="73A108F9" w14:textId="786D938C" w:rsidR="00027880" w:rsidRDefault="00012EE9" w:rsidP="00027880">
      <w:pPr>
        <w:spacing w:line="360" w:lineRule="auto"/>
      </w:pPr>
      <w:r>
        <w:br w:type="page"/>
      </w:r>
    </w:p>
    <w:p w14:paraId="79843483" w14:textId="7D830380" w:rsidR="00027880" w:rsidRDefault="00012EE9" w:rsidP="00027880">
      <w:pPr>
        <w:spacing w:line="360" w:lineRule="auto"/>
        <w:rPr>
          <w:rFonts w:ascii="Arial" w:hAnsi="Arial" w:cs="Arial"/>
          <w:b/>
          <w:bCs/>
          <w:sz w:val="28"/>
          <w:szCs w:val="28"/>
        </w:rPr>
      </w:pPr>
      <w:r>
        <w:rPr>
          <w:rFonts w:ascii="Arial" w:hAnsi="Arial" w:cs="Arial"/>
          <w:b/>
          <w:bCs/>
          <w:sz w:val="28"/>
          <w:szCs w:val="28"/>
        </w:rPr>
        <w:lastRenderedPageBreak/>
        <w:t>Proposal</w:t>
      </w:r>
      <w:r w:rsidR="003B512F">
        <w:rPr>
          <w:rFonts w:ascii="Arial" w:hAnsi="Arial" w:cs="Arial"/>
          <w:b/>
          <w:bCs/>
          <w:sz w:val="28"/>
          <w:szCs w:val="28"/>
        </w:rPr>
        <w:t xml:space="preserve"> </w:t>
      </w:r>
    </w:p>
    <w:p w14:paraId="7885E4F4" w14:textId="7E0E0BE2" w:rsidR="007D7D8B" w:rsidRPr="006A46E7" w:rsidRDefault="007D7D8B" w:rsidP="006B189C">
      <w:pPr>
        <w:spacing w:before="100" w:beforeAutospacing="1" w:after="100" w:afterAutospacing="1" w:line="360" w:lineRule="auto"/>
        <w:rPr>
          <w:rFonts w:ascii="Arial" w:eastAsia="Times New Roman" w:hAnsi="Arial" w:cs="Arial"/>
          <w:b/>
          <w:bCs/>
          <w:kern w:val="0"/>
          <w:sz w:val="28"/>
          <w:szCs w:val="28"/>
          <w:lang w:eastAsia="en-GB"/>
          <w14:ligatures w14:val="none"/>
        </w:rPr>
      </w:pPr>
      <w:r w:rsidRPr="006A46E7">
        <w:rPr>
          <w:rFonts w:ascii="Arial" w:eastAsia="Times New Roman" w:hAnsi="Arial" w:cs="Arial"/>
          <w:b/>
          <w:bCs/>
          <w:kern w:val="0"/>
          <w:sz w:val="28"/>
          <w:szCs w:val="28"/>
          <w:lang w:eastAsia="en-GB"/>
          <w14:ligatures w14:val="none"/>
        </w:rPr>
        <w:t xml:space="preserve">Context </w:t>
      </w:r>
      <w:r w:rsidR="00F86F82">
        <w:rPr>
          <w:rFonts w:ascii="Arial" w:eastAsia="Times New Roman" w:hAnsi="Arial" w:cs="Arial"/>
          <w:b/>
          <w:sz w:val="28"/>
          <w:szCs w:val="28"/>
          <w:lang w:eastAsia="en-GB"/>
        </w:rPr>
        <w:t xml:space="preserve">and </w:t>
      </w:r>
      <w:r w:rsidRPr="76FF7E49">
        <w:rPr>
          <w:rFonts w:ascii="Arial" w:eastAsia="Times New Roman" w:hAnsi="Arial" w:cs="Arial"/>
          <w:b/>
          <w:sz w:val="28"/>
          <w:szCs w:val="28"/>
          <w:lang w:eastAsia="en-GB"/>
        </w:rPr>
        <w:t>Justification</w:t>
      </w:r>
    </w:p>
    <w:p w14:paraId="67431DCB" w14:textId="2113C45B" w:rsidR="0010338D" w:rsidRDefault="0010338D"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0338D">
        <w:rPr>
          <w:rFonts w:ascii="Arial" w:eastAsia="Times New Roman" w:hAnsi="Arial" w:cs="Arial"/>
          <w:kern w:val="0"/>
          <w:sz w:val="24"/>
          <w:szCs w:val="24"/>
          <w:lang w:eastAsia="en-GB"/>
          <w14:ligatures w14:val="none"/>
        </w:rPr>
        <w:t xml:space="preserve">Health Education and Improvement Wales (HEIW) is the national strategic workforce </w:t>
      </w:r>
      <w:r w:rsidR="003B290F">
        <w:rPr>
          <w:rFonts w:ascii="Arial" w:eastAsia="Times New Roman" w:hAnsi="Arial" w:cs="Arial"/>
          <w:kern w:val="0"/>
          <w:sz w:val="24"/>
          <w:szCs w:val="24"/>
          <w:lang w:eastAsia="en-GB"/>
          <w14:ligatures w14:val="none"/>
        </w:rPr>
        <w:t>body</w:t>
      </w:r>
      <w:r w:rsidRPr="0010338D">
        <w:rPr>
          <w:rFonts w:ascii="Arial" w:eastAsia="Times New Roman" w:hAnsi="Arial" w:cs="Arial"/>
          <w:kern w:val="0"/>
          <w:sz w:val="24"/>
          <w:szCs w:val="24"/>
          <w:lang w:eastAsia="en-GB"/>
          <w14:ligatures w14:val="none"/>
        </w:rPr>
        <w:t xml:space="preserve"> for NHS Wales</w:t>
      </w:r>
      <w:r w:rsidR="00930B2A">
        <w:rPr>
          <w:rFonts w:ascii="Arial" w:eastAsia="Times New Roman" w:hAnsi="Arial" w:cs="Arial"/>
          <w:kern w:val="0"/>
          <w:sz w:val="24"/>
          <w:szCs w:val="24"/>
          <w:lang w:eastAsia="en-GB"/>
          <w14:ligatures w14:val="none"/>
        </w:rPr>
        <w:t xml:space="preserve">, </w:t>
      </w:r>
      <w:r w:rsidR="00284DE1">
        <w:rPr>
          <w:rFonts w:ascii="Arial" w:eastAsia="Times New Roman" w:hAnsi="Arial" w:cs="Arial"/>
          <w:kern w:val="0"/>
          <w:sz w:val="24"/>
          <w:szCs w:val="24"/>
          <w:lang w:eastAsia="en-GB"/>
          <w14:ligatures w14:val="none"/>
        </w:rPr>
        <w:t>r</w:t>
      </w:r>
      <w:r w:rsidR="00930B2A">
        <w:rPr>
          <w:rFonts w:ascii="Arial" w:eastAsia="Times New Roman" w:hAnsi="Arial" w:cs="Arial"/>
          <w:kern w:val="0"/>
          <w:sz w:val="24"/>
          <w:szCs w:val="24"/>
          <w:lang w:eastAsia="en-GB"/>
          <w14:ligatures w14:val="none"/>
        </w:rPr>
        <w:t>esponsib</w:t>
      </w:r>
      <w:r w:rsidR="00284DE1">
        <w:rPr>
          <w:rFonts w:ascii="Arial" w:eastAsia="Times New Roman" w:hAnsi="Arial" w:cs="Arial"/>
          <w:kern w:val="0"/>
          <w:sz w:val="24"/>
          <w:szCs w:val="24"/>
          <w:lang w:eastAsia="en-GB"/>
          <w14:ligatures w14:val="none"/>
        </w:rPr>
        <w:t>le for</w:t>
      </w:r>
      <w:r w:rsidR="00930B2A">
        <w:rPr>
          <w:rFonts w:ascii="Arial" w:eastAsia="Times New Roman" w:hAnsi="Arial" w:cs="Arial"/>
          <w:kern w:val="0"/>
          <w:sz w:val="24"/>
          <w:szCs w:val="24"/>
          <w:lang w:eastAsia="en-GB"/>
          <w14:ligatures w14:val="none"/>
        </w:rPr>
        <w:t xml:space="preserve"> workforce planning</w:t>
      </w:r>
      <w:r w:rsidR="00923A6B">
        <w:rPr>
          <w:rFonts w:ascii="Arial" w:eastAsia="Times New Roman" w:hAnsi="Arial" w:cs="Arial"/>
          <w:kern w:val="0"/>
          <w:sz w:val="24"/>
          <w:szCs w:val="24"/>
          <w:lang w:eastAsia="en-GB"/>
          <w14:ligatures w14:val="none"/>
        </w:rPr>
        <w:t xml:space="preserve">, </w:t>
      </w:r>
      <w:r w:rsidR="00C97CDC">
        <w:rPr>
          <w:rFonts w:ascii="Arial" w:eastAsia="Times New Roman" w:hAnsi="Arial" w:cs="Arial"/>
          <w:kern w:val="0"/>
          <w:sz w:val="24"/>
          <w:szCs w:val="24"/>
          <w:lang w:eastAsia="en-GB"/>
          <w14:ligatures w14:val="none"/>
        </w:rPr>
        <w:t>development and strategy</w:t>
      </w:r>
      <w:r w:rsidR="00923A6B">
        <w:rPr>
          <w:rFonts w:ascii="Arial" w:eastAsia="Times New Roman" w:hAnsi="Arial" w:cs="Arial"/>
          <w:kern w:val="0"/>
          <w:sz w:val="24"/>
          <w:szCs w:val="24"/>
          <w:lang w:eastAsia="en-GB"/>
          <w14:ligatures w14:val="none"/>
        </w:rPr>
        <w:t xml:space="preserve"> (HEIW, 2025)</w:t>
      </w:r>
      <w:r w:rsidRPr="0010338D">
        <w:rPr>
          <w:rFonts w:ascii="Arial" w:eastAsia="Times New Roman" w:hAnsi="Arial" w:cs="Arial"/>
          <w:kern w:val="0"/>
          <w:sz w:val="24"/>
          <w:szCs w:val="24"/>
          <w:lang w:eastAsia="en-GB"/>
          <w14:ligatures w14:val="none"/>
        </w:rPr>
        <w:t xml:space="preserve">. </w:t>
      </w:r>
      <w:r w:rsidR="00672033">
        <w:rPr>
          <w:rFonts w:ascii="Arial" w:eastAsia="Times New Roman" w:hAnsi="Arial" w:cs="Arial"/>
          <w:kern w:val="0"/>
          <w:sz w:val="24"/>
          <w:szCs w:val="24"/>
          <w:lang w:eastAsia="en-GB"/>
          <w14:ligatures w14:val="none"/>
        </w:rPr>
        <w:t xml:space="preserve"> Strategic </w:t>
      </w:r>
      <w:r w:rsidR="0091155B">
        <w:rPr>
          <w:rFonts w:ascii="Arial" w:eastAsia="Times New Roman" w:hAnsi="Arial" w:cs="Arial"/>
          <w:kern w:val="0"/>
          <w:sz w:val="24"/>
          <w:szCs w:val="24"/>
          <w:lang w:eastAsia="en-GB"/>
          <w14:ligatures w14:val="none"/>
        </w:rPr>
        <w:t xml:space="preserve">health </w:t>
      </w:r>
      <w:r w:rsidR="00672033">
        <w:rPr>
          <w:rFonts w:ascii="Arial" w:eastAsia="Times New Roman" w:hAnsi="Arial" w:cs="Arial"/>
          <w:kern w:val="0"/>
          <w:sz w:val="24"/>
          <w:szCs w:val="24"/>
          <w:lang w:eastAsia="en-GB"/>
          <w14:ligatures w14:val="none"/>
        </w:rPr>
        <w:t xml:space="preserve">workforce planning </w:t>
      </w:r>
      <w:r w:rsidR="0023714F">
        <w:rPr>
          <w:rFonts w:ascii="Arial" w:eastAsia="Times New Roman" w:hAnsi="Arial" w:cs="Arial"/>
          <w:kern w:val="0"/>
          <w:sz w:val="24"/>
          <w:szCs w:val="24"/>
          <w:lang w:eastAsia="en-GB"/>
          <w14:ligatures w14:val="none"/>
        </w:rPr>
        <w:t xml:space="preserve">is </w:t>
      </w:r>
      <w:r w:rsidR="0064156C">
        <w:rPr>
          <w:rFonts w:ascii="Arial" w:eastAsia="Times New Roman" w:hAnsi="Arial" w:cs="Arial"/>
          <w:kern w:val="0"/>
          <w:sz w:val="24"/>
          <w:szCs w:val="24"/>
          <w:lang w:eastAsia="en-GB"/>
          <w14:ligatures w14:val="none"/>
        </w:rPr>
        <w:t>consistently</w:t>
      </w:r>
      <w:r w:rsidR="0023714F">
        <w:rPr>
          <w:rFonts w:ascii="Arial" w:eastAsia="Times New Roman" w:hAnsi="Arial" w:cs="Arial"/>
          <w:kern w:val="0"/>
          <w:sz w:val="24"/>
          <w:szCs w:val="24"/>
          <w:lang w:eastAsia="en-GB"/>
          <w14:ligatures w14:val="none"/>
        </w:rPr>
        <w:t xml:space="preserve"> positioned in academic and international literature</w:t>
      </w:r>
      <w:r w:rsidR="00234D36">
        <w:rPr>
          <w:rFonts w:ascii="Arial" w:eastAsia="Times New Roman" w:hAnsi="Arial" w:cs="Arial"/>
          <w:kern w:val="0"/>
          <w:sz w:val="24"/>
          <w:szCs w:val="24"/>
          <w:lang w:eastAsia="en-GB"/>
          <w14:ligatures w14:val="none"/>
        </w:rPr>
        <w:t xml:space="preserve"> as essential for aligning workforce supply, </w:t>
      </w:r>
      <w:r w:rsidR="00434BEA">
        <w:rPr>
          <w:rFonts w:ascii="Arial" w:eastAsia="Times New Roman" w:hAnsi="Arial" w:cs="Arial"/>
          <w:kern w:val="0"/>
          <w:sz w:val="24"/>
          <w:szCs w:val="24"/>
          <w:lang w:eastAsia="en-GB"/>
          <w14:ligatures w14:val="none"/>
        </w:rPr>
        <w:t>distribution</w:t>
      </w:r>
      <w:r w:rsidR="00234D36">
        <w:rPr>
          <w:rFonts w:ascii="Arial" w:eastAsia="Times New Roman" w:hAnsi="Arial" w:cs="Arial"/>
          <w:kern w:val="0"/>
          <w:sz w:val="24"/>
          <w:szCs w:val="24"/>
          <w:lang w:eastAsia="en-GB"/>
          <w14:ligatures w14:val="none"/>
        </w:rPr>
        <w:t xml:space="preserve"> and skill mix with population and service needs, and for strengthening system resilience through evidence</w:t>
      </w:r>
      <w:r w:rsidR="003F568D">
        <w:rPr>
          <w:rFonts w:ascii="Arial" w:eastAsia="Times New Roman" w:hAnsi="Arial" w:cs="Arial"/>
          <w:kern w:val="0"/>
          <w:sz w:val="24"/>
          <w:szCs w:val="24"/>
          <w:lang w:eastAsia="en-GB"/>
          <w14:ligatures w14:val="none"/>
        </w:rPr>
        <w:t xml:space="preserve">-informed, </w:t>
      </w:r>
      <w:r w:rsidR="009846F6">
        <w:rPr>
          <w:rFonts w:ascii="Arial" w:eastAsia="Times New Roman" w:hAnsi="Arial" w:cs="Arial"/>
          <w:kern w:val="0"/>
          <w:sz w:val="24"/>
          <w:szCs w:val="24"/>
          <w:lang w:eastAsia="en-GB"/>
          <w14:ligatures w14:val="none"/>
        </w:rPr>
        <w:t>longer-term</w:t>
      </w:r>
      <w:r w:rsidR="003F568D">
        <w:rPr>
          <w:rFonts w:ascii="Arial" w:eastAsia="Times New Roman" w:hAnsi="Arial" w:cs="Arial"/>
          <w:kern w:val="0"/>
          <w:sz w:val="24"/>
          <w:szCs w:val="24"/>
          <w:lang w:eastAsia="en-GB"/>
          <w14:ligatures w14:val="none"/>
        </w:rPr>
        <w:t xml:space="preserve"> decision making (World Health Organi</w:t>
      </w:r>
      <w:r w:rsidR="00833445">
        <w:rPr>
          <w:rFonts w:ascii="Arial" w:eastAsia="Times New Roman" w:hAnsi="Arial" w:cs="Arial"/>
          <w:kern w:val="0"/>
          <w:sz w:val="24"/>
          <w:szCs w:val="24"/>
          <w:lang w:eastAsia="en-GB"/>
          <w14:ligatures w14:val="none"/>
        </w:rPr>
        <w:t>z</w:t>
      </w:r>
      <w:r w:rsidR="003F568D">
        <w:rPr>
          <w:rFonts w:ascii="Arial" w:eastAsia="Times New Roman" w:hAnsi="Arial" w:cs="Arial"/>
          <w:kern w:val="0"/>
          <w:sz w:val="24"/>
          <w:szCs w:val="24"/>
          <w:lang w:eastAsia="en-GB"/>
          <w14:ligatures w14:val="none"/>
        </w:rPr>
        <w:t>ation, 2010; Simkin, Chamberland</w:t>
      </w:r>
      <w:r w:rsidR="00B86642">
        <w:rPr>
          <w:rFonts w:ascii="Arial" w:eastAsia="Times New Roman" w:hAnsi="Arial" w:cs="Arial"/>
          <w:kern w:val="0"/>
          <w:sz w:val="24"/>
          <w:szCs w:val="24"/>
          <w:lang w:eastAsia="en-GB"/>
          <w14:ligatures w14:val="none"/>
        </w:rPr>
        <w:t xml:space="preserve">-Rowe and Bourgeault, 2024). In support of this, HEIW’s </w:t>
      </w:r>
      <w:r w:rsidR="00831D4F">
        <w:rPr>
          <w:rFonts w:ascii="Arial" w:eastAsia="Times New Roman" w:hAnsi="Arial" w:cs="Arial"/>
          <w:kern w:val="0"/>
          <w:sz w:val="24"/>
          <w:szCs w:val="24"/>
          <w:lang w:eastAsia="en-GB"/>
          <w14:ligatures w14:val="none"/>
        </w:rPr>
        <w:t>aims to</w:t>
      </w:r>
      <w:r w:rsidR="00B86642">
        <w:rPr>
          <w:rFonts w:ascii="Arial" w:eastAsia="Times New Roman" w:hAnsi="Arial" w:cs="Arial"/>
          <w:kern w:val="0"/>
          <w:sz w:val="24"/>
          <w:szCs w:val="24"/>
          <w:lang w:eastAsia="en-GB"/>
          <w14:ligatures w14:val="none"/>
        </w:rPr>
        <w:t xml:space="preserve"> build workforce planning </w:t>
      </w:r>
      <w:r w:rsidR="004008BA">
        <w:rPr>
          <w:rFonts w:ascii="Arial" w:eastAsia="Times New Roman" w:hAnsi="Arial" w:cs="Arial"/>
          <w:kern w:val="0"/>
          <w:sz w:val="24"/>
          <w:szCs w:val="24"/>
          <w:lang w:eastAsia="en-GB"/>
          <w14:ligatures w14:val="none"/>
        </w:rPr>
        <w:t xml:space="preserve">(WfP) </w:t>
      </w:r>
      <w:r w:rsidR="00B86642">
        <w:rPr>
          <w:rFonts w:ascii="Arial" w:eastAsia="Times New Roman" w:hAnsi="Arial" w:cs="Arial"/>
          <w:kern w:val="0"/>
          <w:sz w:val="24"/>
          <w:szCs w:val="24"/>
          <w:lang w:eastAsia="en-GB"/>
          <w14:ligatures w14:val="none"/>
        </w:rPr>
        <w:t>capacity and capability across NHS Wales through accessible guidance, resources and training</w:t>
      </w:r>
      <w:r w:rsidR="000420E8">
        <w:rPr>
          <w:rFonts w:ascii="Arial" w:eastAsia="Times New Roman" w:hAnsi="Arial" w:cs="Arial"/>
          <w:kern w:val="0"/>
          <w:sz w:val="24"/>
          <w:szCs w:val="24"/>
          <w:lang w:eastAsia="en-GB"/>
          <w14:ligatures w14:val="none"/>
        </w:rPr>
        <w:t xml:space="preserve"> (HEIW, 2025).</w:t>
      </w:r>
    </w:p>
    <w:p w14:paraId="183CC435" w14:textId="39FE3778" w:rsidR="00737703" w:rsidRDefault="0010338D"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0338D">
        <w:rPr>
          <w:rFonts w:ascii="Arial" w:eastAsia="Times New Roman" w:hAnsi="Arial" w:cs="Arial"/>
          <w:kern w:val="0"/>
          <w:sz w:val="24"/>
          <w:szCs w:val="24"/>
          <w:lang w:eastAsia="en-GB"/>
          <w14:ligatures w14:val="none"/>
        </w:rPr>
        <w:t xml:space="preserve">This </w:t>
      </w:r>
      <w:r w:rsidR="00D24F66" w:rsidRPr="006A46E7">
        <w:rPr>
          <w:rFonts w:ascii="Arial" w:eastAsia="Times New Roman" w:hAnsi="Arial" w:cs="Arial"/>
          <w:kern w:val="0"/>
          <w:sz w:val="24"/>
          <w:szCs w:val="24"/>
          <w:lang w:eastAsia="en-GB"/>
          <w14:ligatures w14:val="none"/>
        </w:rPr>
        <w:t>study</w:t>
      </w:r>
      <w:r w:rsidRPr="0010338D">
        <w:rPr>
          <w:rFonts w:ascii="Arial" w:eastAsia="Times New Roman" w:hAnsi="Arial" w:cs="Arial"/>
          <w:kern w:val="0"/>
          <w:sz w:val="24"/>
          <w:szCs w:val="24"/>
          <w:lang w:eastAsia="en-GB"/>
          <w14:ligatures w14:val="none"/>
        </w:rPr>
        <w:t xml:space="preserve"> will undertake a systematic, practice</w:t>
      </w:r>
      <w:r w:rsidRPr="0010338D">
        <w:rPr>
          <w:rFonts w:ascii="Arial" w:eastAsia="Times New Roman" w:hAnsi="Arial" w:cs="Arial"/>
          <w:kern w:val="0"/>
          <w:sz w:val="24"/>
          <w:szCs w:val="24"/>
          <w:lang w:eastAsia="en-GB"/>
          <w14:ligatures w14:val="none"/>
        </w:rPr>
        <w:noBreakHyphen/>
        <w:t xml:space="preserve">focused evaluation of the effectiveness and impact of HEIW’s WfP training portfolio </w:t>
      </w:r>
      <w:r w:rsidR="0081737E">
        <w:rPr>
          <w:rFonts w:ascii="Arial" w:eastAsia="Times New Roman" w:hAnsi="Arial" w:cs="Arial"/>
          <w:kern w:val="0"/>
          <w:sz w:val="24"/>
          <w:szCs w:val="24"/>
          <w:lang w:eastAsia="en-GB"/>
          <w14:ligatures w14:val="none"/>
        </w:rPr>
        <w:t>(</w:t>
      </w:r>
      <w:r w:rsidR="00327E37">
        <w:rPr>
          <w:rFonts w:ascii="Arial" w:eastAsia="Times New Roman" w:hAnsi="Arial" w:cs="Arial"/>
          <w:kern w:val="0"/>
          <w:sz w:val="24"/>
          <w:szCs w:val="24"/>
          <w:lang w:eastAsia="en-GB"/>
          <w14:ligatures w14:val="none"/>
        </w:rPr>
        <w:t>Appendix A</w:t>
      </w:r>
      <w:r w:rsidR="0081737E">
        <w:rPr>
          <w:rFonts w:ascii="Arial" w:eastAsia="Times New Roman" w:hAnsi="Arial" w:cs="Arial"/>
          <w:kern w:val="0"/>
          <w:sz w:val="24"/>
          <w:szCs w:val="24"/>
          <w:lang w:eastAsia="en-GB"/>
          <w14:ligatures w14:val="none"/>
        </w:rPr>
        <w:t>)</w:t>
      </w:r>
      <w:r w:rsidRPr="0010338D">
        <w:rPr>
          <w:rFonts w:ascii="Arial" w:eastAsia="Times New Roman" w:hAnsi="Arial" w:cs="Arial"/>
          <w:kern w:val="0"/>
          <w:sz w:val="24"/>
          <w:szCs w:val="24"/>
          <w:lang w:eastAsia="en-GB"/>
          <w14:ligatures w14:val="none"/>
        </w:rPr>
        <w:t xml:space="preserve">. </w:t>
      </w:r>
      <w:r w:rsidR="005E2ACE">
        <w:rPr>
          <w:rFonts w:ascii="Arial" w:eastAsia="Times New Roman" w:hAnsi="Arial" w:cs="Arial"/>
          <w:kern w:val="0"/>
          <w:sz w:val="24"/>
          <w:szCs w:val="24"/>
          <w:lang w:eastAsia="en-GB"/>
          <w14:ligatures w14:val="none"/>
        </w:rPr>
        <w:t xml:space="preserve">The evaluation is </w:t>
      </w:r>
      <w:r w:rsidR="007C4328">
        <w:rPr>
          <w:rFonts w:ascii="Arial" w:eastAsia="Times New Roman" w:hAnsi="Arial" w:cs="Arial"/>
          <w:kern w:val="0"/>
          <w:sz w:val="24"/>
          <w:szCs w:val="24"/>
          <w:lang w:eastAsia="en-GB"/>
          <w14:ligatures w14:val="none"/>
        </w:rPr>
        <w:t xml:space="preserve">informed by training transfer and evaluation </w:t>
      </w:r>
      <w:r w:rsidR="00402617">
        <w:rPr>
          <w:rFonts w:ascii="Arial" w:eastAsia="Times New Roman" w:hAnsi="Arial" w:cs="Arial"/>
          <w:kern w:val="0"/>
          <w:sz w:val="24"/>
          <w:szCs w:val="24"/>
          <w:lang w:eastAsia="en-GB"/>
          <w14:ligatures w14:val="none"/>
        </w:rPr>
        <w:t>theory</w:t>
      </w:r>
      <w:r w:rsidR="007C4328">
        <w:rPr>
          <w:rFonts w:ascii="Arial" w:eastAsia="Times New Roman" w:hAnsi="Arial" w:cs="Arial"/>
          <w:kern w:val="0"/>
          <w:sz w:val="24"/>
          <w:szCs w:val="24"/>
          <w:lang w:eastAsia="en-GB"/>
          <w14:ligatures w14:val="none"/>
        </w:rPr>
        <w:t xml:space="preserve">, </w:t>
      </w:r>
      <w:r w:rsidR="007442A5">
        <w:rPr>
          <w:rFonts w:ascii="Arial" w:eastAsia="Times New Roman" w:hAnsi="Arial" w:cs="Arial"/>
          <w:kern w:val="0"/>
          <w:sz w:val="24"/>
          <w:szCs w:val="24"/>
          <w:lang w:eastAsia="en-GB"/>
          <w14:ligatures w14:val="none"/>
        </w:rPr>
        <w:t>recognising that</w:t>
      </w:r>
      <w:r w:rsidR="007C4328">
        <w:rPr>
          <w:rFonts w:ascii="Arial" w:eastAsia="Times New Roman" w:hAnsi="Arial" w:cs="Arial"/>
          <w:kern w:val="0"/>
          <w:sz w:val="24"/>
          <w:szCs w:val="24"/>
          <w:lang w:eastAsia="en-GB"/>
          <w14:ligatures w14:val="none"/>
        </w:rPr>
        <w:t xml:space="preserve"> impact depends on trainee characteristics, training design and workplace conditions, and should </w:t>
      </w:r>
      <w:r w:rsidR="007442A5">
        <w:rPr>
          <w:rFonts w:ascii="Arial" w:eastAsia="Times New Roman" w:hAnsi="Arial" w:cs="Arial"/>
          <w:kern w:val="0"/>
          <w:sz w:val="24"/>
          <w:szCs w:val="24"/>
          <w:lang w:eastAsia="en-GB"/>
          <w14:ligatures w14:val="none"/>
        </w:rPr>
        <w:t>be evidenced through</w:t>
      </w:r>
      <w:r w:rsidR="00CE3A3F">
        <w:rPr>
          <w:rFonts w:ascii="Arial" w:eastAsia="Times New Roman" w:hAnsi="Arial" w:cs="Arial"/>
          <w:kern w:val="0"/>
          <w:sz w:val="24"/>
          <w:szCs w:val="24"/>
          <w:lang w:eastAsia="en-GB"/>
          <w14:ligatures w14:val="none"/>
        </w:rPr>
        <w:t xml:space="preserve"> changes</w:t>
      </w:r>
      <w:r w:rsidR="007C4328">
        <w:rPr>
          <w:rFonts w:ascii="Arial" w:eastAsia="Times New Roman" w:hAnsi="Arial" w:cs="Arial"/>
          <w:kern w:val="0"/>
          <w:sz w:val="24"/>
          <w:szCs w:val="24"/>
          <w:lang w:eastAsia="en-GB"/>
          <w14:ligatures w14:val="none"/>
        </w:rPr>
        <w:t xml:space="preserve"> in practice and</w:t>
      </w:r>
      <w:r w:rsidR="00CE3A3F">
        <w:rPr>
          <w:rFonts w:ascii="Arial" w:eastAsia="Times New Roman" w:hAnsi="Arial" w:cs="Arial"/>
          <w:kern w:val="0"/>
          <w:sz w:val="24"/>
          <w:szCs w:val="24"/>
          <w:lang w:eastAsia="en-GB"/>
          <w14:ligatures w14:val="none"/>
        </w:rPr>
        <w:t xml:space="preserve"> </w:t>
      </w:r>
      <w:r w:rsidR="007C4328">
        <w:rPr>
          <w:rFonts w:ascii="Arial" w:eastAsia="Times New Roman" w:hAnsi="Arial" w:cs="Arial"/>
          <w:kern w:val="0"/>
          <w:sz w:val="24"/>
          <w:szCs w:val="24"/>
          <w:lang w:eastAsia="en-GB"/>
          <w14:ligatures w14:val="none"/>
        </w:rPr>
        <w:t xml:space="preserve">organisational outcomes (Baldwin and </w:t>
      </w:r>
      <w:r w:rsidR="00351083">
        <w:rPr>
          <w:rFonts w:ascii="Arial" w:eastAsia="Times New Roman" w:hAnsi="Arial" w:cs="Arial"/>
          <w:kern w:val="0"/>
          <w:sz w:val="24"/>
          <w:szCs w:val="24"/>
          <w:lang w:eastAsia="en-GB"/>
          <w14:ligatures w14:val="none"/>
        </w:rPr>
        <w:t>F</w:t>
      </w:r>
      <w:r w:rsidR="007C4328">
        <w:rPr>
          <w:rFonts w:ascii="Arial" w:eastAsia="Times New Roman" w:hAnsi="Arial" w:cs="Arial"/>
          <w:kern w:val="0"/>
          <w:sz w:val="24"/>
          <w:szCs w:val="24"/>
          <w:lang w:eastAsia="en-GB"/>
          <w14:ligatures w14:val="none"/>
        </w:rPr>
        <w:t>ord, 1988; Holton, 1996)</w:t>
      </w:r>
      <w:r w:rsidR="00A72914">
        <w:rPr>
          <w:rFonts w:ascii="Arial" w:eastAsia="Times New Roman" w:hAnsi="Arial" w:cs="Arial"/>
          <w:kern w:val="0"/>
          <w:sz w:val="24"/>
          <w:szCs w:val="24"/>
          <w:lang w:eastAsia="en-GB"/>
          <w14:ligatures w14:val="none"/>
        </w:rPr>
        <w:t xml:space="preserve">. </w:t>
      </w:r>
      <w:r w:rsidR="00893AA4">
        <w:rPr>
          <w:rFonts w:ascii="Arial" w:eastAsia="Times New Roman" w:hAnsi="Arial" w:cs="Arial"/>
          <w:kern w:val="0"/>
          <w:sz w:val="24"/>
          <w:szCs w:val="24"/>
          <w:lang w:eastAsia="en-GB"/>
          <w14:ligatures w14:val="none"/>
        </w:rPr>
        <w:t>The study therefore ai</w:t>
      </w:r>
      <w:r w:rsidR="001106E9">
        <w:rPr>
          <w:rFonts w:ascii="Arial" w:eastAsia="Times New Roman" w:hAnsi="Arial" w:cs="Arial"/>
          <w:kern w:val="0"/>
          <w:sz w:val="24"/>
          <w:szCs w:val="24"/>
          <w:lang w:eastAsia="en-GB"/>
          <w14:ligatures w14:val="none"/>
        </w:rPr>
        <w:t>ms</w:t>
      </w:r>
      <w:r w:rsidRPr="0010338D">
        <w:rPr>
          <w:rFonts w:ascii="Arial" w:eastAsia="Times New Roman" w:hAnsi="Arial" w:cs="Arial"/>
          <w:kern w:val="0"/>
          <w:sz w:val="24"/>
          <w:szCs w:val="24"/>
          <w:lang w:eastAsia="en-GB"/>
          <w14:ligatures w14:val="none"/>
        </w:rPr>
        <w:t xml:space="preserve"> to generate actionable </w:t>
      </w:r>
      <w:r w:rsidR="006B5D96">
        <w:rPr>
          <w:rFonts w:ascii="Arial" w:eastAsia="Times New Roman" w:hAnsi="Arial" w:cs="Arial"/>
          <w:kern w:val="0"/>
          <w:sz w:val="24"/>
          <w:szCs w:val="24"/>
          <w:lang w:eastAsia="en-GB"/>
          <w14:ligatures w14:val="none"/>
        </w:rPr>
        <w:t>insights</w:t>
      </w:r>
      <w:r w:rsidRPr="0010338D">
        <w:rPr>
          <w:rFonts w:ascii="Arial" w:eastAsia="Times New Roman" w:hAnsi="Arial" w:cs="Arial"/>
          <w:kern w:val="0"/>
          <w:sz w:val="24"/>
          <w:szCs w:val="24"/>
          <w:lang w:eastAsia="en-GB"/>
          <w14:ligatures w14:val="none"/>
        </w:rPr>
        <w:t xml:space="preserve"> that </w:t>
      </w:r>
      <w:r w:rsidR="006B5D96">
        <w:rPr>
          <w:rFonts w:ascii="Arial" w:eastAsia="Times New Roman" w:hAnsi="Arial" w:cs="Arial"/>
          <w:kern w:val="0"/>
          <w:sz w:val="24"/>
          <w:szCs w:val="24"/>
          <w:lang w:eastAsia="en-GB"/>
          <w14:ligatures w14:val="none"/>
        </w:rPr>
        <w:t>are</w:t>
      </w:r>
      <w:r w:rsidRPr="0010338D">
        <w:rPr>
          <w:rFonts w:ascii="Arial" w:eastAsia="Times New Roman" w:hAnsi="Arial" w:cs="Arial"/>
          <w:kern w:val="0"/>
          <w:sz w:val="24"/>
          <w:szCs w:val="24"/>
          <w:lang w:eastAsia="en-GB"/>
          <w14:ligatures w14:val="none"/>
        </w:rPr>
        <w:t xml:space="preserve"> both academically robust and directly applicable to </w:t>
      </w:r>
      <w:r w:rsidR="006B5D96">
        <w:rPr>
          <w:rFonts w:ascii="Arial" w:eastAsia="Times New Roman" w:hAnsi="Arial" w:cs="Arial"/>
          <w:kern w:val="0"/>
          <w:sz w:val="24"/>
          <w:szCs w:val="24"/>
          <w:lang w:eastAsia="en-GB"/>
          <w14:ligatures w14:val="none"/>
        </w:rPr>
        <w:t>WfP</w:t>
      </w:r>
      <w:r w:rsidRPr="0010338D">
        <w:rPr>
          <w:rFonts w:ascii="Arial" w:eastAsia="Times New Roman" w:hAnsi="Arial" w:cs="Arial"/>
          <w:kern w:val="0"/>
          <w:sz w:val="24"/>
          <w:szCs w:val="24"/>
          <w:lang w:eastAsia="en-GB"/>
          <w14:ligatures w14:val="none"/>
        </w:rPr>
        <w:t xml:space="preserve"> practice across NHS Wales. It is guided by the central research question: </w:t>
      </w:r>
    </w:p>
    <w:p w14:paraId="14DAE883" w14:textId="54569270" w:rsidR="0010338D" w:rsidRPr="00737703" w:rsidRDefault="0010338D"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0338D">
        <w:rPr>
          <w:rFonts w:ascii="Arial" w:eastAsia="Times New Roman" w:hAnsi="Arial" w:cs="Arial"/>
          <w:b/>
          <w:bCs/>
          <w:i/>
          <w:iCs/>
          <w:kern w:val="0"/>
          <w:sz w:val="24"/>
          <w:szCs w:val="24"/>
          <w:lang w:eastAsia="en-GB"/>
          <w14:ligatures w14:val="none"/>
        </w:rPr>
        <w:t>How have HEIW’s workforce planning training resources contributed to improving workforce planning capability within NHS Wales?</w:t>
      </w:r>
    </w:p>
    <w:p w14:paraId="3E8CAF5E" w14:textId="33B64728" w:rsidR="001940D6" w:rsidRPr="00EE59E0" w:rsidRDefault="00C15DE5"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Workforce Planning</w:t>
      </w:r>
      <w:r w:rsidR="001940D6" w:rsidRPr="00EE59E0">
        <w:rPr>
          <w:rFonts w:ascii="Arial" w:eastAsia="Times New Roman" w:hAnsi="Arial" w:cs="Arial"/>
          <w:kern w:val="0"/>
          <w:sz w:val="24"/>
          <w:szCs w:val="24"/>
          <w:lang w:eastAsia="en-GB"/>
          <w14:ligatures w14:val="none"/>
        </w:rPr>
        <w:t xml:space="preserve"> capability is </w:t>
      </w:r>
      <w:r>
        <w:rPr>
          <w:rFonts w:ascii="Arial" w:eastAsia="Times New Roman" w:hAnsi="Arial" w:cs="Arial"/>
          <w:kern w:val="0"/>
          <w:sz w:val="24"/>
          <w:szCs w:val="24"/>
          <w:lang w:eastAsia="en-GB"/>
          <w14:ligatures w14:val="none"/>
        </w:rPr>
        <w:t>conceptualised</w:t>
      </w:r>
      <w:r w:rsidR="001940D6" w:rsidRPr="00EE59E0">
        <w:rPr>
          <w:rFonts w:ascii="Arial" w:eastAsia="Times New Roman" w:hAnsi="Arial" w:cs="Arial"/>
          <w:kern w:val="0"/>
          <w:sz w:val="24"/>
          <w:szCs w:val="24"/>
          <w:lang w:eastAsia="en-GB"/>
          <w14:ligatures w14:val="none"/>
        </w:rPr>
        <w:t xml:space="preserve"> as a multi</w:t>
      </w:r>
      <w:r w:rsidR="001940D6" w:rsidRPr="00EE59E0">
        <w:rPr>
          <w:rFonts w:ascii="Arial" w:eastAsia="Times New Roman" w:hAnsi="Arial" w:cs="Arial"/>
          <w:kern w:val="0"/>
          <w:sz w:val="24"/>
          <w:szCs w:val="24"/>
          <w:lang w:eastAsia="en-GB"/>
          <w14:ligatures w14:val="none"/>
        </w:rPr>
        <w:noBreakHyphen/>
        <w:t>level construct</w:t>
      </w:r>
      <w:r w:rsidR="00C20A63">
        <w:rPr>
          <w:rFonts w:ascii="Arial" w:eastAsia="Times New Roman" w:hAnsi="Arial" w:cs="Arial"/>
          <w:kern w:val="0"/>
          <w:sz w:val="24"/>
          <w:szCs w:val="24"/>
          <w:lang w:eastAsia="en-GB"/>
          <w14:ligatures w14:val="none"/>
        </w:rPr>
        <w:t xml:space="preserve">, encompassing </w:t>
      </w:r>
      <w:r w:rsidR="001940D6" w:rsidRPr="00EE59E0">
        <w:rPr>
          <w:rFonts w:ascii="Arial" w:eastAsia="Times New Roman" w:hAnsi="Arial" w:cs="Arial"/>
          <w:kern w:val="0"/>
          <w:sz w:val="24"/>
          <w:szCs w:val="24"/>
          <w:lang w:eastAsia="en-GB"/>
          <w14:ligatures w14:val="none"/>
        </w:rPr>
        <w:t>individual competen</w:t>
      </w:r>
      <w:r w:rsidR="00FC338C">
        <w:rPr>
          <w:rFonts w:ascii="Arial" w:eastAsia="Times New Roman" w:hAnsi="Arial" w:cs="Arial"/>
          <w:kern w:val="0"/>
          <w:sz w:val="24"/>
          <w:szCs w:val="24"/>
          <w:lang w:eastAsia="en-GB"/>
          <w14:ligatures w14:val="none"/>
        </w:rPr>
        <w:t>c</w:t>
      </w:r>
      <w:r w:rsidR="00C20A63">
        <w:rPr>
          <w:rFonts w:ascii="Arial" w:eastAsia="Times New Roman" w:hAnsi="Arial" w:cs="Arial"/>
          <w:kern w:val="0"/>
          <w:sz w:val="24"/>
          <w:szCs w:val="24"/>
          <w:lang w:eastAsia="en-GB"/>
          <w14:ligatures w14:val="none"/>
        </w:rPr>
        <w:t>e (</w:t>
      </w:r>
      <w:r w:rsidR="001940D6" w:rsidRPr="00EE59E0">
        <w:rPr>
          <w:rFonts w:ascii="Arial" w:eastAsia="Times New Roman" w:hAnsi="Arial" w:cs="Arial"/>
          <w:kern w:val="0"/>
          <w:sz w:val="24"/>
          <w:szCs w:val="24"/>
          <w:lang w:eastAsia="en-GB"/>
          <w14:ligatures w14:val="none"/>
        </w:rPr>
        <w:t>knowledge, skills and judgement</w:t>
      </w:r>
      <w:r w:rsidR="00FC338C">
        <w:rPr>
          <w:rFonts w:ascii="Arial" w:eastAsia="Times New Roman" w:hAnsi="Arial" w:cs="Arial"/>
          <w:kern w:val="0"/>
          <w:sz w:val="24"/>
          <w:szCs w:val="24"/>
          <w:lang w:eastAsia="en-GB"/>
          <w14:ligatures w14:val="none"/>
        </w:rPr>
        <w:t>) and organisational/system factors that enable effective planning practice</w:t>
      </w:r>
      <w:r w:rsidR="001940D6" w:rsidRPr="00EE59E0">
        <w:rPr>
          <w:rFonts w:ascii="Arial" w:eastAsia="Times New Roman" w:hAnsi="Arial" w:cs="Arial"/>
          <w:kern w:val="0"/>
          <w:sz w:val="24"/>
          <w:szCs w:val="24"/>
          <w:lang w:eastAsia="en-GB"/>
          <w14:ligatures w14:val="none"/>
        </w:rPr>
        <w:t xml:space="preserve"> (Eraut, 1994</w:t>
      </w:r>
      <w:r w:rsidR="00811B05">
        <w:rPr>
          <w:rFonts w:ascii="Arial" w:eastAsia="Times New Roman" w:hAnsi="Arial" w:cs="Arial"/>
          <w:kern w:val="0"/>
          <w:sz w:val="24"/>
          <w:szCs w:val="24"/>
          <w:lang w:eastAsia="en-GB"/>
          <w14:ligatures w14:val="none"/>
        </w:rPr>
        <w:t>; Skills 4 Health</w:t>
      </w:r>
      <w:r w:rsidR="00F02FFA">
        <w:rPr>
          <w:rFonts w:ascii="Arial" w:eastAsia="Times New Roman" w:hAnsi="Arial" w:cs="Arial"/>
          <w:kern w:val="0"/>
          <w:sz w:val="24"/>
          <w:szCs w:val="24"/>
          <w:lang w:eastAsia="en-GB"/>
          <w14:ligatures w14:val="none"/>
        </w:rPr>
        <w:t>, 2023</w:t>
      </w:r>
      <w:r w:rsidR="001940D6" w:rsidRPr="00EE59E0">
        <w:rPr>
          <w:rFonts w:ascii="Arial" w:eastAsia="Times New Roman" w:hAnsi="Arial" w:cs="Arial"/>
          <w:kern w:val="0"/>
          <w:sz w:val="24"/>
          <w:szCs w:val="24"/>
          <w:lang w:eastAsia="en-GB"/>
          <w14:ligatures w14:val="none"/>
        </w:rPr>
        <w:t>). At the organisational/system level, capability also reflects the maturity of processes and infrastructure</w:t>
      </w:r>
      <w:r w:rsidR="00785B12">
        <w:rPr>
          <w:rFonts w:ascii="Arial" w:eastAsia="Times New Roman" w:hAnsi="Arial" w:cs="Arial"/>
          <w:kern w:val="0"/>
          <w:sz w:val="24"/>
          <w:szCs w:val="24"/>
          <w:lang w:eastAsia="en-GB"/>
          <w14:ligatures w14:val="none"/>
        </w:rPr>
        <w:t xml:space="preserve"> in </w:t>
      </w:r>
      <w:r w:rsidR="001940D6" w:rsidRPr="00EE59E0">
        <w:rPr>
          <w:rFonts w:ascii="Arial" w:eastAsia="Times New Roman" w:hAnsi="Arial" w:cs="Arial"/>
          <w:kern w:val="0"/>
          <w:sz w:val="24"/>
          <w:szCs w:val="24"/>
          <w:lang w:eastAsia="en-GB"/>
          <w14:ligatures w14:val="none"/>
        </w:rPr>
        <w:t>enabling consistent high</w:t>
      </w:r>
      <w:r w:rsidR="001940D6" w:rsidRPr="00EE59E0">
        <w:rPr>
          <w:rFonts w:ascii="Arial" w:eastAsia="Times New Roman" w:hAnsi="Arial" w:cs="Arial"/>
          <w:kern w:val="0"/>
          <w:sz w:val="24"/>
          <w:szCs w:val="24"/>
          <w:lang w:eastAsia="en-GB"/>
          <w14:ligatures w14:val="none"/>
        </w:rPr>
        <w:noBreakHyphen/>
        <w:t>quality planning beyond any single practitioner</w:t>
      </w:r>
      <w:r w:rsidR="0083739F">
        <w:rPr>
          <w:rFonts w:ascii="Arial" w:eastAsia="Times New Roman" w:hAnsi="Arial" w:cs="Arial"/>
          <w:kern w:val="0"/>
          <w:sz w:val="24"/>
          <w:szCs w:val="24"/>
          <w:lang w:eastAsia="en-GB"/>
          <w14:ligatures w14:val="none"/>
        </w:rPr>
        <w:t>’s expertise</w:t>
      </w:r>
      <w:r w:rsidR="001940D6" w:rsidRPr="00EE59E0">
        <w:rPr>
          <w:rFonts w:ascii="Arial" w:eastAsia="Times New Roman" w:hAnsi="Arial" w:cs="Arial"/>
          <w:kern w:val="0"/>
          <w:sz w:val="24"/>
          <w:szCs w:val="24"/>
          <w:lang w:eastAsia="en-GB"/>
          <w14:ligatures w14:val="none"/>
        </w:rPr>
        <w:t xml:space="preserve"> (Kolukısa Tarhan </w:t>
      </w:r>
      <w:r w:rsidR="001940D6" w:rsidRPr="00EE59E0">
        <w:rPr>
          <w:rFonts w:ascii="Arial" w:eastAsia="Times New Roman" w:hAnsi="Arial" w:cs="Arial"/>
          <w:i/>
          <w:iCs/>
          <w:kern w:val="0"/>
          <w:sz w:val="24"/>
          <w:szCs w:val="24"/>
          <w:lang w:eastAsia="en-GB"/>
          <w14:ligatures w14:val="none"/>
        </w:rPr>
        <w:t>et al</w:t>
      </w:r>
      <w:r w:rsidR="001940D6" w:rsidRPr="00EE59E0">
        <w:rPr>
          <w:rFonts w:ascii="Arial" w:eastAsia="Times New Roman" w:hAnsi="Arial" w:cs="Arial"/>
          <w:kern w:val="0"/>
          <w:sz w:val="24"/>
          <w:szCs w:val="24"/>
          <w:lang w:eastAsia="en-GB"/>
          <w14:ligatures w14:val="none"/>
        </w:rPr>
        <w:t>., 2020; World Health Organi</w:t>
      </w:r>
      <w:r w:rsidR="00833445">
        <w:rPr>
          <w:rFonts w:ascii="Arial" w:eastAsia="Times New Roman" w:hAnsi="Arial" w:cs="Arial"/>
          <w:kern w:val="0"/>
          <w:sz w:val="24"/>
          <w:szCs w:val="24"/>
          <w:lang w:eastAsia="en-GB"/>
          <w14:ligatures w14:val="none"/>
        </w:rPr>
        <w:t>z</w:t>
      </w:r>
      <w:r w:rsidR="001940D6" w:rsidRPr="00EE59E0">
        <w:rPr>
          <w:rFonts w:ascii="Arial" w:eastAsia="Times New Roman" w:hAnsi="Arial" w:cs="Arial"/>
          <w:kern w:val="0"/>
          <w:sz w:val="24"/>
          <w:szCs w:val="24"/>
          <w:lang w:eastAsia="en-GB"/>
          <w14:ligatures w14:val="none"/>
        </w:rPr>
        <w:t>ation, 2010)</w:t>
      </w:r>
      <w:r w:rsidR="001940D6">
        <w:rPr>
          <w:rFonts w:ascii="Arial" w:eastAsia="Times New Roman" w:hAnsi="Arial" w:cs="Arial"/>
          <w:kern w:val="0"/>
          <w:sz w:val="24"/>
          <w:szCs w:val="24"/>
          <w:lang w:eastAsia="en-GB"/>
          <w14:ligatures w14:val="none"/>
        </w:rPr>
        <w:t>.</w:t>
      </w:r>
    </w:p>
    <w:p w14:paraId="5B3A9CD1" w14:textId="1FAB5F55" w:rsidR="0010338D" w:rsidRPr="006A46E7" w:rsidRDefault="0010338D"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0338D">
        <w:rPr>
          <w:rFonts w:ascii="Arial" w:eastAsia="Times New Roman" w:hAnsi="Arial" w:cs="Arial"/>
          <w:kern w:val="0"/>
          <w:sz w:val="24"/>
          <w:szCs w:val="24"/>
          <w:lang w:eastAsia="en-GB"/>
          <w14:ligatures w14:val="none"/>
        </w:rPr>
        <w:lastRenderedPageBreak/>
        <w:t xml:space="preserve">A targeted evaluation is therefore </w:t>
      </w:r>
      <w:r w:rsidR="00796705">
        <w:rPr>
          <w:rFonts w:ascii="Arial" w:eastAsia="Times New Roman" w:hAnsi="Arial" w:cs="Arial"/>
          <w:kern w:val="0"/>
          <w:sz w:val="24"/>
          <w:szCs w:val="24"/>
          <w:lang w:eastAsia="en-GB"/>
          <w14:ligatures w14:val="none"/>
        </w:rPr>
        <w:t>needed</w:t>
      </w:r>
      <w:r w:rsidRPr="0010338D">
        <w:rPr>
          <w:rFonts w:ascii="Arial" w:eastAsia="Times New Roman" w:hAnsi="Arial" w:cs="Arial"/>
          <w:kern w:val="0"/>
          <w:sz w:val="24"/>
          <w:szCs w:val="24"/>
          <w:lang w:eastAsia="en-GB"/>
          <w14:ligatures w14:val="none"/>
        </w:rPr>
        <w:t xml:space="preserve"> to </w:t>
      </w:r>
      <w:r w:rsidR="008861CF">
        <w:rPr>
          <w:rFonts w:ascii="Arial" w:eastAsia="Times New Roman" w:hAnsi="Arial" w:cs="Arial"/>
          <w:kern w:val="0"/>
          <w:sz w:val="24"/>
          <w:szCs w:val="24"/>
          <w:lang w:eastAsia="en-GB"/>
          <w14:ligatures w14:val="none"/>
        </w:rPr>
        <w:t>assess</w:t>
      </w:r>
      <w:r w:rsidRPr="0010338D">
        <w:rPr>
          <w:rFonts w:ascii="Arial" w:eastAsia="Times New Roman" w:hAnsi="Arial" w:cs="Arial"/>
          <w:kern w:val="0"/>
          <w:sz w:val="24"/>
          <w:szCs w:val="24"/>
          <w:lang w:eastAsia="en-GB"/>
          <w14:ligatures w14:val="none"/>
        </w:rPr>
        <w:t xml:space="preserve"> how HEIW’s training is </w:t>
      </w:r>
      <w:r w:rsidR="008861CF">
        <w:rPr>
          <w:rFonts w:ascii="Arial" w:eastAsia="Times New Roman" w:hAnsi="Arial" w:cs="Arial"/>
          <w:kern w:val="0"/>
          <w:sz w:val="24"/>
          <w:szCs w:val="24"/>
          <w:lang w:eastAsia="en-GB"/>
          <w14:ligatures w14:val="none"/>
        </w:rPr>
        <w:t>used</w:t>
      </w:r>
      <w:r w:rsidRPr="0010338D">
        <w:rPr>
          <w:rFonts w:ascii="Arial" w:eastAsia="Times New Roman" w:hAnsi="Arial" w:cs="Arial"/>
          <w:kern w:val="0"/>
          <w:sz w:val="24"/>
          <w:szCs w:val="24"/>
          <w:lang w:eastAsia="en-GB"/>
          <w14:ligatures w14:val="none"/>
        </w:rPr>
        <w:t xml:space="preserve"> in practice, </w:t>
      </w:r>
      <w:r w:rsidR="008861CF">
        <w:rPr>
          <w:rFonts w:ascii="Arial" w:eastAsia="Times New Roman" w:hAnsi="Arial" w:cs="Arial"/>
          <w:kern w:val="0"/>
          <w:sz w:val="24"/>
          <w:szCs w:val="24"/>
          <w:lang w:eastAsia="en-GB"/>
          <w14:ligatures w14:val="none"/>
        </w:rPr>
        <w:t>its</w:t>
      </w:r>
      <w:r w:rsidRPr="0010338D">
        <w:rPr>
          <w:rFonts w:ascii="Arial" w:eastAsia="Times New Roman" w:hAnsi="Arial" w:cs="Arial"/>
          <w:kern w:val="0"/>
          <w:sz w:val="24"/>
          <w:szCs w:val="24"/>
          <w:lang w:eastAsia="en-GB"/>
          <w14:ligatures w14:val="none"/>
        </w:rPr>
        <w:t xml:space="preserve"> value</w:t>
      </w:r>
      <w:r w:rsidR="00340ECC">
        <w:rPr>
          <w:rFonts w:ascii="Arial" w:eastAsia="Times New Roman" w:hAnsi="Arial" w:cs="Arial"/>
          <w:kern w:val="0"/>
          <w:sz w:val="24"/>
          <w:szCs w:val="24"/>
          <w:lang w:eastAsia="en-GB"/>
          <w14:ligatures w14:val="none"/>
        </w:rPr>
        <w:t>,</w:t>
      </w:r>
      <w:r w:rsidRPr="0010338D">
        <w:rPr>
          <w:rFonts w:ascii="Arial" w:eastAsia="Times New Roman" w:hAnsi="Arial" w:cs="Arial"/>
          <w:kern w:val="0"/>
          <w:sz w:val="24"/>
          <w:szCs w:val="24"/>
          <w:lang w:eastAsia="en-GB"/>
          <w14:ligatures w14:val="none"/>
        </w:rPr>
        <w:t xml:space="preserve"> and wh</w:t>
      </w:r>
      <w:r w:rsidR="00340ECC">
        <w:rPr>
          <w:rFonts w:ascii="Arial" w:eastAsia="Times New Roman" w:hAnsi="Arial" w:cs="Arial"/>
          <w:kern w:val="0"/>
          <w:sz w:val="24"/>
          <w:szCs w:val="24"/>
          <w:lang w:eastAsia="en-GB"/>
          <w14:ligatures w14:val="none"/>
        </w:rPr>
        <w:t>ere</w:t>
      </w:r>
      <w:r w:rsidRPr="0010338D">
        <w:rPr>
          <w:rFonts w:ascii="Arial" w:eastAsia="Times New Roman" w:hAnsi="Arial" w:cs="Arial"/>
          <w:kern w:val="0"/>
          <w:sz w:val="24"/>
          <w:szCs w:val="24"/>
          <w:lang w:eastAsia="en-GB"/>
          <w14:ligatures w14:val="none"/>
        </w:rPr>
        <w:t xml:space="preserve"> </w:t>
      </w:r>
      <w:r w:rsidR="00340ECC">
        <w:rPr>
          <w:rFonts w:ascii="Arial" w:eastAsia="Times New Roman" w:hAnsi="Arial" w:cs="Arial"/>
          <w:kern w:val="0"/>
          <w:sz w:val="24"/>
          <w:szCs w:val="24"/>
          <w:lang w:eastAsia="en-GB"/>
          <w14:ligatures w14:val="none"/>
        </w:rPr>
        <w:t>improvements</w:t>
      </w:r>
      <w:r w:rsidRPr="0010338D">
        <w:rPr>
          <w:rFonts w:ascii="Arial" w:eastAsia="Times New Roman" w:hAnsi="Arial" w:cs="Arial"/>
          <w:kern w:val="0"/>
          <w:sz w:val="24"/>
          <w:szCs w:val="24"/>
          <w:lang w:eastAsia="en-GB"/>
          <w14:ligatures w14:val="none"/>
        </w:rPr>
        <w:t xml:space="preserve"> may be </w:t>
      </w:r>
      <w:r w:rsidRPr="1DA47597">
        <w:rPr>
          <w:rFonts w:ascii="Arial" w:eastAsia="Times New Roman" w:hAnsi="Arial" w:cs="Arial"/>
          <w:sz w:val="24"/>
          <w:szCs w:val="24"/>
          <w:lang w:eastAsia="en-GB"/>
        </w:rPr>
        <w:t>required to maximise impact and strategic contribution.</w:t>
      </w:r>
    </w:p>
    <w:p w14:paraId="764E0F9F" w14:textId="2C6D4225" w:rsidR="00FF22DA" w:rsidRPr="0010338D" w:rsidRDefault="00FF22DA" w:rsidP="00B75760">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r w:rsidRPr="006A46E7">
        <w:rPr>
          <w:rFonts w:ascii="Arial" w:eastAsia="Times New Roman" w:hAnsi="Arial" w:cs="Arial"/>
          <w:b/>
          <w:bCs/>
          <w:kern w:val="0"/>
          <w:sz w:val="28"/>
          <w:szCs w:val="28"/>
          <w:lang w:eastAsia="en-GB"/>
          <w14:ligatures w14:val="none"/>
        </w:rPr>
        <w:t>Outlined intention &amp; Intended impact</w:t>
      </w:r>
    </w:p>
    <w:p w14:paraId="533866D5" w14:textId="03797F28" w:rsidR="0010338D" w:rsidRPr="0010338D" w:rsidRDefault="00A07905"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07905">
        <w:rPr>
          <w:rFonts w:ascii="Arial" w:eastAsia="Times New Roman" w:hAnsi="Arial" w:cs="Arial"/>
          <w:kern w:val="0"/>
          <w:sz w:val="24"/>
          <w:szCs w:val="24"/>
          <w:lang w:eastAsia="en-GB"/>
          <w14:ligatures w14:val="none"/>
        </w:rPr>
        <w:t xml:space="preserve">To address the overarching question, the project </w:t>
      </w:r>
      <w:r w:rsidR="00CA7B5F">
        <w:rPr>
          <w:rFonts w:ascii="Arial" w:eastAsia="Times New Roman" w:hAnsi="Arial" w:cs="Arial"/>
          <w:kern w:val="0"/>
          <w:sz w:val="24"/>
          <w:szCs w:val="24"/>
          <w:lang w:eastAsia="en-GB"/>
          <w14:ligatures w14:val="none"/>
        </w:rPr>
        <w:t>adopts</w:t>
      </w:r>
      <w:r w:rsidRPr="00A07905">
        <w:rPr>
          <w:rFonts w:ascii="Arial" w:eastAsia="Times New Roman" w:hAnsi="Arial" w:cs="Arial"/>
          <w:kern w:val="0"/>
          <w:sz w:val="24"/>
          <w:szCs w:val="24"/>
          <w:lang w:eastAsia="en-GB"/>
          <w14:ligatures w14:val="none"/>
        </w:rPr>
        <w:t xml:space="preserve"> an integrated evaluation approach </w:t>
      </w:r>
      <w:r w:rsidR="00CA094B">
        <w:rPr>
          <w:rFonts w:ascii="Arial" w:eastAsia="Times New Roman" w:hAnsi="Arial" w:cs="Arial"/>
          <w:kern w:val="0"/>
          <w:sz w:val="24"/>
          <w:szCs w:val="24"/>
          <w:lang w:eastAsia="en-GB"/>
          <w14:ligatures w14:val="none"/>
        </w:rPr>
        <w:t>informed b</w:t>
      </w:r>
      <w:r w:rsidR="008A71E7">
        <w:rPr>
          <w:rFonts w:ascii="Arial" w:eastAsia="Times New Roman" w:hAnsi="Arial" w:cs="Arial"/>
          <w:kern w:val="0"/>
          <w:sz w:val="24"/>
          <w:szCs w:val="24"/>
          <w:lang w:eastAsia="en-GB"/>
          <w14:ligatures w14:val="none"/>
        </w:rPr>
        <w:t>y</w:t>
      </w:r>
      <w:r w:rsidRPr="00A07905">
        <w:rPr>
          <w:rFonts w:ascii="Arial" w:eastAsia="Times New Roman" w:hAnsi="Arial" w:cs="Arial"/>
          <w:kern w:val="0"/>
          <w:sz w:val="24"/>
          <w:szCs w:val="24"/>
          <w:lang w:eastAsia="en-GB"/>
          <w14:ligatures w14:val="none"/>
        </w:rPr>
        <w:t xml:space="preserve"> </w:t>
      </w:r>
      <w:r w:rsidR="008B2811">
        <w:rPr>
          <w:rFonts w:ascii="Arial" w:eastAsia="Times New Roman" w:hAnsi="Arial" w:cs="Arial"/>
          <w:kern w:val="0"/>
          <w:sz w:val="24"/>
          <w:szCs w:val="24"/>
          <w:lang w:eastAsia="en-GB"/>
          <w14:ligatures w14:val="none"/>
        </w:rPr>
        <w:t>Kirkpatrick</w:t>
      </w:r>
      <w:r w:rsidR="0053203A">
        <w:rPr>
          <w:rFonts w:ascii="Arial" w:eastAsia="Times New Roman" w:hAnsi="Arial" w:cs="Arial"/>
          <w:kern w:val="0"/>
          <w:sz w:val="24"/>
          <w:szCs w:val="24"/>
          <w:lang w:eastAsia="en-GB"/>
          <w14:ligatures w14:val="none"/>
        </w:rPr>
        <w:t>’</w:t>
      </w:r>
      <w:r w:rsidR="008B2811">
        <w:rPr>
          <w:rFonts w:ascii="Arial" w:eastAsia="Times New Roman" w:hAnsi="Arial" w:cs="Arial"/>
          <w:kern w:val="0"/>
          <w:sz w:val="24"/>
          <w:szCs w:val="24"/>
          <w:lang w:eastAsia="en-GB"/>
          <w14:ligatures w14:val="none"/>
        </w:rPr>
        <w:t>s four levels (reaction, learning, behaviour, results)</w:t>
      </w:r>
      <w:r w:rsidR="003851A1">
        <w:rPr>
          <w:rFonts w:ascii="Arial" w:eastAsia="Times New Roman" w:hAnsi="Arial" w:cs="Arial"/>
          <w:kern w:val="0"/>
          <w:sz w:val="24"/>
          <w:szCs w:val="24"/>
          <w:lang w:eastAsia="en-GB"/>
          <w14:ligatures w14:val="none"/>
        </w:rPr>
        <w:t xml:space="preserve"> </w:t>
      </w:r>
      <w:r w:rsidR="008A71E7">
        <w:rPr>
          <w:rFonts w:ascii="Arial" w:eastAsia="Times New Roman" w:hAnsi="Arial" w:cs="Arial"/>
          <w:kern w:val="0"/>
          <w:sz w:val="24"/>
          <w:szCs w:val="24"/>
          <w:lang w:eastAsia="en-GB"/>
          <w14:ligatures w14:val="none"/>
        </w:rPr>
        <w:t>and</w:t>
      </w:r>
      <w:r w:rsidR="0053203A">
        <w:rPr>
          <w:rFonts w:ascii="Arial" w:eastAsia="Times New Roman" w:hAnsi="Arial" w:cs="Arial"/>
          <w:kern w:val="0"/>
          <w:sz w:val="24"/>
          <w:szCs w:val="24"/>
          <w:lang w:eastAsia="en-GB"/>
          <w14:ligatures w14:val="none"/>
        </w:rPr>
        <w:t xml:space="preserve"> training transfer theory</w:t>
      </w:r>
      <w:r w:rsidR="00F80B34">
        <w:rPr>
          <w:rFonts w:ascii="Arial" w:eastAsia="Times New Roman" w:hAnsi="Arial" w:cs="Arial"/>
          <w:kern w:val="0"/>
          <w:sz w:val="24"/>
          <w:szCs w:val="24"/>
          <w:lang w:eastAsia="en-GB"/>
          <w14:ligatures w14:val="none"/>
        </w:rPr>
        <w:t>, enabling</w:t>
      </w:r>
      <w:r w:rsidR="007A4379">
        <w:rPr>
          <w:rFonts w:ascii="Arial" w:eastAsia="Times New Roman" w:hAnsi="Arial" w:cs="Arial"/>
          <w:kern w:val="0"/>
          <w:sz w:val="24"/>
          <w:szCs w:val="24"/>
          <w:lang w:eastAsia="en-GB"/>
          <w14:ligatures w14:val="none"/>
        </w:rPr>
        <w:t xml:space="preserve"> assessment of learning, behaviour and </w:t>
      </w:r>
      <w:r w:rsidR="00E14DB5">
        <w:rPr>
          <w:rFonts w:ascii="Arial" w:eastAsia="Times New Roman" w:hAnsi="Arial" w:cs="Arial"/>
          <w:kern w:val="0"/>
          <w:sz w:val="24"/>
          <w:szCs w:val="24"/>
          <w:lang w:eastAsia="en-GB"/>
          <w14:ligatures w14:val="none"/>
        </w:rPr>
        <w:t>organisational outcomes alongside contextual influences</w:t>
      </w:r>
      <w:r w:rsidR="00093621">
        <w:rPr>
          <w:rFonts w:ascii="Arial" w:eastAsia="Times New Roman" w:hAnsi="Arial" w:cs="Arial"/>
          <w:kern w:val="0"/>
          <w:sz w:val="24"/>
          <w:szCs w:val="24"/>
          <w:lang w:eastAsia="en-GB"/>
          <w14:ligatures w14:val="none"/>
        </w:rPr>
        <w:t xml:space="preserve"> (</w:t>
      </w:r>
      <w:r w:rsidR="00E14DB5" w:rsidRPr="00A07905">
        <w:rPr>
          <w:rFonts w:ascii="Arial" w:eastAsia="Times New Roman" w:hAnsi="Arial" w:cs="Arial"/>
          <w:kern w:val="0"/>
          <w:sz w:val="24"/>
          <w:szCs w:val="24"/>
          <w:lang w:eastAsia="en-GB"/>
          <w14:ligatures w14:val="none"/>
        </w:rPr>
        <w:t>Kirkpatrick, 2016; Holton, 1996</w:t>
      </w:r>
      <w:r w:rsidR="00433CA6">
        <w:rPr>
          <w:rFonts w:ascii="Arial" w:eastAsia="Times New Roman" w:hAnsi="Arial" w:cs="Arial"/>
          <w:kern w:val="0"/>
          <w:sz w:val="24"/>
          <w:szCs w:val="24"/>
          <w:lang w:eastAsia="en-GB"/>
          <w14:ligatures w14:val="none"/>
        </w:rPr>
        <w:t xml:space="preserve">; </w:t>
      </w:r>
      <w:r w:rsidR="006D4CBF">
        <w:rPr>
          <w:rFonts w:ascii="Arial" w:eastAsia="Times New Roman" w:hAnsi="Arial" w:cs="Arial"/>
          <w:kern w:val="0"/>
          <w:sz w:val="24"/>
          <w:szCs w:val="24"/>
          <w:lang w:eastAsia="en-GB"/>
          <w14:ligatures w14:val="none"/>
        </w:rPr>
        <w:t xml:space="preserve">Baldwin and Ford, 1988; </w:t>
      </w:r>
      <w:r w:rsidR="00093621">
        <w:rPr>
          <w:rFonts w:ascii="Arial" w:eastAsia="Times New Roman" w:hAnsi="Arial" w:cs="Arial"/>
          <w:kern w:val="0"/>
          <w:sz w:val="24"/>
          <w:szCs w:val="24"/>
          <w:lang w:eastAsia="en-GB"/>
          <w14:ligatures w14:val="none"/>
        </w:rPr>
        <w:t xml:space="preserve">Jackson </w:t>
      </w:r>
      <w:r w:rsidR="00093621" w:rsidRPr="006D4CBF">
        <w:rPr>
          <w:rFonts w:ascii="Arial" w:eastAsia="Times New Roman" w:hAnsi="Arial" w:cs="Arial"/>
          <w:i/>
          <w:iCs/>
          <w:kern w:val="0"/>
          <w:sz w:val="24"/>
          <w:szCs w:val="24"/>
          <w:lang w:eastAsia="en-GB"/>
          <w14:ligatures w14:val="none"/>
        </w:rPr>
        <w:t>et al</w:t>
      </w:r>
      <w:r w:rsidR="00093621">
        <w:rPr>
          <w:rFonts w:ascii="Arial" w:eastAsia="Times New Roman" w:hAnsi="Arial" w:cs="Arial"/>
          <w:kern w:val="0"/>
          <w:sz w:val="24"/>
          <w:szCs w:val="24"/>
          <w:lang w:eastAsia="en-GB"/>
          <w14:ligatures w14:val="none"/>
        </w:rPr>
        <w:t>., 2019)</w:t>
      </w:r>
      <w:r w:rsidR="00D76615">
        <w:rPr>
          <w:rFonts w:ascii="Arial" w:eastAsia="Times New Roman" w:hAnsi="Arial" w:cs="Arial"/>
          <w:kern w:val="0"/>
          <w:sz w:val="24"/>
          <w:szCs w:val="24"/>
          <w:lang w:eastAsia="en-GB"/>
          <w14:ligatures w14:val="none"/>
        </w:rPr>
        <w:t>.</w:t>
      </w:r>
      <w:r w:rsidR="00351A90">
        <w:rPr>
          <w:rFonts w:ascii="Arial" w:eastAsia="Times New Roman" w:hAnsi="Arial" w:cs="Arial"/>
          <w:kern w:val="0"/>
          <w:sz w:val="24"/>
          <w:szCs w:val="24"/>
          <w:lang w:eastAsia="en-GB"/>
          <w14:ligatures w14:val="none"/>
        </w:rPr>
        <w:br/>
      </w:r>
      <w:r w:rsidR="00601487">
        <w:rPr>
          <w:rFonts w:ascii="Arial" w:eastAsia="Times New Roman" w:hAnsi="Arial" w:cs="Arial"/>
          <w:kern w:val="0"/>
          <w:sz w:val="24"/>
          <w:szCs w:val="24"/>
          <w:lang w:eastAsia="en-GB"/>
          <w14:ligatures w14:val="none"/>
        </w:rPr>
        <w:t>The evaluation will assess</w:t>
      </w:r>
      <w:r w:rsidR="00433CA6">
        <w:rPr>
          <w:rFonts w:ascii="Arial" w:eastAsia="Times New Roman" w:hAnsi="Arial" w:cs="Arial"/>
          <w:kern w:val="0"/>
          <w:sz w:val="24"/>
          <w:szCs w:val="24"/>
          <w:lang w:eastAsia="en-GB"/>
          <w14:ligatures w14:val="none"/>
        </w:rPr>
        <w:t>:</w:t>
      </w:r>
    </w:p>
    <w:p w14:paraId="35CDCB94" w14:textId="5C587CC1" w:rsidR="0010338D" w:rsidRPr="0010338D" w:rsidRDefault="0010338D" w:rsidP="00B75760">
      <w:pPr>
        <w:numPr>
          <w:ilvl w:val="0"/>
          <w:numId w:val="18"/>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0338D">
        <w:rPr>
          <w:rFonts w:ascii="Arial" w:eastAsia="Times New Roman" w:hAnsi="Arial" w:cs="Arial"/>
          <w:kern w:val="0"/>
          <w:sz w:val="24"/>
          <w:szCs w:val="24"/>
          <w:lang w:eastAsia="en-GB"/>
          <w14:ligatures w14:val="none"/>
        </w:rPr>
        <w:t xml:space="preserve">Staff perceptions of the usefulness, accessibility, and relevance </w:t>
      </w:r>
      <w:r w:rsidR="00601487">
        <w:rPr>
          <w:rFonts w:ascii="Arial" w:eastAsia="Times New Roman" w:hAnsi="Arial" w:cs="Arial"/>
          <w:kern w:val="0"/>
          <w:sz w:val="24"/>
          <w:szCs w:val="24"/>
          <w:lang w:eastAsia="en-GB"/>
          <w14:ligatures w14:val="none"/>
        </w:rPr>
        <w:t>(reaction)</w:t>
      </w:r>
      <w:r w:rsidRPr="0010338D">
        <w:rPr>
          <w:rFonts w:ascii="Arial" w:eastAsia="Times New Roman" w:hAnsi="Arial" w:cs="Arial"/>
          <w:kern w:val="0"/>
          <w:sz w:val="24"/>
          <w:szCs w:val="24"/>
          <w:lang w:eastAsia="en-GB"/>
          <w14:ligatures w14:val="none"/>
        </w:rPr>
        <w:t>;</w:t>
      </w:r>
    </w:p>
    <w:p w14:paraId="3307AA35" w14:textId="38B338D3" w:rsidR="0010338D" w:rsidRPr="0010338D" w:rsidRDefault="0010338D" w:rsidP="00B75760">
      <w:pPr>
        <w:numPr>
          <w:ilvl w:val="0"/>
          <w:numId w:val="18"/>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0338D">
        <w:rPr>
          <w:rFonts w:ascii="Arial" w:eastAsia="Times New Roman" w:hAnsi="Arial" w:cs="Arial"/>
          <w:kern w:val="0"/>
          <w:sz w:val="24"/>
          <w:szCs w:val="24"/>
          <w:lang w:eastAsia="en-GB"/>
          <w14:ligatures w14:val="none"/>
        </w:rPr>
        <w:t xml:space="preserve">Reported changes in knowledge, skills, and </w:t>
      </w:r>
      <w:r w:rsidR="00557F35">
        <w:rPr>
          <w:rFonts w:ascii="Arial" w:eastAsia="Times New Roman" w:hAnsi="Arial" w:cs="Arial"/>
          <w:kern w:val="0"/>
          <w:sz w:val="24"/>
          <w:szCs w:val="24"/>
          <w:lang w:eastAsia="en-GB"/>
          <w14:ligatures w14:val="none"/>
        </w:rPr>
        <w:t>confidence (learning)</w:t>
      </w:r>
      <w:r w:rsidRPr="0010338D">
        <w:rPr>
          <w:rFonts w:ascii="Arial" w:eastAsia="Times New Roman" w:hAnsi="Arial" w:cs="Arial"/>
          <w:kern w:val="0"/>
          <w:sz w:val="24"/>
          <w:szCs w:val="24"/>
          <w:lang w:eastAsia="en-GB"/>
          <w14:ligatures w14:val="none"/>
        </w:rPr>
        <w:t>;</w:t>
      </w:r>
    </w:p>
    <w:p w14:paraId="48198AFF" w14:textId="6A235FB4" w:rsidR="0010338D" w:rsidRPr="0010338D" w:rsidRDefault="0010338D" w:rsidP="00B75760">
      <w:pPr>
        <w:numPr>
          <w:ilvl w:val="0"/>
          <w:numId w:val="18"/>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0338D">
        <w:rPr>
          <w:rFonts w:ascii="Arial" w:eastAsia="Times New Roman" w:hAnsi="Arial" w:cs="Arial"/>
          <w:kern w:val="0"/>
          <w:sz w:val="24"/>
          <w:szCs w:val="24"/>
          <w:lang w:eastAsia="en-GB"/>
          <w14:ligatures w14:val="none"/>
        </w:rPr>
        <w:t xml:space="preserve">Organisational enablers and barriers influencing implementation </w:t>
      </w:r>
      <w:r w:rsidR="00B41410">
        <w:rPr>
          <w:rFonts w:ascii="Arial" w:eastAsia="Times New Roman" w:hAnsi="Arial" w:cs="Arial"/>
          <w:kern w:val="0"/>
          <w:sz w:val="24"/>
          <w:szCs w:val="24"/>
          <w:lang w:eastAsia="en-GB"/>
          <w14:ligatures w14:val="none"/>
        </w:rPr>
        <w:t>and perceive</w:t>
      </w:r>
      <w:r w:rsidR="002B5885">
        <w:rPr>
          <w:rFonts w:ascii="Arial" w:eastAsia="Times New Roman" w:hAnsi="Arial" w:cs="Arial"/>
          <w:kern w:val="0"/>
          <w:sz w:val="24"/>
          <w:szCs w:val="24"/>
          <w:lang w:eastAsia="en-GB"/>
          <w14:ligatures w14:val="none"/>
        </w:rPr>
        <w:t>d service/organisational value (results + transfer conditions)</w:t>
      </w:r>
      <w:r w:rsidR="000021BD">
        <w:rPr>
          <w:rFonts w:ascii="Arial" w:eastAsia="Times New Roman" w:hAnsi="Arial" w:cs="Arial"/>
          <w:kern w:val="0"/>
          <w:sz w:val="24"/>
          <w:szCs w:val="24"/>
          <w:lang w:eastAsia="en-GB"/>
          <w14:ligatures w14:val="none"/>
        </w:rPr>
        <w:t>; and</w:t>
      </w:r>
    </w:p>
    <w:p w14:paraId="16F62704" w14:textId="21252DE8" w:rsidR="0010338D" w:rsidRPr="0010338D" w:rsidRDefault="0010338D" w:rsidP="00B75760">
      <w:pPr>
        <w:numPr>
          <w:ilvl w:val="0"/>
          <w:numId w:val="18"/>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0338D">
        <w:rPr>
          <w:rFonts w:ascii="Arial" w:eastAsia="Times New Roman" w:hAnsi="Arial" w:cs="Arial"/>
          <w:kern w:val="0"/>
          <w:sz w:val="24"/>
          <w:szCs w:val="24"/>
          <w:lang w:eastAsia="en-GB"/>
          <w14:ligatures w14:val="none"/>
        </w:rPr>
        <w:t>Patterns of engagement across roles</w:t>
      </w:r>
      <w:r w:rsidR="002D4CD3">
        <w:rPr>
          <w:rFonts w:ascii="Arial" w:eastAsia="Times New Roman" w:hAnsi="Arial" w:cs="Arial"/>
          <w:kern w:val="0"/>
          <w:sz w:val="24"/>
          <w:szCs w:val="24"/>
          <w:lang w:eastAsia="en-GB"/>
          <w14:ligatures w14:val="none"/>
        </w:rPr>
        <w:t xml:space="preserve"> </w:t>
      </w:r>
      <w:r w:rsidRPr="0010338D">
        <w:rPr>
          <w:rFonts w:ascii="Arial" w:eastAsia="Times New Roman" w:hAnsi="Arial" w:cs="Arial"/>
          <w:kern w:val="0"/>
          <w:sz w:val="24"/>
          <w:szCs w:val="24"/>
          <w:lang w:eastAsia="en-GB"/>
          <w14:ligatures w14:val="none"/>
        </w:rPr>
        <w:t>and service areas.</w:t>
      </w:r>
    </w:p>
    <w:p w14:paraId="7C4377C7" w14:textId="39242AE6" w:rsidR="0010338D" w:rsidRPr="0010338D" w:rsidRDefault="000021BD"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Findings</w:t>
      </w:r>
      <w:r w:rsidR="0010338D" w:rsidRPr="0010338D">
        <w:rPr>
          <w:rFonts w:ascii="Arial" w:eastAsia="Times New Roman" w:hAnsi="Arial" w:cs="Arial"/>
          <w:kern w:val="0"/>
          <w:sz w:val="24"/>
          <w:szCs w:val="24"/>
          <w:lang w:eastAsia="en-GB"/>
          <w14:ligatures w14:val="none"/>
        </w:rPr>
        <w:t xml:space="preserve"> will </w:t>
      </w:r>
      <w:r w:rsidR="00E81AD0">
        <w:rPr>
          <w:rFonts w:ascii="Arial" w:eastAsia="Times New Roman" w:hAnsi="Arial" w:cs="Arial"/>
          <w:kern w:val="0"/>
          <w:sz w:val="24"/>
          <w:szCs w:val="24"/>
          <w:lang w:eastAsia="en-GB"/>
          <w14:ligatures w14:val="none"/>
        </w:rPr>
        <w:t>combine</w:t>
      </w:r>
      <w:r w:rsidR="0010338D" w:rsidRPr="0010338D">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participation data</w:t>
      </w:r>
      <w:r w:rsidR="0010338D" w:rsidRPr="0010338D">
        <w:rPr>
          <w:rFonts w:ascii="Arial" w:eastAsia="Times New Roman" w:hAnsi="Arial" w:cs="Arial"/>
          <w:kern w:val="0"/>
          <w:sz w:val="24"/>
          <w:szCs w:val="24"/>
          <w:lang w:eastAsia="en-GB"/>
          <w14:ligatures w14:val="none"/>
        </w:rPr>
        <w:t xml:space="preserve">, evaluation feedback, and stakeholder insight, to </w:t>
      </w:r>
      <w:r w:rsidR="00E13A5E">
        <w:rPr>
          <w:rFonts w:ascii="Arial" w:eastAsia="Times New Roman" w:hAnsi="Arial" w:cs="Arial"/>
          <w:kern w:val="0"/>
          <w:sz w:val="24"/>
          <w:szCs w:val="24"/>
          <w:lang w:eastAsia="en-GB"/>
          <w14:ligatures w14:val="none"/>
        </w:rPr>
        <w:t xml:space="preserve">generate </w:t>
      </w:r>
      <w:r w:rsidR="0010338D" w:rsidRPr="0010338D">
        <w:rPr>
          <w:rFonts w:ascii="Arial" w:eastAsia="Times New Roman" w:hAnsi="Arial" w:cs="Arial"/>
          <w:kern w:val="0"/>
          <w:sz w:val="24"/>
          <w:szCs w:val="24"/>
          <w:lang w:eastAsia="en-GB"/>
          <w14:ligatures w14:val="none"/>
        </w:rPr>
        <w:t>prioritised</w:t>
      </w:r>
      <w:r w:rsidR="007071AD">
        <w:rPr>
          <w:rFonts w:ascii="Arial" w:eastAsia="Times New Roman" w:hAnsi="Arial" w:cs="Arial"/>
          <w:kern w:val="0"/>
          <w:sz w:val="24"/>
          <w:szCs w:val="24"/>
          <w:lang w:eastAsia="en-GB"/>
          <w14:ligatures w14:val="none"/>
        </w:rPr>
        <w:t>, actionable</w:t>
      </w:r>
      <w:r w:rsidR="0010338D" w:rsidRPr="0010338D">
        <w:rPr>
          <w:rFonts w:ascii="Arial" w:eastAsia="Times New Roman" w:hAnsi="Arial" w:cs="Arial"/>
          <w:kern w:val="0"/>
          <w:sz w:val="24"/>
          <w:szCs w:val="24"/>
          <w:lang w:eastAsia="en-GB"/>
          <w14:ligatures w14:val="none"/>
        </w:rPr>
        <w:t xml:space="preserve"> recommendations</w:t>
      </w:r>
      <w:r w:rsidR="007071AD">
        <w:rPr>
          <w:rFonts w:ascii="Arial" w:eastAsia="Times New Roman" w:hAnsi="Arial" w:cs="Arial"/>
          <w:kern w:val="0"/>
          <w:sz w:val="24"/>
          <w:szCs w:val="24"/>
          <w:lang w:eastAsia="en-GB"/>
          <w14:ligatures w14:val="none"/>
        </w:rPr>
        <w:t xml:space="preserve"> for HEIW and NHS Wales partners</w:t>
      </w:r>
      <w:r w:rsidR="0010338D" w:rsidRPr="0010338D">
        <w:rPr>
          <w:rFonts w:ascii="Arial" w:eastAsia="Times New Roman" w:hAnsi="Arial" w:cs="Arial"/>
          <w:kern w:val="0"/>
          <w:sz w:val="24"/>
          <w:szCs w:val="24"/>
          <w:lang w:eastAsia="en-GB"/>
          <w14:ligatures w14:val="none"/>
        </w:rPr>
        <w:t xml:space="preserve">. </w:t>
      </w:r>
      <w:r w:rsidR="00F069CE">
        <w:rPr>
          <w:rFonts w:ascii="Arial" w:eastAsia="Times New Roman" w:hAnsi="Arial" w:cs="Arial"/>
          <w:kern w:val="0"/>
          <w:sz w:val="24"/>
          <w:szCs w:val="24"/>
          <w:lang w:eastAsia="en-GB"/>
          <w14:ligatures w14:val="none"/>
        </w:rPr>
        <w:t>Recommendations</w:t>
      </w:r>
      <w:r w:rsidR="0010338D" w:rsidRPr="0010338D">
        <w:rPr>
          <w:rFonts w:ascii="Arial" w:eastAsia="Times New Roman" w:hAnsi="Arial" w:cs="Arial"/>
          <w:kern w:val="0"/>
          <w:sz w:val="24"/>
          <w:szCs w:val="24"/>
          <w:lang w:eastAsia="en-GB"/>
          <w14:ligatures w14:val="none"/>
        </w:rPr>
        <w:t xml:space="preserve"> will</w:t>
      </w:r>
      <w:r w:rsidR="00F069CE">
        <w:rPr>
          <w:rFonts w:ascii="Arial" w:eastAsia="Times New Roman" w:hAnsi="Arial" w:cs="Arial"/>
          <w:kern w:val="0"/>
          <w:sz w:val="24"/>
          <w:szCs w:val="24"/>
          <w:lang w:eastAsia="en-GB"/>
          <w14:ligatures w14:val="none"/>
        </w:rPr>
        <w:t xml:space="preserve"> also</w:t>
      </w:r>
      <w:r w:rsidR="00075352">
        <w:rPr>
          <w:rFonts w:ascii="Arial" w:eastAsia="Times New Roman" w:hAnsi="Arial" w:cs="Arial"/>
          <w:kern w:val="0"/>
          <w:sz w:val="24"/>
          <w:szCs w:val="24"/>
          <w:lang w:eastAsia="en-GB"/>
          <w14:ligatures w14:val="none"/>
        </w:rPr>
        <w:t xml:space="preserve"> support system capability building and</w:t>
      </w:r>
      <w:r w:rsidR="0010338D" w:rsidRPr="0010338D">
        <w:rPr>
          <w:rFonts w:ascii="Arial" w:eastAsia="Times New Roman" w:hAnsi="Arial" w:cs="Arial"/>
          <w:kern w:val="0"/>
          <w:sz w:val="24"/>
          <w:szCs w:val="24"/>
          <w:lang w:eastAsia="en-GB"/>
          <w14:ligatures w14:val="none"/>
        </w:rPr>
        <w:t xml:space="preserve"> strengthen alignment with national policy priorities</w:t>
      </w:r>
      <w:r w:rsidR="009469DA">
        <w:rPr>
          <w:rFonts w:ascii="Arial" w:eastAsia="Times New Roman" w:hAnsi="Arial" w:cs="Arial"/>
          <w:kern w:val="0"/>
          <w:sz w:val="24"/>
          <w:szCs w:val="24"/>
          <w:lang w:eastAsia="en-GB"/>
          <w14:ligatures w14:val="none"/>
        </w:rPr>
        <w:t>.</w:t>
      </w:r>
    </w:p>
    <w:p w14:paraId="59B1D88F" w14:textId="7064B715" w:rsidR="00CE6C55" w:rsidRPr="006A46E7" w:rsidRDefault="00CE6C55" w:rsidP="00B75760">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r w:rsidRPr="006A46E7">
        <w:rPr>
          <w:rFonts w:ascii="Arial" w:eastAsia="Times New Roman" w:hAnsi="Arial" w:cs="Arial"/>
          <w:b/>
          <w:bCs/>
          <w:kern w:val="0"/>
          <w:sz w:val="28"/>
          <w:szCs w:val="28"/>
          <w:lang w:eastAsia="en-GB"/>
          <w14:ligatures w14:val="none"/>
        </w:rPr>
        <w:t>E</w:t>
      </w:r>
      <w:r w:rsidR="00CF52D8" w:rsidRPr="006A46E7">
        <w:rPr>
          <w:rFonts w:ascii="Arial" w:eastAsia="Times New Roman" w:hAnsi="Arial" w:cs="Arial"/>
          <w:b/>
          <w:bCs/>
          <w:kern w:val="0"/>
          <w:sz w:val="28"/>
          <w:szCs w:val="28"/>
          <w:lang w:eastAsia="en-GB"/>
          <w14:ligatures w14:val="none"/>
        </w:rPr>
        <w:t>thics and insider research</w:t>
      </w:r>
    </w:p>
    <w:p w14:paraId="02DD390E" w14:textId="3BA329AF" w:rsidR="00E86ED8" w:rsidRDefault="008C7F67" w:rsidP="00B75760">
      <w:pPr>
        <w:spacing w:before="100" w:beforeAutospacing="1" w:after="100" w:afterAutospacing="1" w:line="360" w:lineRule="auto"/>
        <w:jc w:val="both"/>
        <w:rPr>
          <w:rFonts w:ascii="Arial" w:hAnsi="Arial" w:cs="Arial"/>
          <w:b/>
          <w:bCs/>
          <w:sz w:val="28"/>
          <w:szCs w:val="28"/>
        </w:rPr>
      </w:pPr>
      <w:r w:rsidRPr="008C7F67">
        <w:rPr>
          <w:rFonts w:ascii="Arial" w:eastAsia="Times New Roman" w:hAnsi="Arial" w:cs="Arial"/>
          <w:kern w:val="0"/>
          <w:sz w:val="24"/>
          <w:szCs w:val="24"/>
          <w:lang w:eastAsia="en-GB"/>
          <w14:ligatures w14:val="none"/>
        </w:rPr>
        <w:t xml:space="preserve">Ethical practice will include informed consent, voluntary participation, secure data storage, anonymisation, and adherence to information governance requirements. </w:t>
      </w:r>
      <w:r w:rsidR="006F6F64">
        <w:rPr>
          <w:rFonts w:ascii="Arial" w:eastAsia="Times New Roman" w:hAnsi="Arial" w:cs="Arial"/>
          <w:kern w:val="0"/>
          <w:sz w:val="24"/>
          <w:szCs w:val="24"/>
          <w:lang w:eastAsia="en-GB"/>
          <w14:ligatures w14:val="none"/>
        </w:rPr>
        <w:t>Insider</w:t>
      </w:r>
      <w:r w:rsidR="00881084">
        <w:rPr>
          <w:rFonts w:ascii="Arial" w:eastAsia="Times New Roman" w:hAnsi="Arial" w:cs="Arial"/>
          <w:kern w:val="0"/>
          <w:sz w:val="24"/>
          <w:szCs w:val="24"/>
          <w:lang w:eastAsia="en-GB"/>
          <w14:ligatures w14:val="none"/>
        </w:rPr>
        <w:t xml:space="preserve"> role duality</w:t>
      </w:r>
      <w:r w:rsidRPr="008C7F67">
        <w:rPr>
          <w:rFonts w:ascii="Arial" w:eastAsia="Times New Roman" w:hAnsi="Arial" w:cs="Arial"/>
          <w:kern w:val="0"/>
          <w:sz w:val="24"/>
          <w:szCs w:val="24"/>
          <w:lang w:eastAsia="en-GB"/>
          <w14:ligatures w14:val="none"/>
        </w:rPr>
        <w:t xml:space="preserve"> and potential bias will be managed through clear role boundaries, reflexive journalling, neutral recruitment routes to minimise perceived coercion, and transparent reporting of limitations</w:t>
      </w:r>
      <w:r w:rsidR="00C23107">
        <w:rPr>
          <w:rFonts w:ascii="Arial" w:eastAsia="Times New Roman" w:hAnsi="Arial" w:cs="Arial"/>
          <w:kern w:val="0"/>
          <w:sz w:val="24"/>
          <w:szCs w:val="24"/>
          <w:lang w:eastAsia="en-GB"/>
          <w14:ligatures w14:val="none"/>
        </w:rPr>
        <w:t xml:space="preserve"> </w:t>
      </w:r>
      <w:r w:rsidR="0063342A">
        <w:rPr>
          <w:rFonts w:ascii="Arial" w:eastAsia="Times New Roman" w:hAnsi="Arial" w:cs="Arial"/>
          <w:kern w:val="0"/>
          <w:sz w:val="24"/>
          <w:szCs w:val="24"/>
          <w:lang w:eastAsia="en-GB"/>
          <w14:ligatures w14:val="none"/>
        </w:rPr>
        <w:t>(Brannick and Coghlan, 2007; Mercer, 2007</w:t>
      </w:r>
      <w:r w:rsidR="00AB471E">
        <w:rPr>
          <w:rFonts w:ascii="Arial" w:eastAsia="Times New Roman" w:hAnsi="Arial" w:cs="Arial"/>
          <w:kern w:val="0"/>
          <w:sz w:val="24"/>
          <w:szCs w:val="24"/>
          <w:lang w:eastAsia="en-GB"/>
          <w14:ligatures w14:val="none"/>
        </w:rPr>
        <w:t xml:space="preserve">; </w:t>
      </w:r>
      <w:r w:rsidR="0063342A">
        <w:rPr>
          <w:rFonts w:ascii="Arial" w:eastAsia="Times New Roman" w:hAnsi="Arial" w:cs="Arial"/>
          <w:kern w:val="0"/>
          <w:sz w:val="24"/>
          <w:szCs w:val="24"/>
          <w:lang w:eastAsia="en-GB"/>
          <w14:ligatures w14:val="none"/>
        </w:rPr>
        <w:t>Berger, 2015; Dwyer and Buckle, 2009</w:t>
      </w:r>
      <w:r w:rsidR="00AB471E">
        <w:rPr>
          <w:rFonts w:ascii="Arial" w:eastAsia="Times New Roman" w:hAnsi="Arial" w:cs="Arial"/>
          <w:kern w:val="0"/>
          <w:sz w:val="24"/>
          <w:szCs w:val="24"/>
          <w:lang w:eastAsia="en-GB"/>
          <w14:ligatures w14:val="none"/>
        </w:rPr>
        <w:t xml:space="preserve">; </w:t>
      </w:r>
      <w:r w:rsidR="008C35EE">
        <w:rPr>
          <w:rFonts w:ascii="Arial" w:eastAsia="Times New Roman" w:hAnsi="Arial" w:cs="Arial"/>
          <w:kern w:val="0"/>
          <w:sz w:val="24"/>
          <w:szCs w:val="24"/>
          <w:lang w:eastAsia="en-GB"/>
          <w14:ligatures w14:val="none"/>
        </w:rPr>
        <w:t>Fleming, 2018; Asselin,2003)</w:t>
      </w:r>
      <w:r w:rsidRPr="008C7F67">
        <w:rPr>
          <w:rFonts w:ascii="Arial" w:eastAsia="Times New Roman" w:hAnsi="Arial" w:cs="Arial"/>
          <w:kern w:val="0"/>
          <w:sz w:val="24"/>
          <w:szCs w:val="24"/>
          <w:lang w:eastAsia="en-GB"/>
          <w14:ligatures w14:val="none"/>
        </w:rPr>
        <w:t>. Any necessary approvals will be secured through organisational and university ethics an</w:t>
      </w:r>
      <w:r w:rsidR="00547DE1">
        <w:rPr>
          <w:rFonts w:ascii="Arial" w:eastAsia="Times New Roman" w:hAnsi="Arial" w:cs="Arial"/>
          <w:kern w:val="0"/>
          <w:sz w:val="24"/>
          <w:szCs w:val="24"/>
          <w:lang w:eastAsia="en-GB"/>
          <w14:ligatures w14:val="none"/>
        </w:rPr>
        <w:t xml:space="preserve">d </w:t>
      </w:r>
      <w:r w:rsidR="0010107C" w:rsidRPr="0010107C">
        <w:rPr>
          <w:rFonts w:ascii="Arial" w:eastAsia="Times New Roman" w:hAnsi="Arial" w:cs="Arial"/>
          <w:kern w:val="0"/>
          <w:sz w:val="24"/>
          <w:szCs w:val="24"/>
          <w:lang w:eastAsia="en-GB"/>
          <w14:ligatures w14:val="none"/>
        </w:rPr>
        <w:t>governance processes in accordance with the UK Policy Framework for Health and Social Care Research (Health Research Authority, 2025)</w:t>
      </w:r>
      <w:r w:rsidR="00547DE1">
        <w:rPr>
          <w:rFonts w:ascii="Arial" w:eastAsia="Times New Roman" w:hAnsi="Arial" w:cs="Arial"/>
          <w:kern w:val="0"/>
          <w:sz w:val="24"/>
          <w:szCs w:val="24"/>
          <w:lang w:eastAsia="en-GB"/>
          <w14:ligatures w14:val="none"/>
        </w:rPr>
        <w:t>.</w:t>
      </w:r>
    </w:p>
    <w:p w14:paraId="5EBAC031" w14:textId="6F3B58A8" w:rsidR="00E86ED8" w:rsidRDefault="003B512F" w:rsidP="00B75760">
      <w:pPr>
        <w:spacing w:line="360" w:lineRule="auto"/>
        <w:jc w:val="both"/>
        <w:rPr>
          <w:rFonts w:ascii="Arial" w:hAnsi="Arial" w:cs="Arial"/>
          <w:b/>
          <w:bCs/>
          <w:sz w:val="28"/>
          <w:szCs w:val="28"/>
        </w:rPr>
      </w:pPr>
      <w:r>
        <w:rPr>
          <w:rFonts w:ascii="Arial" w:hAnsi="Arial" w:cs="Arial"/>
          <w:b/>
          <w:bCs/>
          <w:sz w:val="28"/>
          <w:szCs w:val="28"/>
        </w:rPr>
        <w:lastRenderedPageBreak/>
        <w:t xml:space="preserve">Methodology </w:t>
      </w:r>
    </w:p>
    <w:p w14:paraId="3396F6E2" w14:textId="2AD482BE" w:rsidR="004C2C5F" w:rsidRPr="004328A2" w:rsidRDefault="006B0C13"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This </w:t>
      </w:r>
      <w:r w:rsidR="00E132C3">
        <w:rPr>
          <w:rFonts w:ascii="Arial" w:eastAsia="Times New Roman" w:hAnsi="Arial" w:cs="Arial"/>
          <w:kern w:val="0"/>
          <w:sz w:val="24"/>
          <w:szCs w:val="24"/>
          <w:lang w:eastAsia="en-GB"/>
          <w14:ligatures w14:val="none"/>
        </w:rPr>
        <w:t>study</w:t>
      </w:r>
      <w:r w:rsidR="00CC00D3">
        <w:rPr>
          <w:rFonts w:ascii="Arial" w:eastAsia="Times New Roman" w:hAnsi="Arial" w:cs="Arial"/>
          <w:kern w:val="0"/>
          <w:sz w:val="24"/>
          <w:szCs w:val="24"/>
          <w:lang w:eastAsia="en-GB"/>
          <w14:ligatures w14:val="none"/>
        </w:rPr>
        <w:t xml:space="preserve"> adopts a pragmatic </w:t>
      </w:r>
      <w:r w:rsidR="009846F6">
        <w:rPr>
          <w:rFonts w:ascii="Arial" w:eastAsia="Times New Roman" w:hAnsi="Arial" w:cs="Arial"/>
          <w:kern w:val="0"/>
          <w:sz w:val="24"/>
          <w:szCs w:val="24"/>
          <w:lang w:eastAsia="en-GB"/>
          <w14:ligatures w14:val="none"/>
        </w:rPr>
        <w:t>mixed methods</w:t>
      </w:r>
      <w:r w:rsidR="00CC00D3">
        <w:rPr>
          <w:rFonts w:ascii="Arial" w:eastAsia="Times New Roman" w:hAnsi="Arial" w:cs="Arial"/>
          <w:kern w:val="0"/>
          <w:sz w:val="24"/>
          <w:szCs w:val="24"/>
          <w:lang w:eastAsia="en-GB"/>
          <w14:ligatures w14:val="none"/>
        </w:rPr>
        <w:t xml:space="preserve"> design</w:t>
      </w:r>
      <w:r w:rsidR="00AF52FA">
        <w:rPr>
          <w:rFonts w:ascii="Arial" w:eastAsia="Times New Roman" w:hAnsi="Arial" w:cs="Arial"/>
          <w:kern w:val="0"/>
          <w:sz w:val="24"/>
          <w:szCs w:val="24"/>
          <w:lang w:eastAsia="en-GB"/>
          <w14:ligatures w14:val="none"/>
        </w:rPr>
        <w:t xml:space="preserve"> to </w:t>
      </w:r>
      <w:r w:rsidR="00E132C3">
        <w:rPr>
          <w:rFonts w:ascii="Arial" w:eastAsia="Times New Roman" w:hAnsi="Arial" w:cs="Arial"/>
          <w:kern w:val="0"/>
          <w:sz w:val="24"/>
          <w:szCs w:val="24"/>
          <w:lang w:eastAsia="en-GB"/>
          <w14:ligatures w14:val="none"/>
        </w:rPr>
        <w:t>evaluate</w:t>
      </w:r>
      <w:r w:rsidR="00AF52FA">
        <w:rPr>
          <w:rFonts w:ascii="Arial" w:eastAsia="Times New Roman" w:hAnsi="Arial" w:cs="Arial"/>
          <w:kern w:val="0"/>
          <w:sz w:val="24"/>
          <w:szCs w:val="24"/>
          <w:lang w:eastAsia="en-GB"/>
          <w14:ligatures w14:val="none"/>
        </w:rPr>
        <w:t xml:space="preserve"> </w:t>
      </w:r>
      <w:r w:rsidR="00826910">
        <w:rPr>
          <w:rFonts w:ascii="Arial" w:eastAsia="Times New Roman" w:hAnsi="Arial" w:cs="Arial"/>
          <w:kern w:val="0"/>
          <w:sz w:val="24"/>
          <w:szCs w:val="24"/>
          <w:lang w:eastAsia="en-GB"/>
          <w14:ligatures w14:val="none"/>
        </w:rPr>
        <w:t>both the scale of engagement with</w:t>
      </w:r>
      <w:r w:rsidR="00981397" w:rsidRPr="00A43174">
        <w:rPr>
          <w:rFonts w:ascii="Arial" w:eastAsia="Times New Roman" w:hAnsi="Arial" w:cs="Arial"/>
          <w:kern w:val="0"/>
          <w:sz w:val="24"/>
          <w:szCs w:val="24"/>
          <w:lang w:eastAsia="en-GB"/>
          <w14:ligatures w14:val="none"/>
        </w:rPr>
        <w:t xml:space="preserve"> HEIW</w:t>
      </w:r>
      <w:r w:rsidR="00027CD9">
        <w:rPr>
          <w:rFonts w:ascii="Arial" w:eastAsia="Times New Roman" w:hAnsi="Arial" w:cs="Arial"/>
          <w:kern w:val="0"/>
          <w:sz w:val="24"/>
          <w:szCs w:val="24"/>
          <w:lang w:eastAsia="en-GB"/>
          <w14:ligatures w14:val="none"/>
        </w:rPr>
        <w:t xml:space="preserve">’s </w:t>
      </w:r>
      <w:r w:rsidR="00981397" w:rsidRPr="00A43174">
        <w:rPr>
          <w:rFonts w:ascii="Arial" w:eastAsia="Times New Roman" w:hAnsi="Arial" w:cs="Arial"/>
          <w:kern w:val="0"/>
          <w:sz w:val="24"/>
          <w:szCs w:val="24"/>
          <w:lang w:eastAsia="en-GB"/>
          <w14:ligatures w14:val="none"/>
        </w:rPr>
        <w:t xml:space="preserve">WfP training </w:t>
      </w:r>
      <w:r w:rsidR="00826910">
        <w:rPr>
          <w:rFonts w:ascii="Arial" w:eastAsia="Times New Roman" w:hAnsi="Arial" w:cs="Arial"/>
          <w:kern w:val="0"/>
          <w:sz w:val="24"/>
          <w:szCs w:val="24"/>
          <w:lang w:eastAsia="en-GB"/>
          <w14:ligatures w14:val="none"/>
        </w:rPr>
        <w:t xml:space="preserve">and </w:t>
      </w:r>
      <w:r w:rsidR="00336CA0">
        <w:rPr>
          <w:rFonts w:ascii="Arial" w:eastAsia="Times New Roman" w:hAnsi="Arial" w:cs="Arial"/>
          <w:kern w:val="0"/>
          <w:sz w:val="24"/>
          <w:szCs w:val="24"/>
          <w:lang w:eastAsia="en-GB"/>
          <w14:ligatures w14:val="none"/>
        </w:rPr>
        <w:t xml:space="preserve">how </w:t>
      </w:r>
      <w:r w:rsidR="00826910">
        <w:rPr>
          <w:rFonts w:ascii="Arial" w:eastAsia="Times New Roman" w:hAnsi="Arial" w:cs="Arial"/>
          <w:kern w:val="0"/>
          <w:sz w:val="24"/>
          <w:szCs w:val="24"/>
          <w:lang w:eastAsia="en-GB"/>
          <w14:ligatures w14:val="none"/>
        </w:rPr>
        <w:t xml:space="preserve">learning is, or is not, transferred into </w:t>
      </w:r>
      <w:r w:rsidR="00826910" w:rsidRPr="004C2C5F">
        <w:rPr>
          <w:rFonts w:ascii="Arial" w:eastAsia="Times New Roman" w:hAnsi="Arial" w:cs="Arial"/>
          <w:kern w:val="0"/>
          <w:sz w:val="24"/>
          <w:szCs w:val="24"/>
          <w:lang w:eastAsia="en-GB"/>
          <w14:ligatures w14:val="none"/>
        </w:rPr>
        <w:t>practice.</w:t>
      </w:r>
      <w:r w:rsidR="004C2C5F" w:rsidRPr="004C2C5F">
        <w:rPr>
          <w:rFonts w:ascii="Arial" w:eastAsia="Times New Roman" w:hAnsi="Arial" w:cs="Arial"/>
          <w:kern w:val="0"/>
          <w:sz w:val="24"/>
          <w:szCs w:val="24"/>
          <w:lang w:eastAsia="en-GB"/>
          <w14:ligatures w14:val="none"/>
        </w:rPr>
        <w:t xml:space="preserve"> </w:t>
      </w:r>
      <w:r w:rsidR="00336CA0">
        <w:rPr>
          <w:rFonts w:ascii="Arial" w:eastAsia="Times New Roman" w:hAnsi="Arial" w:cs="Arial"/>
          <w:kern w:val="0"/>
          <w:sz w:val="24"/>
          <w:szCs w:val="24"/>
          <w:lang w:eastAsia="en-GB"/>
          <w14:ligatures w14:val="none"/>
        </w:rPr>
        <w:t xml:space="preserve">While </w:t>
      </w:r>
      <w:r w:rsidR="004C2C5F" w:rsidRPr="004C2C5F">
        <w:rPr>
          <w:rFonts w:ascii="Arial" w:eastAsia="Times New Roman" w:hAnsi="Arial" w:cs="Arial"/>
          <w:kern w:val="0"/>
          <w:sz w:val="24"/>
          <w:szCs w:val="24"/>
          <w:lang w:eastAsia="en-GB"/>
          <w14:ligatures w14:val="none"/>
        </w:rPr>
        <w:t xml:space="preserve">qualitative </w:t>
      </w:r>
      <w:r w:rsidR="00336CA0">
        <w:rPr>
          <w:rFonts w:ascii="Arial" w:eastAsia="Times New Roman" w:hAnsi="Arial" w:cs="Arial"/>
          <w:kern w:val="0"/>
          <w:sz w:val="24"/>
          <w:szCs w:val="24"/>
          <w:lang w:eastAsia="en-GB"/>
          <w14:ligatures w14:val="none"/>
        </w:rPr>
        <w:t>methods</w:t>
      </w:r>
      <w:r w:rsidR="000C1AA9">
        <w:rPr>
          <w:rFonts w:ascii="Arial" w:eastAsia="Times New Roman" w:hAnsi="Arial" w:cs="Arial"/>
          <w:kern w:val="0"/>
          <w:sz w:val="24"/>
          <w:szCs w:val="24"/>
          <w:lang w:eastAsia="en-GB"/>
          <w14:ligatures w14:val="none"/>
        </w:rPr>
        <w:t xml:space="preserve"> </w:t>
      </w:r>
      <w:r w:rsidR="00823287">
        <w:rPr>
          <w:rFonts w:ascii="Arial" w:eastAsia="Times New Roman" w:hAnsi="Arial" w:cs="Arial"/>
          <w:kern w:val="0"/>
          <w:sz w:val="24"/>
          <w:szCs w:val="24"/>
          <w:lang w:eastAsia="en-GB"/>
          <w14:ligatures w14:val="none"/>
        </w:rPr>
        <w:t>aligned with interpretivist or constructivist paradigms</w:t>
      </w:r>
      <w:r w:rsidR="004328A2">
        <w:rPr>
          <w:rFonts w:ascii="Arial" w:eastAsia="Times New Roman" w:hAnsi="Arial" w:cs="Arial"/>
          <w:kern w:val="0"/>
          <w:sz w:val="24"/>
          <w:szCs w:val="24"/>
          <w:lang w:eastAsia="en-GB"/>
          <w14:ligatures w14:val="none"/>
        </w:rPr>
        <w:t xml:space="preserve"> </w:t>
      </w:r>
      <w:r w:rsidR="000C1AA9">
        <w:rPr>
          <w:rFonts w:ascii="Arial" w:eastAsia="Times New Roman" w:hAnsi="Arial" w:cs="Arial"/>
          <w:kern w:val="0"/>
          <w:sz w:val="24"/>
          <w:szCs w:val="24"/>
          <w:lang w:eastAsia="en-GB"/>
          <w14:ligatures w14:val="none"/>
        </w:rPr>
        <w:t>enable exploration of contex</w:t>
      </w:r>
      <w:r w:rsidR="003A5446">
        <w:rPr>
          <w:rFonts w:ascii="Arial" w:eastAsia="Times New Roman" w:hAnsi="Arial" w:cs="Arial"/>
          <w:kern w:val="0"/>
          <w:sz w:val="24"/>
          <w:szCs w:val="24"/>
          <w:lang w:eastAsia="en-GB"/>
          <w14:ligatures w14:val="none"/>
        </w:rPr>
        <w:t>t</w:t>
      </w:r>
      <w:r w:rsidR="000C1AA9">
        <w:rPr>
          <w:rFonts w:ascii="Arial" w:eastAsia="Times New Roman" w:hAnsi="Arial" w:cs="Arial"/>
          <w:kern w:val="0"/>
          <w:sz w:val="24"/>
          <w:szCs w:val="24"/>
          <w:lang w:eastAsia="en-GB"/>
          <w14:ligatures w14:val="none"/>
        </w:rPr>
        <w:t>ualised experience</w:t>
      </w:r>
      <w:r w:rsidR="00F83845">
        <w:rPr>
          <w:rFonts w:ascii="Arial" w:eastAsia="Times New Roman" w:hAnsi="Arial" w:cs="Arial"/>
          <w:kern w:val="0"/>
          <w:sz w:val="24"/>
          <w:szCs w:val="24"/>
          <w:lang w:eastAsia="en-GB"/>
          <w14:ligatures w14:val="none"/>
        </w:rPr>
        <w:t>s and perceptions, their limitations (e.g. generalisabi</w:t>
      </w:r>
      <w:r w:rsidR="00282B60">
        <w:rPr>
          <w:rFonts w:ascii="Arial" w:eastAsia="Times New Roman" w:hAnsi="Arial" w:cs="Arial"/>
          <w:kern w:val="0"/>
          <w:sz w:val="24"/>
          <w:szCs w:val="24"/>
          <w:lang w:eastAsia="en-GB"/>
          <w14:ligatures w14:val="none"/>
        </w:rPr>
        <w:t xml:space="preserve">lity) are addressed through integration with quantitative data </w:t>
      </w:r>
      <w:r w:rsidR="00D43A19" w:rsidRPr="004C2C5F">
        <w:rPr>
          <w:rFonts w:ascii="Arial" w:eastAsia="Times New Roman" w:hAnsi="Arial" w:cs="Arial"/>
          <w:kern w:val="0"/>
          <w:sz w:val="24"/>
          <w:szCs w:val="24"/>
          <w:lang w:eastAsia="en-GB"/>
          <w14:ligatures w14:val="none"/>
        </w:rPr>
        <w:t>(</w:t>
      </w:r>
      <w:r w:rsidR="00D43A19">
        <w:rPr>
          <w:rFonts w:ascii="Arial" w:eastAsia="Times New Roman" w:hAnsi="Arial" w:cs="Arial"/>
          <w:kern w:val="0"/>
          <w:sz w:val="24"/>
          <w:szCs w:val="24"/>
          <w:lang w:eastAsia="en-GB"/>
          <w14:ligatures w14:val="none"/>
        </w:rPr>
        <w:t>Creswell, 2007; Leung, 2015</w:t>
      </w:r>
      <w:r w:rsidR="00D43A19" w:rsidRPr="004C2C5F">
        <w:rPr>
          <w:rFonts w:ascii="Arial" w:eastAsia="Times New Roman" w:hAnsi="Arial" w:cs="Arial"/>
          <w:kern w:val="0"/>
          <w:sz w:val="24"/>
          <w:szCs w:val="24"/>
          <w:lang w:eastAsia="en-GB"/>
          <w14:ligatures w14:val="none"/>
        </w:rPr>
        <w:t>)</w:t>
      </w:r>
      <w:r w:rsidR="00D43A19">
        <w:rPr>
          <w:rFonts w:ascii="Arial" w:eastAsia="Times New Roman" w:hAnsi="Arial" w:cs="Arial"/>
          <w:kern w:val="0"/>
          <w:sz w:val="24"/>
          <w:szCs w:val="24"/>
          <w:lang w:eastAsia="en-GB"/>
          <w14:ligatures w14:val="none"/>
        </w:rPr>
        <w:t>.</w:t>
      </w:r>
      <w:r w:rsidR="004328A2">
        <w:rPr>
          <w:rFonts w:ascii="Arial" w:eastAsia="Times New Roman" w:hAnsi="Arial" w:cs="Arial"/>
          <w:kern w:val="0"/>
          <w:sz w:val="24"/>
          <w:szCs w:val="24"/>
          <w:lang w:eastAsia="en-GB"/>
          <w14:ligatures w14:val="none"/>
        </w:rPr>
        <w:t xml:space="preserve"> </w:t>
      </w:r>
      <w:r w:rsidR="004C2C5F" w:rsidRPr="004C2C5F">
        <w:rPr>
          <w:rFonts w:ascii="Arial" w:eastAsia="Times New Roman" w:hAnsi="Arial" w:cs="Arial"/>
          <w:kern w:val="0"/>
          <w:sz w:val="24"/>
          <w:szCs w:val="24"/>
          <w:lang w:eastAsia="en-GB"/>
          <w14:ligatures w14:val="none"/>
        </w:rPr>
        <w:t xml:space="preserve">This approach is particularly suited to insider research, as it allows for examination of experiences, behaviours, and perceptions within real-world organisational contexts. </w:t>
      </w:r>
    </w:p>
    <w:p w14:paraId="38B6BBEA" w14:textId="285A2909" w:rsidR="004116BF" w:rsidRPr="00BD2703" w:rsidRDefault="00BD2703"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D2703">
        <w:rPr>
          <w:rFonts w:ascii="Arial" w:eastAsia="Times New Roman" w:hAnsi="Arial" w:cs="Arial"/>
          <w:kern w:val="0"/>
          <w:sz w:val="24"/>
          <w:szCs w:val="24"/>
          <w:lang w:eastAsia="en-GB"/>
          <w14:ligatures w14:val="none"/>
        </w:rPr>
        <w:t xml:space="preserve">Pragmatism supports the </w:t>
      </w:r>
      <w:r w:rsidR="009C7D2C">
        <w:rPr>
          <w:rFonts w:ascii="Arial" w:eastAsia="Times New Roman" w:hAnsi="Arial" w:cs="Arial"/>
          <w:kern w:val="0"/>
          <w:sz w:val="24"/>
          <w:szCs w:val="24"/>
          <w:lang w:eastAsia="en-GB"/>
          <w14:ligatures w14:val="none"/>
        </w:rPr>
        <w:t>use of methods best suited to the re</w:t>
      </w:r>
      <w:r w:rsidR="00613306">
        <w:rPr>
          <w:rFonts w:ascii="Arial" w:eastAsia="Times New Roman" w:hAnsi="Arial" w:cs="Arial"/>
          <w:kern w:val="0"/>
          <w:sz w:val="24"/>
          <w:szCs w:val="24"/>
          <w:lang w:eastAsia="en-GB"/>
          <w14:ligatures w14:val="none"/>
        </w:rPr>
        <w:t>search question rather than adherence to a single paradigm</w:t>
      </w:r>
      <w:r w:rsidRPr="00BD2703">
        <w:rPr>
          <w:rFonts w:ascii="Arial" w:eastAsia="Times New Roman" w:hAnsi="Arial" w:cs="Arial"/>
          <w:kern w:val="0"/>
          <w:sz w:val="24"/>
          <w:szCs w:val="24"/>
          <w:lang w:eastAsia="en-GB"/>
          <w14:ligatures w14:val="none"/>
        </w:rPr>
        <w:t xml:space="preserve"> (Howe, 1988). The approach is theory</w:t>
      </w:r>
      <w:r w:rsidRPr="00BD2703">
        <w:rPr>
          <w:rFonts w:ascii="Arial" w:eastAsia="Times New Roman" w:hAnsi="Arial" w:cs="Arial"/>
          <w:kern w:val="0"/>
          <w:sz w:val="24"/>
          <w:szCs w:val="24"/>
          <w:lang w:eastAsia="en-GB"/>
          <w14:ligatures w14:val="none"/>
        </w:rPr>
        <w:noBreakHyphen/>
        <w:t xml:space="preserve">informed: Kirkpatrick’s </w:t>
      </w:r>
      <w:r w:rsidR="0042433B">
        <w:rPr>
          <w:rFonts w:ascii="Arial" w:eastAsia="Times New Roman" w:hAnsi="Arial" w:cs="Arial"/>
          <w:kern w:val="0"/>
          <w:sz w:val="24"/>
          <w:szCs w:val="24"/>
          <w:lang w:eastAsia="en-GB"/>
          <w14:ligatures w14:val="none"/>
        </w:rPr>
        <w:t>framework structures evaluation, while transfer theory and Holton’s</w:t>
      </w:r>
      <w:r w:rsidR="004116BF">
        <w:rPr>
          <w:rFonts w:ascii="Arial" w:eastAsia="Times New Roman" w:hAnsi="Arial" w:cs="Arial"/>
          <w:kern w:val="0"/>
          <w:sz w:val="24"/>
          <w:szCs w:val="24"/>
          <w:lang w:eastAsia="en-GB"/>
          <w14:ligatures w14:val="none"/>
        </w:rPr>
        <w:t xml:space="preserve"> </w:t>
      </w:r>
      <w:r w:rsidR="003A5446">
        <w:rPr>
          <w:rFonts w:ascii="Arial" w:eastAsia="Times New Roman" w:hAnsi="Arial" w:cs="Arial"/>
          <w:kern w:val="0"/>
          <w:sz w:val="24"/>
          <w:szCs w:val="24"/>
          <w:lang w:eastAsia="en-GB"/>
          <w14:ligatures w14:val="none"/>
        </w:rPr>
        <w:t>critique</w:t>
      </w:r>
      <w:r w:rsidR="004116BF">
        <w:rPr>
          <w:rFonts w:ascii="Arial" w:eastAsia="Times New Roman" w:hAnsi="Arial" w:cs="Arial"/>
          <w:kern w:val="0"/>
          <w:sz w:val="24"/>
          <w:szCs w:val="24"/>
          <w:lang w:eastAsia="en-GB"/>
          <w14:ligatures w14:val="none"/>
        </w:rPr>
        <w:t xml:space="preserve"> ensure attention to contextual and organisational mediators (</w:t>
      </w:r>
      <w:r w:rsidR="004116BF" w:rsidRPr="00BD2703">
        <w:rPr>
          <w:rFonts w:ascii="Arial" w:eastAsia="Times New Roman" w:hAnsi="Arial" w:cs="Arial"/>
          <w:kern w:val="0"/>
          <w:sz w:val="24"/>
          <w:szCs w:val="24"/>
          <w:lang w:eastAsia="en-GB"/>
          <w14:ligatures w14:val="none"/>
        </w:rPr>
        <w:t>Holton, 1996; Baldwin and Ford, 1988).</w:t>
      </w:r>
      <w:r w:rsidR="006F4BBE">
        <w:rPr>
          <w:rFonts w:ascii="Arial" w:eastAsia="Times New Roman" w:hAnsi="Arial" w:cs="Arial"/>
          <w:kern w:val="0"/>
          <w:sz w:val="24"/>
          <w:szCs w:val="24"/>
          <w:lang w:eastAsia="en-GB"/>
          <w14:ligatures w14:val="none"/>
        </w:rPr>
        <w:t xml:space="preserve"> This reflects a pragmatic epistemological stance, in which knowledge is understood as contingent and practice-oriented, </w:t>
      </w:r>
      <w:r w:rsidR="00785A8D">
        <w:rPr>
          <w:rFonts w:ascii="Arial" w:eastAsia="Times New Roman" w:hAnsi="Arial" w:cs="Arial"/>
          <w:kern w:val="0"/>
          <w:sz w:val="24"/>
          <w:szCs w:val="24"/>
          <w:lang w:eastAsia="en-GB"/>
          <w14:ligatures w14:val="none"/>
        </w:rPr>
        <w:t>prioritising</w:t>
      </w:r>
      <w:r w:rsidR="006F4BBE">
        <w:rPr>
          <w:rFonts w:ascii="Arial" w:eastAsia="Times New Roman" w:hAnsi="Arial" w:cs="Arial"/>
          <w:kern w:val="0"/>
          <w:sz w:val="24"/>
          <w:szCs w:val="24"/>
          <w:lang w:eastAsia="en-GB"/>
          <w14:ligatures w14:val="none"/>
        </w:rPr>
        <w:t xml:space="preserve"> what works in specific organisational contexts</w:t>
      </w:r>
      <w:r w:rsidR="00785A8D">
        <w:rPr>
          <w:rFonts w:ascii="Arial" w:eastAsia="Times New Roman" w:hAnsi="Arial" w:cs="Arial"/>
          <w:kern w:val="0"/>
          <w:sz w:val="24"/>
          <w:szCs w:val="24"/>
          <w:lang w:eastAsia="en-GB"/>
          <w14:ligatures w14:val="none"/>
        </w:rPr>
        <w:t xml:space="preserve"> over adherence to a single methodological tradition.</w:t>
      </w:r>
    </w:p>
    <w:p w14:paraId="5EA26E11" w14:textId="088F7A5D" w:rsidR="00BD2703" w:rsidRPr="00BD2703" w:rsidRDefault="00BD2703" w:rsidP="00B75760">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BD2703">
        <w:rPr>
          <w:rFonts w:ascii="Arial" w:eastAsia="Times New Roman" w:hAnsi="Arial" w:cs="Arial"/>
          <w:b/>
          <w:bCs/>
          <w:kern w:val="0"/>
          <w:sz w:val="24"/>
          <w:szCs w:val="24"/>
          <w:lang w:eastAsia="en-GB"/>
          <w14:ligatures w14:val="none"/>
        </w:rPr>
        <w:t xml:space="preserve">Design and integration </w:t>
      </w:r>
    </w:p>
    <w:p w14:paraId="7238F74A" w14:textId="20C6C957" w:rsidR="00BD2703" w:rsidRPr="00890F8B" w:rsidRDefault="00BD2703"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BD2703">
        <w:rPr>
          <w:rFonts w:ascii="Arial" w:eastAsia="Times New Roman" w:hAnsi="Arial" w:cs="Arial"/>
          <w:kern w:val="0"/>
          <w:sz w:val="24"/>
          <w:szCs w:val="24"/>
          <w:lang w:eastAsia="en-GB"/>
          <w14:ligatures w14:val="none"/>
        </w:rPr>
        <w:t>The study uses an explanatory sequential mixed</w:t>
      </w:r>
      <w:r w:rsidRPr="00BD2703">
        <w:rPr>
          <w:rFonts w:ascii="Arial" w:eastAsia="Times New Roman" w:hAnsi="Arial" w:cs="Arial"/>
          <w:kern w:val="0"/>
          <w:sz w:val="24"/>
          <w:szCs w:val="24"/>
          <w:lang w:eastAsia="en-GB"/>
          <w14:ligatures w14:val="none"/>
        </w:rPr>
        <w:noBreakHyphen/>
        <w:t>methods design</w:t>
      </w:r>
      <w:r w:rsidR="00733928">
        <w:rPr>
          <w:rFonts w:ascii="Arial" w:eastAsia="Times New Roman" w:hAnsi="Arial" w:cs="Arial"/>
          <w:kern w:val="0"/>
          <w:sz w:val="24"/>
          <w:szCs w:val="24"/>
          <w:lang w:eastAsia="en-GB"/>
          <w14:ligatures w14:val="none"/>
        </w:rPr>
        <w:t xml:space="preserve">, </w:t>
      </w:r>
      <w:r w:rsidR="004C355B">
        <w:rPr>
          <w:rFonts w:ascii="Arial" w:eastAsia="Times New Roman" w:hAnsi="Arial" w:cs="Arial"/>
          <w:kern w:val="0"/>
          <w:sz w:val="24"/>
          <w:szCs w:val="24"/>
          <w:lang w:eastAsia="en-GB"/>
          <w14:ligatures w14:val="none"/>
        </w:rPr>
        <w:t>whereby</w:t>
      </w:r>
      <w:r w:rsidR="00733928" w:rsidRPr="00733928">
        <w:rPr>
          <w:rFonts w:ascii="Arial" w:eastAsia="Times New Roman" w:hAnsi="Arial" w:cs="Arial"/>
          <w:kern w:val="0"/>
          <w:sz w:val="24"/>
          <w:szCs w:val="24"/>
          <w:lang w:eastAsia="en-GB"/>
          <w14:ligatures w14:val="none"/>
        </w:rPr>
        <w:t xml:space="preserve"> quantitative findings </w:t>
      </w:r>
      <w:r w:rsidR="00F97A57">
        <w:rPr>
          <w:rFonts w:ascii="Arial" w:eastAsia="Times New Roman" w:hAnsi="Arial" w:cs="Arial"/>
          <w:kern w:val="0"/>
          <w:sz w:val="24"/>
          <w:szCs w:val="24"/>
          <w:lang w:eastAsia="en-GB"/>
          <w14:ligatures w14:val="none"/>
        </w:rPr>
        <w:t xml:space="preserve">(Phase 1) are </w:t>
      </w:r>
      <w:r w:rsidR="00733928" w:rsidRPr="00733928">
        <w:rPr>
          <w:rFonts w:ascii="Arial" w:eastAsia="Times New Roman" w:hAnsi="Arial" w:cs="Arial"/>
          <w:kern w:val="0"/>
          <w:sz w:val="24"/>
          <w:szCs w:val="24"/>
          <w:lang w:eastAsia="en-GB"/>
          <w14:ligatures w14:val="none"/>
        </w:rPr>
        <w:t>follow</w:t>
      </w:r>
      <w:r w:rsidR="00F97A57">
        <w:rPr>
          <w:rFonts w:ascii="Arial" w:eastAsia="Times New Roman" w:hAnsi="Arial" w:cs="Arial"/>
          <w:kern w:val="0"/>
          <w:sz w:val="24"/>
          <w:szCs w:val="24"/>
          <w:lang w:eastAsia="en-GB"/>
          <w14:ligatures w14:val="none"/>
        </w:rPr>
        <w:t>ed by qualitative exploration (Phase 2)</w:t>
      </w:r>
      <w:r w:rsidR="00596905">
        <w:rPr>
          <w:rFonts w:ascii="Arial" w:eastAsia="Times New Roman" w:hAnsi="Arial" w:cs="Arial"/>
          <w:kern w:val="0"/>
          <w:sz w:val="24"/>
          <w:szCs w:val="24"/>
          <w:lang w:eastAsia="en-GB"/>
          <w14:ligatures w14:val="none"/>
        </w:rPr>
        <w:t xml:space="preserve"> to explain emerging pattens</w:t>
      </w:r>
      <w:r w:rsidR="000C6AD8">
        <w:rPr>
          <w:rFonts w:ascii="Arial" w:eastAsia="Times New Roman" w:hAnsi="Arial" w:cs="Arial"/>
          <w:kern w:val="0"/>
          <w:sz w:val="24"/>
          <w:szCs w:val="24"/>
          <w:lang w:eastAsia="en-GB"/>
          <w14:ligatures w14:val="none"/>
        </w:rPr>
        <w:t xml:space="preserve"> </w:t>
      </w:r>
      <w:r w:rsidR="00733928" w:rsidRPr="00733928">
        <w:rPr>
          <w:rFonts w:ascii="Arial" w:eastAsia="Times New Roman" w:hAnsi="Arial" w:cs="Arial"/>
          <w:kern w:val="0"/>
          <w:sz w:val="24"/>
          <w:szCs w:val="24"/>
          <w:lang w:eastAsia="en-GB"/>
          <w14:ligatures w14:val="none"/>
        </w:rPr>
        <w:t>(</w:t>
      </w:r>
      <w:r w:rsidR="007F4B90">
        <w:rPr>
          <w:rFonts w:ascii="Arial" w:eastAsia="Times New Roman" w:hAnsi="Arial" w:cs="Arial"/>
          <w:kern w:val="0"/>
          <w:sz w:val="24"/>
          <w:szCs w:val="24"/>
          <w:lang w:eastAsia="en-GB"/>
          <w14:ligatures w14:val="none"/>
        </w:rPr>
        <w:t xml:space="preserve">Bryman, 2012: </w:t>
      </w:r>
      <w:r w:rsidR="00733928" w:rsidRPr="00733928">
        <w:rPr>
          <w:rFonts w:ascii="Arial" w:eastAsia="Times New Roman" w:hAnsi="Arial" w:cs="Arial"/>
          <w:kern w:val="0"/>
          <w:sz w:val="24"/>
          <w:szCs w:val="24"/>
          <w:lang w:eastAsia="en-GB"/>
          <w14:ligatures w14:val="none"/>
        </w:rPr>
        <w:t>Ivankova, Creswell and Stick, 2006; Creswell and Plano Clark, 201</w:t>
      </w:r>
      <w:r w:rsidR="004E2CC3">
        <w:rPr>
          <w:rFonts w:ascii="Arial" w:eastAsia="Times New Roman" w:hAnsi="Arial" w:cs="Arial"/>
          <w:kern w:val="0"/>
          <w:sz w:val="24"/>
          <w:szCs w:val="24"/>
          <w:lang w:eastAsia="en-GB"/>
          <w14:ligatures w14:val="none"/>
        </w:rPr>
        <w:t>8</w:t>
      </w:r>
      <w:r w:rsidR="00733928" w:rsidRPr="00733928">
        <w:rPr>
          <w:rFonts w:ascii="Arial" w:eastAsia="Times New Roman" w:hAnsi="Arial" w:cs="Arial"/>
          <w:kern w:val="0"/>
          <w:sz w:val="24"/>
          <w:szCs w:val="24"/>
          <w:lang w:eastAsia="en-GB"/>
          <w14:ligatures w14:val="none"/>
        </w:rPr>
        <w:t>)</w:t>
      </w:r>
      <w:r w:rsidR="000C6AD8">
        <w:rPr>
          <w:rFonts w:ascii="Arial" w:eastAsia="Times New Roman" w:hAnsi="Arial" w:cs="Arial"/>
          <w:kern w:val="0"/>
          <w:sz w:val="24"/>
          <w:szCs w:val="24"/>
          <w:lang w:eastAsia="en-GB"/>
          <w14:ligatures w14:val="none"/>
        </w:rPr>
        <w:t>.</w:t>
      </w:r>
      <w:r w:rsidR="00890F8B">
        <w:rPr>
          <w:rFonts w:ascii="Arial" w:eastAsia="Times New Roman" w:hAnsi="Arial" w:cs="Arial"/>
          <w:kern w:val="0"/>
          <w:sz w:val="24"/>
          <w:szCs w:val="24"/>
          <w:lang w:eastAsia="en-GB"/>
          <w14:ligatures w14:val="none"/>
        </w:rPr>
        <w:t xml:space="preserve"> </w:t>
      </w:r>
      <w:r w:rsidRPr="00BD2703">
        <w:rPr>
          <w:rFonts w:ascii="Arial" w:eastAsia="Times New Roman" w:hAnsi="Arial" w:cs="Arial"/>
          <w:kern w:val="0"/>
          <w:sz w:val="24"/>
          <w:szCs w:val="24"/>
          <w:lang w:eastAsia="en-GB"/>
          <w14:ligatures w14:val="none"/>
        </w:rPr>
        <w:t>Integration occurs</w:t>
      </w:r>
      <w:r w:rsidR="00816435">
        <w:rPr>
          <w:rFonts w:ascii="Arial" w:eastAsia="Times New Roman" w:hAnsi="Arial" w:cs="Arial"/>
          <w:kern w:val="0"/>
          <w:sz w:val="24"/>
          <w:szCs w:val="24"/>
          <w:lang w:eastAsia="en-GB"/>
          <w14:ligatures w14:val="none"/>
        </w:rPr>
        <w:t xml:space="preserve"> through </w:t>
      </w:r>
      <w:r w:rsidR="00890F8B">
        <w:rPr>
          <w:rFonts w:ascii="Arial" w:eastAsia="Times New Roman" w:hAnsi="Arial" w:cs="Arial"/>
          <w:kern w:val="0"/>
          <w:sz w:val="24"/>
          <w:szCs w:val="24"/>
          <w:lang w:eastAsia="en-GB"/>
          <w14:ligatures w14:val="none"/>
        </w:rPr>
        <w:t>using</w:t>
      </w:r>
      <w:r w:rsidRPr="00BD2703">
        <w:rPr>
          <w:rFonts w:ascii="Arial" w:eastAsia="Times New Roman" w:hAnsi="Arial" w:cs="Arial"/>
          <w:kern w:val="0"/>
          <w:sz w:val="24"/>
          <w:szCs w:val="24"/>
          <w:lang w:eastAsia="en-GB"/>
          <w14:ligatures w14:val="none"/>
        </w:rPr>
        <w:t xml:space="preserve"> survey findings</w:t>
      </w:r>
      <w:r w:rsidR="00816435">
        <w:rPr>
          <w:rFonts w:ascii="Arial" w:eastAsia="Times New Roman" w:hAnsi="Arial" w:cs="Arial"/>
          <w:kern w:val="0"/>
          <w:sz w:val="24"/>
          <w:szCs w:val="24"/>
          <w:lang w:eastAsia="en-GB"/>
          <w14:ligatures w14:val="none"/>
        </w:rPr>
        <w:t xml:space="preserve"> </w:t>
      </w:r>
      <w:r w:rsidR="003A41EC">
        <w:rPr>
          <w:rFonts w:ascii="Arial" w:eastAsia="Times New Roman" w:hAnsi="Arial" w:cs="Arial"/>
          <w:kern w:val="0"/>
          <w:sz w:val="24"/>
          <w:szCs w:val="24"/>
          <w:lang w:eastAsia="en-GB"/>
          <w14:ligatures w14:val="none"/>
        </w:rPr>
        <w:t>to</w:t>
      </w:r>
      <w:r w:rsidRPr="00BD2703">
        <w:rPr>
          <w:rFonts w:ascii="Arial" w:eastAsia="Times New Roman" w:hAnsi="Arial" w:cs="Arial"/>
          <w:kern w:val="0"/>
          <w:sz w:val="24"/>
          <w:szCs w:val="24"/>
          <w:lang w:eastAsia="en-GB"/>
          <w14:ligatures w14:val="none"/>
        </w:rPr>
        <w:t xml:space="preserve"> inform interview sampling and </w:t>
      </w:r>
      <w:r w:rsidR="00580805" w:rsidRPr="0020419F">
        <w:rPr>
          <w:rFonts w:ascii="Arial" w:eastAsia="Times New Roman" w:hAnsi="Arial" w:cs="Arial"/>
          <w:kern w:val="0"/>
          <w:sz w:val="24"/>
          <w:szCs w:val="24"/>
          <w:lang w:eastAsia="en-GB"/>
          <w14:ligatures w14:val="none"/>
        </w:rPr>
        <w:t>through</w:t>
      </w:r>
      <w:r w:rsidR="003A41EC">
        <w:rPr>
          <w:rFonts w:ascii="Arial" w:eastAsia="Times New Roman" w:hAnsi="Arial" w:cs="Arial"/>
          <w:kern w:val="0"/>
          <w:sz w:val="24"/>
          <w:szCs w:val="24"/>
          <w:lang w:eastAsia="en-GB"/>
          <w14:ligatures w14:val="none"/>
        </w:rPr>
        <w:t xml:space="preserve"> combined interpr</w:t>
      </w:r>
      <w:r w:rsidR="008053D2">
        <w:rPr>
          <w:rFonts w:ascii="Arial" w:eastAsia="Times New Roman" w:hAnsi="Arial" w:cs="Arial"/>
          <w:kern w:val="0"/>
          <w:sz w:val="24"/>
          <w:szCs w:val="24"/>
          <w:lang w:eastAsia="en-GB"/>
          <w14:ligatures w14:val="none"/>
        </w:rPr>
        <w:t>etation of</w:t>
      </w:r>
      <w:r w:rsidRPr="00BD2703">
        <w:rPr>
          <w:rFonts w:ascii="Arial" w:eastAsia="Times New Roman" w:hAnsi="Arial" w:cs="Arial"/>
          <w:kern w:val="0"/>
          <w:sz w:val="24"/>
          <w:szCs w:val="24"/>
          <w:lang w:eastAsia="en-GB"/>
          <w14:ligatures w14:val="none"/>
        </w:rPr>
        <w:t xml:space="preserve"> quantitative</w:t>
      </w:r>
      <w:r w:rsidR="008053D2">
        <w:rPr>
          <w:rFonts w:ascii="Arial" w:eastAsia="Times New Roman" w:hAnsi="Arial" w:cs="Arial"/>
          <w:kern w:val="0"/>
          <w:sz w:val="24"/>
          <w:szCs w:val="24"/>
          <w:lang w:eastAsia="en-GB"/>
          <w14:ligatures w14:val="none"/>
        </w:rPr>
        <w:t xml:space="preserve"> and</w:t>
      </w:r>
      <w:r w:rsidRPr="00BD2703">
        <w:rPr>
          <w:rFonts w:ascii="Arial" w:eastAsia="Times New Roman" w:hAnsi="Arial" w:cs="Arial"/>
          <w:kern w:val="0"/>
          <w:sz w:val="24"/>
          <w:szCs w:val="24"/>
          <w:lang w:eastAsia="en-GB"/>
          <w14:ligatures w14:val="none"/>
        </w:rPr>
        <w:t xml:space="preserve"> qualitative </w:t>
      </w:r>
      <w:r w:rsidR="008053D2">
        <w:rPr>
          <w:rFonts w:ascii="Arial" w:eastAsia="Times New Roman" w:hAnsi="Arial" w:cs="Arial"/>
          <w:kern w:val="0"/>
          <w:sz w:val="24"/>
          <w:szCs w:val="24"/>
          <w:lang w:eastAsia="en-GB"/>
          <w14:ligatures w14:val="none"/>
        </w:rPr>
        <w:t>data</w:t>
      </w:r>
      <w:r w:rsidR="00D3241F" w:rsidRPr="0020419F">
        <w:rPr>
          <w:rFonts w:ascii="Arial" w:eastAsia="Times New Roman" w:hAnsi="Arial" w:cs="Arial"/>
          <w:kern w:val="0"/>
          <w:sz w:val="24"/>
          <w:szCs w:val="24"/>
          <w:lang w:eastAsia="en-GB"/>
          <w14:ligatures w14:val="none"/>
        </w:rPr>
        <w:t>.</w:t>
      </w:r>
      <w:r w:rsidR="009A24ED">
        <w:rPr>
          <w:rFonts w:ascii="Arial" w:eastAsia="Times New Roman" w:hAnsi="Arial" w:cs="Arial"/>
          <w:b/>
          <w:bCs/>
          <w:kern w:val="0"/>
          <w:sz w:val="24"/>
          <w:szCs w:val="24"/>
          <w:lang w:eastAsia="en-GB"/>
          <w14:ligatures w14:val="none"/>
        </w:rPr>
        <w:br/>
      </w:r>
      <w:r w:rsidR="00445945" w:rsidRPr="00D3241F">
        <w:rPr>
          <w:rFonts w:ascii="Arial" w:eastAsia="Times New Roman" w:hAnsi="Arial" w:cs="Arial"/>
          <w:b/>
          <w:bCs/>
          <w:kern w:val="0"/>
          <w:sz w:val="24"/>
          <w:szCs w:val="24"/>
          <w:lang w:eastAsia="en-GB"/>
          <w14:ligatures w14:val="none"/>
        </w:rPr>
        <w:br/>
      </w:r>
      <w:r w:rsidR="00A26D13">
        <w:rPr>
          <w:rFonts w:ascii="Arial" w:eastAsia="Times New Roman" w:hAnsi="Arial" w:cs="Arial"/>
          <w:kern w:val="0"/>
          <w:sz w:val="24"/>
          <w:szCs w:val="24"/>
          <w:lang w:eastAsia="en-GB"/>
          <w14:ligatures w14:val="none"/>
        </w:rPr>
        <w:t xml:space="preserve">Approximately </w:t>
      </w:r>
      <w:r w:rsidRPr="00BD2703">
        <w:rPr>
          <w:rFonts w:ascii="Arial" w:eastAsia="Times New Roman" w:hAnsi="Arial" w:cs="Arial"/>
          <w:kern w:val="0"/>
          <w:sz w:val="24"/>
          <w:szCs w:val="24"/>
          <w:lang w:eastAsia="en-GB"/>
          <w14:ligatures w14:val="none"/>
        </w:rPr>
        <w:t xml:space="preserve">382 individuals identified </w:t>
      </w:r>
      <w:r w:rsidR="006D3450">
        <w:rPr>
          <w:rFonts w:ascii="Arial" w:eastAsia="Times New Roman" w:hAnsi="Arial" w:cs="Arial"/>
          <w:kern w:val="0"/>
          <w:sz w:val="24"/>
          <w:szCs w:val="24"/>
          <w:lang w:eastAsia="en-GB"/>
          <w14:ligatures w14:val="none"/>
        </w:rPr>
        <w:t>from</w:t>
      </w:r>
      <w:r w:rsidR="004A784F">
        <w:rPr>
          <w:rFonts w:ascii="Arial" w:eastAsia="Times New Roman" w:hAnsi="Arial" w:cs="Arial"/>
          <w:kern w:val="0"/>
          <w:sz w:val="24"/>
          <w:szCs w:val="24"/>
          <w:lang w:eastAsia="en-GB"/>
          <w14:ligatures w14:val="none"/>
        </w:rPr>
        <w:t xml:space="preserve"> </w:t>
      </w:r>
      <w:r w:rsidRPr="00BD2703">
        <w:rPr>
          <w:rFonts w:ascii="Arial" w:eastAsia="Times New Roman" w:hAnsi="Arial" w:cs="Arial"/>
          <w:kern w:val="0"/>
          <w:sz w:val="24"/>
          <w:szCs w:val="24"/>
          <w:lang w:eastAsia="en-GB"/>
          <w14:ligatures w14:val="none"/>
        </w:rPr>
        <w:t>enrolment records</w:t>
      </w:r>
      <w:r w:rsidR="009A24ED">
        <w:rPr>
          <w:rFonts w:ascii="Arial" w:eastAsia="Times New Roman" w:hAnsi="Arial" w:cs="Arial"/>
          <w:kern w:val="0"/>
          <w:sz w:val="24"/>
          <w:szCs w:val="24"/>
          <w:lang w:eastAsia="en-GB"/>
          <w14:ligatures w14:val="none"/>
        </w:rPr>
        <w:t xml:space="preserve"> </w:t>
      </w:r>
      <w:r w:rsidR="006A7C91">
        <w:rPr>
          <w:rFonts w:ascii="Arial" w:eastAsia="Times New Roman" w:hAnsi="Arial" w:cs="Arial"/>
          <w:kern w:val="0"/>
          <w:sz w:val="24"/>
          <w:szCs w:val="24"/>
          <w:lang w:eastAsia="en-GB"/>
          <w14:ligatures w14:val="none"/>
        </w:rPr>
        <w:t>will be</w:t>
      </w:r>
      <w:r w:rsidRPr="00BD2703">
        <w:rPr>
          <w:rFonts w:ascii="Arial" w:eastAsia="Times New Roman" w:hAnsi="Arial" w:cs="Arial"/>
          <w:kern w:val="0"/>
          <w:sz w:val="24"/>
          <w:szCs w:val="24"/>
          <w:lang w:eastAsia="en-GB"/>
          <w14:ligatures w14:val="none"/>
        </w:rPr>
        <w:t xml:space="preserve"> invited </w:t>
      </w:r>
      <w:r w:rsidR="006A7C91">
        <w:rPr>
          <w:rFonts w:ascii="Arial" w:eastAsia="Times New Roman" w:hAnsi="Arial" w:cs="Arial"/>
          <w:kern w:val="0"/>
          <w:sz w:val="24"/>
          <w:szCs w:val="24"/>
          <w:lang w:eastAsia="en-GB"/>
          <w14:ligatures w14:val="none"/>
        </w:rPr>
        <w:t>via</w:t>
      </w:r>
      <w:r w:rsidRPr="00BD2703">
        <w:rPr>
          <w:rFonts w:ascii="Arial" w:eastAsia="Times New Roman" w:hAnsi="Arial" w:cs="Arial"/>
          <w:kern w:val="0"/>
          <w:sz w:val="24"/>
          <w:szCs w:val="24"/>
          <w:lang w:eastAsia="en-GB"/>
          <w14:ligatures w14:val="none"/>
        </w:rPr>
        <w:t xml:space="preserve"> email</w:t>
      </w:r>
      <w:r w:rsidR="00A900AD">
        <w:rPr>
          <w:rFonts w:ascii="Arial" w:eastAsia="Times New Roman" w:hAnsi="Arial" w:cs="Arial"/>
          <w:kern w:val="0"/>
          <w:sz w:val="24"/>
          <w:szCs w:val="24"/>
          <w:lang w:eastAsia="en-GB"/>
          <w14:ligatures w14:val="none"/>
        </w:rPr>
        <w:t xml:space="preserve"> </w:t>
      </w:r>
      <w:r w:rsidR="00FF6328" w:rsidRPr="00D3241F">
        <w:rPr>
          <w:rFonts w:ascii="Arial" w:eastAsia="Times New Roman" w:hAnsi="Arial" w:cs="Arial"/>
          <w:kern w:val="0"/>
          <w:sz w:val="24"/>
          <w:szCs w:val="24"/>
          <w:lang w:eastAsia="en-GB"/>
          <w14:ligatures w14:val="none"/>
        </w:rPr>
        <w:t xml:space="preserve">with </w:t>
      </w:r>
      <w:r w:rsidR="006A7C91">
        <w:rPr>
          <w:rFonts w:ascii="Arial" w:eastAsia="Times New Roman" w:hAnsi="Arial" w:cs="Arial"/>
          <w:kern w:val="0"/>
          <w:sz w:val="24"/>
          <w:szCs w:val="24"/>
          <w:lang w:eastAsia="en-GB"/>
          <w14:ligatures w14:val="none"/>
        </w:rPr>
        <w:t>an anticipated</w:t>
      </w:r>
      <w:r w:rsidR="00610D1E">
        <w:rPr>
          <w:rFonts w:ascii="Arial" w:eastAsia="Times New Roman" w:hAnsi="Arial" w:cs="Arial"/>
          <w:kern w:val="0"/>
          <w:sz w:val="24"/>
          <w:szCs w:val="24"/>
          <w:lang w:eastAsia="en-GB"/>
          <w14:ligatures w14:val="none"/>
        </w:rPr>
        <w:t xml:space="preserve"> response rate </w:t>
      </w:r>
      <w:r w:rsidR="004F7F02">
        <w:rPr>
          <w:rFonts w:ascii="Arial" w:eastAsia="Times New Roman" w:hAnsi="Arial" w:cs="Arial"/>
          <w:kern w:val="0"/>
          <w:sz w:val="24"/>
          <w:szCs w:val="24"/>
          <w:lang w:eastAsia="en-GB"/>
          <w14:ligatures w14:val="none"/>
        </w:rPr>
        <w:t>of</w:t>
      </w:r>
      <w:r w:rsidR="00FF6328" w:rsidRPr="00D3241F">
        <w:rPr>
          <w:rFonts w:ascii="Arial" w:eastAsia="Times New Roman" w:hAnsi="Arial" w:cs="Arial"/>
          <w:kern w:val="0"/>
          <w:sz w:val="24"/>
          <w:szCs w:val="24"/>
          <w:lang w:eastAsia="en-GB"/>
          <w14:ligatures w14:val="none"/>
        </w:rPr>
        <w:t xml:space="preserve"> 15-20%</w:t>
      </w:r>
      <w:r w:rsidRPr="00BD2703">
        <w:rPr>
          <w:rFonts w:ascii="Arial" w:eastAsia="Times New Roman" w:hAnsi="Arial" w:cs="Arial"/>
          <w:kern w:val="0"/>
          <w:sz w:val="24"/>
          <w:szCs w:val="24"/>
          <w:lang w:eastAsia="en-GB"/>
          <w14:ligatures w14:val="none"/>
        </w:rPr>
        <w:t xml:space="preserve">. Four </w:t>
      </w:r>
      <w:r w:rsidR="00610D1E">
        <w:rPr>
          <w:rFonts w:ascii="Arial" w:eastAsia="Times New Roman" w:hAnsi="Arial" w:cs="Arial"/>
          <w:kern w:val="0"/>
          <w:sz w:val="24"/>
          <w:szCs w:val="24"/>
          <w:lang w:eastAsia="en-GB"/>
          <w14:ligatures w14:val="none"/>
        </w:rPr>
        <w:t>MS Forms</w:t>
      </w:r>
      <w:r w:rsidRPr="00BD2703">
        <w:rPr>
          <w:rFonts w:ascii="Arial" w:eastAsia="Times New Roman" w:hAnsi="Arial" w:cs="Arial"/>
          <w:kern w:val="0"/>
          <w:sz w:val="24"/>
          <w:szCs w:val="24"/>
          <w:lang w:eastAsia="en-GB"/>
          <w14:ligatures w14:val="none"/>
        </w:rPr>
        <w:t xml:space="preserve"> surveys </w:t>
      </w:r>
      <w:r w:rsidR="00A05DD2">
        <w:rPr>
          <w:rFonts w:ascii="Arial" w:eastAsia="Times New Roman" w:hAnsi="Arial" w:cs="Arial"/>
          <w:kern w:val="0"/>
          <w:sz w:val="24"/>
          <w:szCs w:val="24"/>
          <w:lang w:eastAsia="en-GB"/>
          <w14:ligatures w14:val="none"/>
        </w:rPr>
        <w:t>will be</w:t>
      </w:r>
      <w:r w:rsidR="00093A22">
        <w:rPr>
          <w:rFonts w:ascii="Arial" w:eastAsia="Times New Roman" w:hAnsi="Arial" w:cs="Arial"/>
          <w:kern w:val="0"/>
          <w:sz w:val="24"/>
          <w:szCs w:val="24"/>
          <w:lang w:eastAsia="en-GB"/>
          <w14:ligatures w14:val="none"/>
        </w:rPr>
        <w:t xml:space="preserve"> </w:t>
      </w:r>
      <w:r w:rsidR="003D4D9F">
        <w:rPr>
          <w:rFonts w:ascii="Arial" w:eastAsia="Times New Roman" w:hAnsi="Arial" w:cs="Arial"/>
          <w:kern w:val="0"/>
          <w:sz w:val="24"/>
          <w:szCs w:val="24"/>
          <w:lang w:eastAsia="en-GB"/>
          <w14:ligatures w14:val="none"/>
        </w:rPr>
        <w:t>used containing aligned</w:t>
      </w:r>
      <w:r w:rsidRPr="00BD2703">
        <w:rPr>
          <w:rFonts w:ascii="Arial" w:eastAsia="Times New Roman" w:hAnsi="Arial" w:cs="Arial"/>
          <w:kern w:val="0"/>
          <w:sz w:val="24"/>
          <w:szCs w:val="24"/>
          <w:lang w:eastAsia="en-GB"/>
          <w14:ligatures w14:val="none"/>
        </w:rPr>
        <w:t xml:space="preserve"> </w:t>
      </w:r>
      <w:r w:rsidR="001E0CC2">
        <w:rPr>
          <w:rFonts w:ascii="Arial" w:eastAsia="Times New Roman" w:hAnsi="Arial" w:cs="Arial"/>
          <w:kern w:val="0"/>
          <w:sz w:val="24"/>
          <w:szCs w:val="24"/>
          <w:lang w:eastAsia="en-GB"/>
          <w14:ligatures w14:val="none"/>
        </w:rPr>
        <w:t xml:space="preserve">questions </w:t>
      </w:r>
      <w:r w:rsidRPr="00BD2703">
        <w:rPr>
          <w:rFonts w:ascii="Arial" w:eastAsia="Times New Roman" w:hAnsi="Arial" w:cs="Arial"/>
          <w:kern w:val="0"/>
          <w:sz w:val="24"/>
          <w:szCs w:val="24"/>
          <w:lang w:eastAsia="en-GB"/>
          <w14:ligatures w14:val="none"/>
        </w:rPr>
        <w:t>to enable comparative analysis</w:t>
      </w:r>
      <w:r w:rsidR="001E0CC2">
        <w:rPr>
          <w:rFonts w:ascii="Arial" w:eastAsia="Times New Roman" w:hAnsi="Arial" w:cs="Arial"/>
          <w:kern w:val="0"/>
          <w:sz w:val="24"/>
          <w:szCs w:val="24"/>
          <w:lang w:eastAsia="en-GB"/>
          <w14:ligatures w14:val="none"/>
        </w:rPr>
        <w:t xml:space="preserve">. </w:t>
      </w:r>
      <w:r w:rsidR="003D5500">
        <w:rPr>
          <w:rFonts w:ascii="Arial" w:eastAsia="Times New Roman" w:hAnsi="Arial" w:cs="Arial"/>
          <w:kern w:val="0"/>
          <w:sz w:val="24"/>
          <w:szCs w:val="24"/>
          <w:lang w:eastAsia="en-GB"/>
          <w14:ligatures w14:val="none"/>
        </w:rPr>
        <w:t xml:space="preserve">Responses will be </w:t>
      </w:r>
      <w:r w:rsidR="00B309A8" w:rsidRPr="00D3241F">
        <w:rPr>
          <w:rFonts w:ascii="Arial" w:eastAsia="Times New Roman" w:hAnsi="Arial" w:cs="Arial"/>
          <w:kern w:val="0"/>
          <w:sz w:val="24"/>
          <w:szCs w:val="24"/>
          <w:lang w:eastAsia="en-GB"/>
          <w14:ligatures w14:val="none"/>
        </w:rPr>
        <w:t>anonymous</w:t>
      </w:r>
      <w:r w:rsidR="009B7406">
        <w:rPr>
          <w:rFonts w:ascii="Arial" w:eastAsia="Times New Roman" w:hAnsi="Arial" w:cs="Arial"/>
          <w:kern w:val="0"/>
          <w:sz w:val="24"/>
          <w:szCs w:val="24"/>
          <w:lang w:eastAsia="en-GB"/>
          <w14:ligatures w14:val="none"/>
        </w:rPr>
        <w:t xml:space="preserve"> and p</w:t>
      </w:r>
      <w:r w:rsidR="00AF0FF7">
        <w:rPr>
          <w:rFonts w:ascii="Arial" w:eastAsia="Times New Roman" w:hAnsi="Arial" w:cs="Arial"/>
          <w:kern w:val="0"/>
          <w:sz w:val="24"/>
          <w:szCs w:val="24"/>
          <w:lang w:eastAsia="en-GB"/>
          <w14:ligatures w14:val="none"/>
        </w:rPr>
        <w:t xml:space="preserve">articipants </w:t>
      </w:r>
      <w:r w:rsidR="009B7406">
        <w:rPr>
          <w:rFonts w:ascii="Arial" w:eastAsia="Times New Roman" w:hAnsi="Arial" w:cs="Arial"/>
          <w:kern w:val="0"/>
          <w:sz w:val="24"/>
          <w:szCs w:val="24"/>
          <w:lang w:eastAsia="en-GB"/>
          <w14:ligatures w14:val="none"/>
        </w:rPr>
        <w:t>may</w:t>
      </w:r>
      <w:r w:rsidR="00AF0FF7">
        <w:rPr>
          <w:rFonts w:ascii="Arial" w:eastAsia="Times New Roman" w:hAnsi="Arial" w:cs="Arial"/>
          <w:kern w:val="0"/>
          <w:sz w:val="24"/>
          <w:szCs w:val="24"/>
          <w:lang w:eastAsia="en-GB"/>
          <w14:ligatures w14:val="none"/>
        </w:rPr>
        <w:t xml:space="preserve"> volunteer for follow-up interviews</w:t>
      </w:r>
      <w:r w:rsidRPr="00BD2703">
        <w:rPr>
          <w:rFonts w:ascii="Arial" w:eastAsia="Times New Roman" w:hAnsi="Arial" w:cs="Arial"/>
          <w:kern w:val="0"/>
          <w:sz w:val="24"/>
          <w:szCs w:val="24"/>
          <w:lang w:eastAsia="en-GB"/>
          <w14:ligatures w14:val="none"/>
        </w:rPr>
        <w:t>. Only individuals who self</w:t>
      </w:r>
      <w:r w:rsidRPr="00BD2703">
        <w:rPr>
          <w:rFonts w:ascii="Arial" w:eastAsia="Times New Roman" w:hAnsi="Arial" w:cs="Arial"/>
          <w:kern w:val="0"/>
          <w:sz w:val="24"/>
          <w:szCs w:val="24"/>
          <w:lang w:eastAsia="en-GB"/>
          <w14:ligatures w14:val="none"/>
        </w:rPr>
        <w:noBreakHyphen/>
        <w:t>refer</w:t>
      </w:r>
      <w:r w:rsidR="00AD7E9B">
        <w:rPr>
          <w:rFonts w:ascii="Arial" w:eastAsia="Times New Roman" w:hAnsi="Arial" w:cs="Arial"/>
          <w:kern w:val="0"/>
          <w:sz w:val="24"/>
          <w:szCs w:val="24"/>
          <w:lang w:eastAsia="en-GB"/>
          <w14:ligatures w14:val="none"/>
        </w:rPr>
        <w:t xml:space="preserve"> will be</w:t>
      </w:r>
      <w:r w:rsidRPr="00BD2703">
        <w:rPr>
          <w:rFonts w:ascii="Arial" w:eastAsia="Times New Roman" w:hAnsi="Arial" w:cs="Arial"/>
          <w:kern w:val="0"/>
          <w:sz w:val="24"/>
          <w:szCs w:val="24"/>
          <w:lang w:eastAsia="en-GB"/>
          <w14:ligatures w14:val="none"/>
        </w:rPr>
        <w:t xml:space="preserve"> eligible for interview. </w:t>
      </w:r>
    </w:p>
    <w:p w14:paraId="0E73D77C" w14:textId="0A3E1D86" w:rsidR="00BD2703" w:rsidRPr="00BD2703" w:rsidRDefault="00E924FE"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A</w:t>
      </w:r>
      <w:r w:rsidR="00BD2703" w:rsidRPr="00BD2703">
        <w:rPr>
          <w:rFonts w:ascii="Arial" w:eastAsia="Times New Roman" w:hAnsi="Arial" w:cs="Arial"/>
          <w:kern w:val="0"/>
          <w:sz w:val="24"/>
          <w:szCs w:val="24"/>
          <w:lang w:eastAsia="en-GB"/>
          <w14:ligatures w14:val="none"/>
        </w:rPr>
        <w:t xml:space="preserve"> purposive maximum</w:t>
      </w:r>
      <w:r w:rsidR="00BD2703" w:rsidRPr="00BD2703">
        <w:rPr>
          <w:rFonts w:ascii="Arial" w:eastAsia="Times New Roman" w:hAnsi="Arial" w:cs="Arial"/>
          <w:kern w:val="0"/>
          <w:sz w:val="24"/>
          <w:szCs w:val="24"/>
          <w:lang w:eastAsia="en-GB"/>
          <w14:ligatures w14:val="none"/>
        </w:rPr>
        <w:noBreakHyphen/>
        <w:t>variation s</w:t>
      </w:r>
      <w:r w:rsidR="009D1469">
        <w:rPr>
          <w:rFonts w:ascii="Arial" w:eastAsia="Times New Roman" w:hAnsi="Arial" w:cs="Arial"/>
          <w:kern w:val="0"/>
          <w:sz w:val="24"/>
          <w:szCs w:val="24"/>
          <w:lang w:eastAsia="en-GB"/>
          <w14:ligatures w14:val="none"/>
        </w:rPr>
        <w:t>ampling s</w:t>
      </w:r>
      <w:r w:rsidR="00BD2703" w:rsidRPr="00BD2703">
        <w:rPr>
          <w:rFonts w:ascii="Arial" w:eastAsia="Times New Roman" w:hAnsi="Arial" w:cs="Arial"/>
          <w:kern w:val="0"/>
          <w:sz w:val="24"/>
          <w:szCs w:val="24"/>
          <w:lang w:eastAsia="en-GB"/>
          <w14:ligatures w14:val="none"/>
        </w:rPr>
        <w:t xml:space="preserve">trategy will be </w:t>
      </w:r>
      <w:r w:rsidR="00C747A4">
        <w:rPr>
          <w:rFonts w:ascii="Arial" w:eastAsia="Times New Roman" w:hAnsi="Arial" w:cs="Arial"/>
          <w:kern w:val="0"/>
          <w:sz w:val="24"/>
          <w:szCs w:val="24"/>
          <w:lang w:eastAsia="en-GB"/>
          <w14:ligatures w14:val="none"/>
        </w:rPr>
        <w:t>applied</w:t>
      </w:r>
      <w:r>
        <w:rPr>
          <w:rFonts w:ascii="Arial" w:eastAsia="Times New Roman" w:hAnsi="Arial" w:cs="Arial"/>
          <w:kern w:val="0"/>
          <w:sz w:val="24"/>
          <w:szCs w:val="24"/>
          <w:lang w:eastAsia="en-GB"/>
          <w14:ligatures w14:val="none"/>
        </w:rPr>
        <w:t xml:space="preserve"> within the volunteer pool</w:t>
      </w:r>
      <w:r w:rsidR="00BD2703" w:rsidRPr="00BD2703">
        <w:rPr>
          <w:rFonts w:ascii="Arial" w:eastAsia="Times New Roman" w:hAnsi="Arial" w:cs="Arial"/>
          <w:kern w:val="0"/>
          <w:sz w:val="24"/>
          <w:szCs w:val="24"/>
          <w:lang w:eastAsia="en-GB"/>
          <w14:ligatures w14:val="none"/>
        </w:rPr>
        <w:t xml:space="preserve"> to </w:t>
      </w:r>
      <w:r w:rsidR="000F2360">
        <w:rPr>
          <w:rFonts w:ascii="Arial" w:eastAsia="Times New Roman" w:hAnsi="Arial" w:cs="Arial"/>
          <w:kern w:val="0"/>
          <w:sz w:val="24"/>
          <w:szCs w:val="24"/>
          <w:lang w:eastAsia="en-GB"/>
          <w14:ligatures w14:val="none"/>
        </w:rPr>
        <w:t>ensure</w:t>
      </w:r>
      <w:r w:rsidR="00BD2703" w:rsidRPr="00BD2703">
        <w:rPr>
          <w:rFonts w:ascii="Arial" w:eastAsia="Times New Roman" w:hAnsi="Arial" w:cs="Arial"/>
          <w:kern w:val="0"/>
          <w:sz w:val="24"/>
          <w:szCs w:val="24"/>
          <w:lang w:eastAsia="en-GB"/>
          <w14:ligatures w14:val="none"/>
        </w:rPr>
        <w:t xml:space="preserve"> diversity </w:t>
      </w:r>
      <w:r w:rsidR="000F2360">
        <w:rPr>
          <w:rFonts w:ascii="Arial" w:eastAsia="Times New Roman" w:hAnsi="Arial" w:cs="Arial"/>
          <w:kern w:val="0"/>
          <w:sz w:val="24"/>
          <w:szCs w:val="24"/>
          <w:lang w:eastAsia="en-GB"/>
          <w14:ligatures w14:val="none"/>
        </w:rPr>
        <w:t>across programme, role group and organisation</w:t>
      </w:r>
      <w:r w:rsidR="00D461E8">
        <w:rPr>
          <w:rFonts w:ascii="Arial" w:eastAsia="Times New Roman" w:hAnsi="Arial" w:cs="Arial"/>
          <w:kern w:val="0"/>
          <w:sz w:val="24"/>
          <w:szCs w:val="24"/>
          <w:lang w:eastAsia="en-GB"/>
          <w14:ligatures w14:val="none"/>
        </w:rPr>
        <w:t>, with</w:t>
      </w:r>
      <w:r w:rsidR="00EE494E">
        <w:rPr>
          <w:rFonts w:ascii="Arial" w:eastAsia="Times New Roman" w:hAnsi="Arial" w:cs="Arial"/>
          <w:kern w:val="0"/>
          <w:sz w:val="24"/>
          <w:szCs w:val="24"/>
          <w:lang w:eastAsia="en-GB"/>
          <w14:ligatures w14:val="none"/>
        </w:rPr>
        <w:t xml:space="preserve"> </w:t>
      </w:r>
      <w:r w:rsidR="00D461E8">
        <w:rPr>
          <w:rFonts w:ascii="Arial" w:eastAsia="Times New Roman" w:hAnsi="Arial" w:cs="Arial"/>
          <w:kern w:val="0"/>
          <w:sz w:val="24"/>
          <w:szCs w:val="24"/>
          <w:lang w:eastAsia="en-GB"/>
          <w14:ligatures w14:val="none"/>
        </w:rPr>
        <w:t>a</w:t>
      </w:r>
      <w:r w:rsidR="00BD2703" w:rsidRPr="00BD2703">
        <w:rPr>
          <w:rFonts w:ascii="Arial" w:eastAsia="Times New Roman" w:hAnsi="Arial" w:cs="Arial"/>
          <w:kern w:val="0"/>
          <w:sz w:val="24"/>
          <w:szCs w:val="24"/>
          <w:lang w:eastAsia="en-GB"/>
          <w14:ligatures w14:val="none"/>
        </w:rPr>
        <w:t>pproximately 1</w:t>
      </w:r>
      <w:r w:rsidR="00BC587E" w:rsidRPr="003D6AD5">
        <w:rPr>
          <w:rFonts w:ascii="Arial" w:eastAsia="Times New Roman" w:hAnsi="Arial" w:cs="Arial"/>
          <w:kern w:val="0"/>
          <w:sz w:val="24"/>
          <w:szCs w:val="24"/>
          <w:lang w:eastAsia="en-GB"/>
          <w14:ligatures w14:val="none"/>
        </w:rPr>
        <w:t>0-</w:t>
      </w:r>
      <w:r w:rsidR="00BD2703" w:rsidRPr="00BD2703">
        <w:rPr>
          <w:rFonts w:ascii="Arial" w:eastAsia="Times New Roman" w:hAnsi="Arial" w:cs="Arial"/>
          <w:kern w:val="0"/>
          <w:sz w:val="24"/>
          <w:szCs w:val="24"/>
          <w:lang w:eastAsia="en-GB"/>
          <w14:ligatures w14:val="none"/>
        </w:rPr>
        <w:t>15 interviews anticipated</w:t>
      </w:r>
      <w:r w:rsidR="003C1268">
        <w:rPr>
          <w:rFonts w:ascii="Arial" w:eastAsia="Times New Roman" w:hAnsi="Arial" w:cs="Arial"/>
          <w:kern w:val="0"/>
          <w:sz w:val="24"/>
          <w:szCs w:val="24"/>
          <w:lang w:eastAsia="en-GB"/>
          <w14:ligatures w14:val="none"/>
        </w:rPr>
        <w:t xml:space="preserve"> (Patton, 2015)</w:t>
      </w:r>
      <w:r w:rsidR="00BD2703" w:rsidRPr="00BD2703">
        <w:rPr>
          <w:rFonts w:ascii="Arial" w:eastAsia="Times New Roman" w:hAnsi="Arial" w:cs="Arial"/>
          <w:kern w:val="0"/>
          <w:sz w:val="24"/>
          <w:szCs w:val="24"/>
          <w:lang w:eastAsia="en-GB"/>
          <w14:ligatures w14:val="none"/>
        </w:rPr>
        <w:t>.</w:t>
      </w:r>
      <w:r w:rsidR="00E21538">
        <w:rPr>
          <w:rFonts w:ascii="Arial" w:eastAsia="Times New Roman" w:hAnsi="Arial" w:cs="Arial"/>
          <w:kern w:val="0"/>
          <w:sz w:val="24"/>
          <w:szCs w:val="24"/>
          <w:lang w:eastAsia="en-GB"/>
          <w14:ligatures w14:val="none"/>
        </w:rPr>
        <w:t xml:space="preserve"> This design directly reflects the literature’s emphasis on contex</w:t>
      </w:r>
      <w:r w:rsidR="007113CE">
        <w:rPr>
          <w:rFonts w:ascii="Arial" w:eastAsia="Times New Roman" w:hAnsi="Arial" w:cs="Arial"/>
          <w:kern w:val="0"/>
          <w:sz w:val="24"/>
          <w:szCs w:val="24"/>
          <w:lang w:eastAsia="en-GB"/>
          <w14:ligatures w14:val="none"/>
        </w:rPr>
        <w:t>t</w:t>
      </w:r>
      <w:r w:rsidR="00E21538">
        <w:rPr>
          <w:rFonts w:ascii="Arial" w:eastAsia="Times New Roman" w:hAnsi="Arial" w:cs="Arial"/>
          <w:kern w:val="0"/>
          <w:sz w:val="24"/>
          <w:szCs w:val="24"/>
          <w:lang w:eastAsia="en-GB"/>
          <w14:ligatures w14:val="none"/>
        </w:rPr>
        <w:t>ualised learning transfer, enabling not only measurement of training outcomes, but explanation of how organisational conditions shape their realisation in practice</w:t>
      </w:r>
      <w:r w:rsidR="001E06D5">
        <w:rPr>
          <w:rFonts w:ascii="Arial" w:eastAsia="Times New Roman" w:hAnsi="Arial" w:cs="Arial"/>
          <w:kern w:val="0"/>
          <w:sz w:val="24"/>
          <w:szCs w:val="24"/>
          <w:lang w:eastAsia="en-GB"/>
          <w14:ligatures w14:val="none"/>
        </w:rPr>
        <w:t xml:space="preserve"> (</w:t>
      </w:r>
      <w:r w:rsidR="00F8040D">
        <w:rPr>
          <w:rFonts w:ascii="Arial" w:eastAsia="Times New Roman" w:hAnsi="Arial" w:cs="Arial"/>
          <w:kern w:val="0"/>
          <w:sz w:val="24"/>
          <w:szCs w:val="24"/>
          <w:lang w:eastAsia="en-GB"/>
          <w14:ligatures w14:val="none"/>
        </w:rPr>
        <w:t>Burke &amp; Hutchins, 2007).</w:t>
      </w:r>
    </w:p>
    <w:p w14:paraId="0D1E5E6E" w14:textId="77777777" w:rsidR="00BD2703" w:rsidRPr="00BD2703" w:rsidRDefault="00BD2703" w:rsidP="00B75760">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BD2703">
        <w:rPr>
          <w:rFonts w:ascii="Arial" w:eastAsia="Times New Roman" w:hAnsi="Arial" w:cs="Arial"/>
          <w:b/>
          <w:bCs/>
          <w:kern w:val="0"/>
          <w:sz w:val="24"/>
          <w:szCs w:val="24"/>
          <w:lang w:eastAsia="en-GB"/>
          <w14:ligatures w14:val="none"/>
        </w:rPr>
        <w:t>Data collection</w:t>
      </w:r>
    </w:p>
    <w:p w14:paraId="61196625" w14:textId="1E165888" w:rsidR="00BD2703" w:rsidRPr="00BD2703" w:rsidRDefault="00BD2703" w:rsidP="00B75760">
      <w:pPr>
        <w:spacing w:before="100" w:beforeAutospacing="1" w:after="100" w:afterAutospacing="1" w:line="360" w:lineRule="auto"/>
        <w:rPr>
          <w:rFonts w:ascii="Arial" w:eastAsia="Times New Roman" w:hAnsi="Arial" w:cs="Arial"/>
          <w:kern w:val="0"/>
          <w:sz w:val="24"/>
          <w:szCs w:val="24"/>
          <w:u w:val="single"/>
          <w:lang w:eastAsia="en-GB"/>
          <w14:ligatures w14:val="none"/>
        </w:rPr>
      </w:pPr>
      <w:r w:rsidRPr="00BD2703">
        <w:rPr>
          <w:rFonts w:ascii="Arial" w:eastAsia="Times New Roman" w:hAnsi="Arial" w:cs="Arial"/>
          <w:kern w:val="0"/>
          <w:sz w:val="24"/>
          <w:szCs w:val="24"/>
          <w:u w:val="single"/>
          <w:lang w:eastAsia="en-GB"/>
          <w14:ligatures w14:val="none"/>
        </w:rPr>
        <w:t>Survey (Phase 1)</w:t>
      </w:r>
      <w:r w:rsidR="00933154">
        <w:rPr>
          <w:rFonts w:ascii="Arial" w:eastAsia="Times New Roman" w:hAnsi="Arial" w:cs="Arial"/>
          <w:kern w:val="0"/>
          <w:sz w:val="24"/>
          <w:szCs w:val="24"/>
          <w:u w:val="single"/>
          <w:lang w:eastAsia="en-GB"/>
          <w14:ligatures w14:val="none"/>
        </w:rPr>
        <w:br/>
      </w:r>
      <w:r w:rsidRPr="00BD2703">
        <w:rPr>
          <w:rFonts w:ascii="Arial" w:eastAsia="Times New Roman" w:hAnsi="Arial" w:cs="Arial"/>
          <w:kern w:val="0"/>
          <w:sz w:val="24"/>
          <w:szCs w:val="24"/>
          <w:lang w:eastAsia="en-GB"/>
          <w14:ligatures w14:val="none"/>
        </w:rPr>
        <w:t xml:space="preserve">The </w:t>
      </w:r>
      <w:r w:rsidR="00EC012A">
        <w:rPr>
          <w:rFonts w:ascii="Arial" w:eastAsia="Times New Roman" w:hAnsi="Arial" w:cs="Arial"/>
          <w:kern w:val="0"/>
          <w:sz w:val="24"/>
          <w:szCs w:val="24"/>
          <w:lang w:eastAsia="en-GB"/>
          <w14:ligatures w14:val="none"/>
        </w:rPr>
        <w:t xml:space="preserve">MS Forms </w:t>
      </w:r>
      <w:r w:rsidRPr="00BD2703">
        <w:rPr>
          <w:rFonts w:ascii="Arial" w:eastAsia="Times New Roman" w:hAnsi="Arial" w:cs="Arial"/>
          <w:kern w:val="0"/>
          <w:sz w:val="24"/>
          <w:szCs w:val="24"/>
          <w:lang w:eastAsia="en-GB"/>
          <w14:ligatures w14:val="none"/>
        </w:rPr>
        <w:t xml:space="preserve">survey </w:t>
      </w:r>
      <w:r w:rsidR="00EC012A">
        <w:rPr>
          <w:rFonts w:ascii="Arial" w:eastAsia="Times New Roman" w:hAnsi="Arial" w:cs="Arial"/>
          <w:kern w:val="0"/>
          <w:sz w:val="24"/>
          <w:szCs w:val="24"/>
          <w:lang w:eastAsia="en-GB"/>
          <w14:ligatures w14:val="none"/>
        </w:rPr>
        <w:t>will take approximately</w:t>
      </w:r>
      <w:r w:rsidRPr="00BD2703">
        <w:rPr>
          <w:rFonts w:ascii="Arial" w:eastAsia="Times New Roman" w:hAnsi="Arial" w:cs="Arial"/>
          <w:kern w:val="0"/>
          <w:sz w:val="24"/>
          <w:szCs w:val="24"/>
          <w:lang w:eastAsia="en-GB"/>
          <w14:ligatures w14:val="none"/>
        </w:rPr>
        <w:t xml:space="preserve"> 10</w:t>
      </w:r>
      <w:r w:rsidR="00483653">
        <w:rPr>
          <w:rFonts w:ascii="Arial" w:eastAsia="Times New Roman" w:hAnsi="Arial" w:cs="Arial"/>
          <w:kern w:val="0"/>
          <w:sz w:val="24"/>
          <w:szCs w:val="24"/>
          <w:lang w:eastAsia="en-GB"/>
          <w14:ligatures w14:val="none"/>
        </w:rPr>
        <w:t xml:space="preserve"> </w:t>
      </w:r>
      <w:r w:rsidRPr="00BD2703">
        <w:rPr>
          <w:rFonts w:ascii="Arial" w:eastAsia="Times New Roman" w:hAnsi="Arial" w:cs="Arial"/>
          <w:kern w:val="0"/>
          <w:sz w:val="24"/>
          <w:szCs w:val="24"/>
          <w:lang w:eastAsia="en-GB"/>
          <w14:ligatures w14:val="none"/>
        </w:rPr>
        <w:t>minutes</w:t>
      </w:r>
      <w:r w:rsidR="00932036">
        <w:rPr>
          <w:rFonts w:ascii="Arial" w:eastAsia="Times New Roman" w:hAnsi="Arial" w:cs="Arial"/>
          <w:kern w:val="0"/>
          <w:sz w:val="24"/>
          <w:szCs w:val="24"/>
          <w:lang w:eastAsia="en-GB"/>
          <w14:ligatures w14:val="none"/>
        </w:rPr>
        <w:t xml:space="preserve"> and use primarily</w:t>
      </w:r>
      <w:r w:rsidRPr="00BD2703">
        <w:rPr>
          <w:rFonts w:ascii="Arial" w:eastAsia="Times New Roman" w:hAnsi="Arial" w:cs="Arial"/>
          <w:kern w:val="0"/>
          <w:sz w:val="24"/>
          <w:szCs w:val="24"/>
          <w:lang w:eastAsia="en-GB"/>
          <w14:ligatures w14:val="none"/>
        </w:rPr>
        <w:t xml:space="preserve"> Likert</w:t>
      </w:r>
      <w:r w:rsidRPr="00BD2703">
        <w:rPr>
          <w:rFonts w:ascii="Arial" w:eastAsia="Times New Roman" w:hAnsi="Arial" w:cs="Arial"/>
          <w:kern w:val="0"/>
          <w:sz w:val="24"/>
          <w:szCs w:val="24"/>
          <w:lang w:eastAsia="en-GB"/>
          <w14:ligatures w14:val="none"/>
        </w:rPr>
        <w:noBreakHyphen/>
        <w:t xml:space="preserve">scale </w:t>
      </w:r>
      <w:r w:rsidR="006A27F8">
        <w:rPr>
          <w:rFonts w:ascii="Arial" w:eastAsia="Times New Roman" w:hAnsi="Arial" w:cs="Arial"/>
          <w:kern w:val="0"/>
          <w:sz w:val="24"/>
          <w:szCs w:val="24"/>
          <w:lang w:eastAsia="en-GB"/>
          <w14:ligatures w14:val="none"/>
        </w:rPr>
        <w:t>questions</w:t>
      </w:r>
      <w:r w:rsidRPr="00BD2703">
        <w:rPr>
          <w:rFonts w:ascii="Arial" w:eastAsia="Times New Roman" w:hAnsi="Arial" w:cs="Arial"/>
          <w:kern w:val="0"/>
          <w:sz w:val="24"/>
          <w:szCs w:val="24"/>
          <w:lang w:eastAsia="en-GB"/>
          <w14:ligatures w14:val="none"/>
        </w:rPr>
        <w:t xml:space="preserve"> with optional open</w:t>
      </w:r>
      <w:r w:rsidRPr="00BD2703">
        <w:rPr>
          <w:rFonts w:ascii="Arial" w:eastAsia="Times New Roman" w:hAnsi="Arial" w:cs="Arial"/>
          <w:kern w:val="0"/>
          <w:sz w:val="24"/>
          <w:szCs w:val="24"/>
          <w:lang w:eastAsia="en-GB"/>
          <w14:ligatures w14:val="none"/>
        </w:rPr>
        <w:noBreakHyphen/>
        <w:t>text responses</w:t>
      </w:r>
      <w:r w:rsidR="0018633D">
        <w:rPr>
          <w:rFonts w:ascii="Arial" w:eastAsia="Times New Roman" w:hAnsi="Arial" w:cs="Arial"/>
          <w:kern w:val="0"/>
          <w:sz w:val="24"/>
          <w:szCs w:val="24"/>
          <w:lang w:eastAsia="en-GB"/>
          <w14:ligatures w14:val="none"/>
        </w:rPr>
        <w:t xml:space="preserve"> </w:t>
      </w:r>
      <w:r w:rsidRPr="00BD2703">
        <w:rPr>
          <w:rFonts w:ascii="Arial" w:eastAsia="Times New Roman" w:hAnsi="Arial" w:cs="Arial"/>
          <w:kern w:val="0"/>
          <w:sz w:val="24"/>
          <w:szCs w:val="24"/>
          <w:lang w:eastAsia="en-GB"/>
          <w14:ligatures w14:val="none"/>
        </w:rPr>
        <w:t>align</w:t>
      </w:r>
      <w:r w:rsidR="0018633D">
        <w:rPr>
          <w:rFonts w:ascii="Arial" w:eastAsia="Times New Roman" w:hAnsi="Arial" w:cs="Arial"/>
          <w:kern w:val="0"/>
          <w:sz w:val="24"/>
          <w:szCs w:val="24"/>
          <w:lang w:eastAsia="en-GB"/>
          <w14:ligatures w14:val="none"/>
        </w:rPr>
        <w:t>ed to Kirkpatrick</w:t>
      </w:r>
      <w:r w:rsidR="00C433C1">
        <w:rPr>
          <w:rFonts w:ascii="Arial" w:eastAsia="Times New Roman" w:hAnsi="Arial" w:cs="Arial"/>
          <w:kern w:val="0"/>
          <w:sz w:val="24"/>
          <w:szCs w:val="24"/>
          <w:lang w:eastAsia="en-GB"/>
          <w14:ligatures w14:val="none"/>
        </w:rPr>
        <w:t xml:space="preserve">’s </w:t>
      </w:r>
      <w:r w:rsidRPr="00BD2703">
        <w:rPr>
          <w:rFonts w:ascii="Arial" w:eastAsia="Times New Roman" w:hAnsi="Arial" w:cs="Arial"/>
          <w:kern w:val="0"/>
          <w:sz w:val="24"/>
          <w:szCs w:val="24"/>
          <w:lang w:eastAsia="en-GB"/>
          <w14:ligatures w14:val="none"/>
        </w:rPr>
        <w:t>framework</w:t>
      </w:r>
      <w:r w:rsidR="00C433C1">
        <w:rPr>
          <w:rFonts w:ascii="Arial" w:eastAsia="Times New Roman" w:hAnsi="Arial" w:cs="Arial"/>
          <w:kern w:val="0"/>
          <w:sz w:val="24"/>
          <w:szCs w:val="24"/>
          <w:lang w:eastAsia="en-GB"/>
          <w14:ligatures w14:val="none"/>
        </w:rPr>
        <w:t>.</w:t>
      </w:r>
    </w:p>
    <w:p w14:paraId="2D096172" w14:textId="44F5ADD2" w:rsidR="00BD2703" w:rsidRPr="00BD2703" w:rsidRDefault="00BD2703" w:rsidP="00B75760">
      <w:pPr>
        <w:spacing w:before="100" w:beforeAutospacing="1" w:after="100" w:afterAutospacing="1" w:line="360" w:lineRule="auto"/>
        <w:rPr>
          <w:rFonts w:ascii="Arial" w:eastAsia="Times New Roman" w:hAnsi="Arial" w:cs="Arial"/>
          <w:kern w:val="0"/>
          <w:sz w:val="24"/>
          <w:szCs w:val="24"/>
          <w:lang w:eastAsia="en-GB"/>
          <w14:ligatures w14:val="none"/>
        </w:rPr>
      </w:pPr>
      <w:r w:rsidRPr="00BD2703">
        <w:rPr>
          <w:rFonts w:ascii="Arial" w:eastAsia="Times New Roman" w:hAnsi="Arial" w:cs="Arial"/>
          <w:kern w:val="0"/>
          <w:sz w:val="24"/>
          <w:szCs w:val="24"/>
          <w:u w:val="single"/>
          <w:lang w:eastAsia="en-GB"/>
          <w14:ligatures w14:val="none"/>
        </w:rPr>
        <w:t>Interviews (Phase 2)</w:t>
      </w:r>
      <w:r w:rsidR="00933154">
        <w:rPr>
          <w:rFonts w:ascii="Arial" w:eastAsia="Times New Roman" w:hAnsi="Arial" w:cs="Arial"/>
          <w:kern w:val="0"/>
          <w:sz w:val="24"/>
          <w:szCs w:val="24"/>
          <w:u w:val="single"/>
          <w:lang w:eastAsia="en-GB"/>
          <w14:ligatures w14:val="none"/>
        </w:rPr>
        <w:br/>
      </w:r>
      <w:r w:rsidRPr="00BD2703">
        <w:rPr>
          <w:rFonts w:ascii="Arial" w:eastAsia="Times New Roman" w:hAnsi="Arial" w:cs="Arial"/>
          <w:kern w:val="0"/>
          <w:sz w:val="24"/>
          <w:szCs w:val="24"/>
          <w:lang w:eastAsia="en-GB"/>
          <w14:ligatures w14:val="none"/>
        </w:rPr>
        <w:t>Semi</w:t>
      </w:r>
      <w:r w:rsidRPr="00BD2703">
        <w:rPr>
          <w:rFonts w:ascii="Arial" w:eastAsia="Times New Roman" w:hAnsi="Arial" w:cs="Arial"/>
          <w:kern w:val="0"/>
          <w:sz w:val="24"/>
          <w:szCs w:val="24"/>
          <w:lang w:eastAsia="en-GB"/>
          <w14:ligatures w14:val="none"/>
        </w:rPr>
        <w:noBreakHyphen/>
        <w:t xml:space="preserve">structured interviews (approximately </w:t>
      </w:r>
      <w:r w:rsidR="00C94E7E" w:rsidRPr="00C94E7E">
        <w:rPr>
          <w:rFonts w:ascii="Arial" w:eastAsia="Times New Roman" w:hAnsi="Arial" w:cs="Arial"/>
          <w:kern w:val="0"/>
          <w:sz w:val="24"/>
          <w:szCs w:val="24"/>
          <w:lang w:eastAsia="en-GB"/>
          <w14:ligatures w14:val="none"/>
        </w:rPr>
        <w:t>15-20</w:t>
      </w:r>
      <w:r w:rsidRPr="00BD2703">
        <w:rPr>
          <w:rFonts w:ascii="Arial" w:eastAsia="Times New Roman" w:hAnsi="Arial" w:cs="Arial"/>
          <w:kern w:val="0"/>
          <w:sz w:val="24"/>
          <w:szCs w:val="24"/>
          <w:lang w:eastAsia="en-GB"/>
          <w14:ligatures w14:val="none"/>
        </w:rPr>
        <w:t xml:space="preserve"> minutes) will explore </w:t>
      </w:r>
      <w:r w:rsidR="00796E21">
        <w:rPr>
          <w:rFonts w:ascii="Arial" w:eastAsia="Times New Roman" w:hAnsi="Arial" w:cs="Arial"/>
          <w:kern w:val="0"/>
          <w:sz w:val="24"/>
          <w:szCs w:val="24"/>
          <w:lang w:eastAsia="en-GB"/>
          <w14:ligatures w14:val="none"/>
        </w:rPr>
        <w:t xml:space="preserve">application of </w:t>
      </w:r>
      <w:r w:rsidRPr="00BD2703">
        <w:rPr>
          <w:rFonts w:ascii="Arial" w:eastAsia="Times New Roman" w:hAnsi="Arial" w:cs="Arial"/>
          <w:kern w:val="0"/>
          <w:sz w:val="24"/>
          <w:szCs w:val="24"/>
          <w:lang w:eastAsia="en-GB"/>
          <w14:ligatures w14:val="none"/>
        </w:rPr>
        <w:t xml:space="preserve">learning </w:t>
      </w:r>
      <w:r w:rsidR="00330178">
        <w:rPr>
          <w:rFonts w:ascii="Arial" w:eastAsia="Times New Roman" w:hAnsi="Arial" w:cs="Arial"/>
          <w:kern w:val="0"/>
          <w:sz w:val="24"/>
          <w:szCs w:val="24"/>
          <w:lang w:eastAsia="en-GB"/>
          <w14:ligatures w14:val="none"/>
        </w:rPr>
        <w:t>and contextual factors affecting transfer</w:t>
      </w:r>
      <w:r w:rsidR="00BB7FAA">
        <w:rPr>
          <w:rFonts w:ascii="Arial" w:eastAsia="Times New Roman" w:hAnsi="Arial" w:cs="Arial"/>
          <w:kern w:val="0"/>
          <w:sz w:val="24"/>
          <w:szCs w:val="24"/>
          <w:lang w:eastAsia="en-GB"/>
          <w14:ligatures w14:val="none"/>
        </w:rPr>
        <w:t xml:space="preserve"> </w:t>
      </w:r>
      <w:r w:rsidRPr="00BD2703">
        <w:rPr>
          <w:rFonts w:ascii="Arial" w:eastAsia="Times New Roman" w:hAnsi="Arial" w:cs="Arial"/>
          <w:kern w:val="0"/>
          <w:sz w:val="24"/>
          <w:szCs w:val="24"/>
          <w:lang w:eastAsia="en-GB"/>
          <w14:ligatures w14:val="none"/>
        </w:rPr>
        <w:t xml:space="preserve">(access to data, time, leadership support). Interview questions will be explicitly informed by Phase 1 findings, for example: </w:t>
      </w:r>
      <w:r w:rsidR="00F60E15">
        <w:rPr>
          <w:rFonts w:ascii="Arial" w:eastAsia="Times New Roman" w:hAnsi="Arial" w:cs="Arial"/>
          <w:i/>
          <w:iCs/>
          <w:kern w:val="0"/>
          <w:sz w:val="24"/>
          <w:szCs w:val="24"/>
          <w:lang w:eastAsia="en-GB"/>
          <w14:ligatures w14:val="none"/>
        </w:rPr>
        <w:t>‘</w:t>
      </w:r>
      <w:r w:rsidRPr="00BD2703">
        <w:rPr>
          <w:rFonts w:ascii="Arial" w:eastAsia="Times New Roman" w:hAnsi="Arial" w:cs="Arial"/>
          <w:i/>
          <w:iCs/>
          <w:kern w:val="0"/>
          <w:sz w:val="24"/>
          <w:szCs w:val="24"/>
          <w:lang w:eastAsia="en-GB"/>
          <w14:ligatures w14:val="none"/>
        </w:rPr>
        <w:t>Survey responses suggested X was a key barrier—how does this affect your ability to apply the training in practice?</w:t>
      </w:r>
    </w:p>
    <w:p w14:paraId="4106124A" w14:textId="213F768C" w:rsidR="00BD2703" w:rsidRPr="00BD6999" w:rsidRDefault="00BD2703" w:rsidP="00B75760">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DB73EA">
        <w:rPr>
          <w:rFonts w:ascii="Arial" w:eastAsia="Times New Roman" w:hAnsi="Arial" w:cs="Arial"/>
          <w:kern w:val="0"/>
          <w:sz w:val="24"/>
          <w:szCs w:val="24"/>
          <w:lang w:eastAsia="en-GB"/>
          <w14:ligatures w14:val="none"/>
        </w:rPr>
        <w:t xml:space="preserve">Quantitative </w:t>
      </w:r>
      <w:r w:rsidR="00581CE6" w:rsidRPr="00DB73EA">
        <w:rPr>
          <w:rFonts w:ascii="Arial" w:eastAsia="Times New Roman" w:hAnsi="Arial" w:cs="Arial"/>
          <w:kern w:val="0"/>
          <w:sz w:val="24"/>
          <w:szCs w:val="24"/>
          <w:lang w:eastAsia="en-GB"/>
          <w14:ligatures w14:val="none"/>
        </w:rPr>
        <w:t>data will be analysed</w:t>
      </w:r>
      <w:r w:rsidR="00DB73EA" w:rsidRPr="00DB73EA">
        <w:rPr>
          <w:rFonts w:ascii="Arial" w:eastAsia="Times New Roman" w:hAnsi="Arial" w:cs="Arial"/>
          <w:kern w:val="0"/>
          <w:sz w:val="24"/>
          <w:szCs w:val="24"/>
          <w:lang w:eastAsia="en-GB"/>
          <w14:ligatures w14:val="none"/>
        </w:rPr>
        <w:t xml:space="preserve"> using</w:t>
      </w:r>
      <w:r w:rsidRPr="00DB73EA">
        <w:rPr>
          <w:rFonts w:ascii="Arial" w:eastAsia="Times New Roman" w:hAnsi="Arial" w:cs="Arial"/>
          <w:kern w:val="0"/>
          <w:sz w:val="24"/>
          <w:szCs w:val="24"/>
          <w:lang w:eastAsia="en-GB"/>
          <w14:ligatures w14:val="none"/>
        </w:rPr>
        <w:t xml:space="preserve"> descriptive </w:t>
      </w:r>
      <w:r w:rsidRPr="00BD2703">
        <w:rPr>
          <w:rFonts w:ascii="Arial" w:eastAsia="Times New Roman" w:hAnsi="Arial" w:cs="Arial"/>
          <w:kern w:val="0"/>
          <w:sz w:val="24"/>
          <w:szCs w:val="24"/>
          <w:lang w:eastAsia="en-GB"/>
          <w14:ligatures w14:val="none"/>
        </w:rPr>
        <w:t>statistics (frequencies, percentages and measures)</w:t>
      </w:r>
      <w:r w:rsidR="00DB73EA">
        <w:rPr>
          <w:rFonts w:ascii="Arial" w:eastAsia="Times New Roman" w:hAnsi="Arial" w:cs="Arial"/>
          <w:kern w:val="0"/>
          <w:sz w:val="24"/>
          <w:szCs w:val="24"/>
          <w:lang w:eastAsia="en-GB"/>
          <w14:ligatures w14:val="none"/>
        </w:rPr>
        <w:t xml:space="preserve"> and c</w:t>
      </w:r>
      <w:r w:rsidRPr="00BD2703">
        <w:rPr>
          <w:rFonts w:ascii="Arial" w:eastAsia="Times New Roman" w:hAnsi="Arial" w:cs="Arial"/>
          <w:kern w:val="0"/>
          <w:sz w:val="24"/>
          <w:szCs w:val="24"/>
          <w:lang w:eastAsia="en-GB"/>
          <w14:ligatures w14:val="none"/>
        </w:rPr>
        <w:t>ross</w:t>
      </w:r>
      <w:r w:rsidRPr="00BD2703">
        <w:rPr>
          <w:rFonts w:ascii="Arial" w:eastAsia="Times New Roman" w:hAnsi="Arial" w:cs="Arial"/>
          <w:kern w:val="0"/>
          <w:sz w:val="24"/>
          <w:szCs w:val="24"/>
          <w:lang w:eastAsia="en-GB"/>
          <w14:ligatures w14:val="none"/>
        </w:rPr>
        <w:noBreakHyphen/>
        <w:t>tabulations</w:t>
      </w:r>
      <w:r w:rsidR="005852C4">
        <w:rPr>
          <w:rFonts w:ascii="Arial" w:eastAsia="Times New Roman" w:hAnsi="Arial" w:cs="Arial"/>
          <w:kern w:val="0"/>
          <w:sz w:val="24"/>
          <w:szCs w:val="24"/>
          <w:lang w:eastAsia="en-GB"/>
          <w14:ligatures w14:val="none"/>
        </w:rPr>
        <w:t>.</w:t>
      </w:r>
      <w:r w:rsidR="005852C4">
        <w:rPr>
          <w:rFonts w:ascii="Arial" w:eastAsia="Times New Roman" w:hAnsi="Arial" w:cs="Arial"/>
          <w:b/>
          <w:bCs/>
          <w:kern w:val="0"/>
          <w:sz w:val="24"/>
          <w:szCs w:val="24"/>
          <w:lang w:eastAsia="en-GB"/>
          <w14:ligatures w14:val="none"/>
        </w:rPr>
        <w:t xml:space="preserve"> </w:t>
      </w:r>
      <w:r w:rsidRPr="005852C4">
        <w:rPr>
          <w:rFonts w:ascii="Arial" w:eastAsia="Times New Roman" w:hAnsi="Arial" w:cs="Arial"/>
          <w:kern w:val="0"/>
          <w:sz w:val="24"/>
          <w:szCs w:val="24"/>
          <w:lang w:eastAsia="en-GB"/>
          <w14:ligatures w14:val="none"/>
        </w:rPr>
        <w:t>Qualitative</w:t>
      </w:r>
      <w:r w:rsidR="00BC37FD" w:rsidRPr="005852C4">
        <w:rPr>
          <w:rFonts w:ascii="Arial" w:eastAsia="Times New Roman" w:hAnsi="Arial" w:cs="Arial"/>
          <w:kern w:val="0"/>
          <w:sz w:val="24"/>
          <w:szCs w:val="24"/>
          <w:lang w:eastAsia="en-GB"/>
          <w14:ligatures w14:val="none"/>
        </w:rPr>
        <w:t xml:space="preserve"> i</w:t>
      </w:r>
      <w:r w:rsidRPr="005852C4">
        <w:rPr>
          <w:rFonts w:ascii="Arial" w:eastAsia="Times New Roman" w:hAnsi="Arial" w:cs="Arial"/>
          <w:kern w:val="0"/>
          <w:sz w:val="24"/>
          <w:szCs w:val="24"/>
          <w:lang w:eastAsia="en-GB"/>
          <w14:ligatures w14:val="none"/>
        </w:rPr>
        <w:t>nterview</w:t>
      </w:r>
      <w:r w:rsidRPr="00BD2703">
        <w:rPr>
          <w:rFonts w:ascii="Arial" w:eastAsia="Times New Roman" w:hAnsi="Arial" w:cs="Arial"/>
          <w:kern w:val="0"/>
          <w:sz w:val="24"/>
          <w:szCs w:val="24"/>
          <w:lang w:eastAsia="en-GB"/>
          <w14:ligatures w14:val="none"/>
        </w:rPr>
        <w:t xml:space="preserve"> data will be analysed</w:t>
      </w:r>
      <w:r w:rsidR="005852C4">
        <w:rPr>
          <w:rFonts w:ascii="Arial" w:eastAsia="Times New Roman" w:hAnsi="Arial" w:cs="Arial"/>
          <w:kern w:val="0"/>
          <w:sz w:val="24"/>
          <w:szCs w:val="24"/>
          <w:lang w:eastAsia="en-GB"/>
          <w14:ligatures w14:val="none"/>
        </w:rPr>
        <w:t xml:space="preserve"> </w:t>
      </w:r>
      <w:r w:rsidRPr="00BD2703">
        <w:rPr>
          <w:rFonts w:ascii="Arial" w:eastAsia="Times New Roman" w:hAnsi="Arial" w:cs="Arial"/>
          <w:kern w:val="0"/>
          <w:sz w:val="24"/>
          <w:szCs w:val="24"/>
          <w:lang w:eastAsia="en-GB"/>
          <w14:ligatures w14:val="none"/>
        </w:rPr>
        <w:t>thematic</w:t>
      </w:r>
      <w:r w:rsidR="005852C4">
        <w:rPr>
          <w:rFonts w:ascii="Arial" w:eastAsia="Times New Roman" w:hAnsi="Arial" w:cs="Arial"/>
          <w:kern w:val="0"/>
          <w:sz w:val="24"/>
          <w:szCs w:val="24"/>
          <w:lang w:eastAsia="en-GB"/>
          <w14:ligatures w14:val="none"/>
        </w:rPr>
        <w:t xml:space="preserve">ally, </w:t>
      </w:r>
      <w:r w:rsidR="00E521CA">
        <w:rPr>
          <w:rFonts w:ascii="Arial" w:eastAsia="Times New Roman" w:hAnsi="Arial" w:cs="Arial"/>
          <w:kern w:val="0"/>
          <w:sz w:val="24"/>
          <w:szCs w:val="24"/>
          <w:lang w:eastAsia="en-GB"/>
          <w14:ligatures w14:val="none"/>
        </w:rPr>
        <w:t>supported by</w:t>
      </w:r>
      <w:r w:rsidRPr="00BD2703">
        <w:rPr>
          <w:rFonts w:ascii="Arial" w:eastAsia="Times New Roman" w:hAnsi="Arial" w:cs="Arial"/>
          <w:kern w:val="0"/>
          <w:sz w:val="24"/>
          <w:szCs w:val="24"/>
          <w:lang w:eastAsia="en-GB"/>
          <w14:ligatures w14:val="none"/>
        </w:rPr>
        <w:t xml:space="preserve"> reflexive journalling </w:t>
      </w:r>
      <w:r w:rsidR="00E521CA">
        <w:rPr>
          <w:rFonts w:ascii="Arial" w:eastAsia="Times New Roman" w:hAnsi="Arial" w:cs="Arial"/>
          <w:kern w:val="0"/>
          <w:sz w:val="24"/>
          <w:szCs w:val="24"/>
          <w:lang w:eastAsia="en-GB"/>
          <w14:ligatures w14:val="none"/>
        </w:rPr>
        <w:t>and an audit trail to address</w:t>
      </w:r>
      <w:r w:rsidRPr="00BD2703">
        <w:rPr>
          <w:rFonts w:ascii="Arial" w:eastAsia="Times New Roman" w:hAnsi="Arial" w:cs="Arial"/>
          <w:kern w:val="0"/>
          <w:sz w:val="24"/>
          <w:szCs w:val="24"/>
          <w:lang w:eastAsia="en-GB"/>
          <w14:ligatures w14:val="none"/>
        </w:rPr>
        <w:t xml:space="preserve"> the insider position and mitigate confirmation bias (</w:t>
      </w:r>
      <w:r w:rsidR="00936B79">
        <w:rPr>
          <w:rFonts w:ascii="Arial" w:eastAsia="Times New Roman" w:hAnsi="Arial" w:cs="Arial"/>
          <w:kern w:val="0"/>
          <w:sz w:val="24"/>
          <w:szCs w:val="24"/>
          <w:lang w:eastAsia="en-GB"/>
          <w14:ligatures w14:val="none"/>
        </w:rPr>
        <w:t xml:space="preserve">Lincoln and Guba, 1985; </w:t>
      </w:r>
      <w:r w:rsidRPr="00BD2703">
        <w:rPr>
          <w:rFonts w:ascii="Arial" w:eastAsia="Times New Roman" w:hAnsi="Arial" w:cs="Arial"/>
          <w:kern w:val="0"/>
          <w:sz w:val="24"/>
          <w:szCs w:val="24"/>
          <w:lang w:eastAsia="en-GB"/>
          <w14:ligatures w14:val="none"/>
        </w:rPr>
        <w:t>Fleming, 2018).</w:t>
      </w:r>
      <w:r w:rsidR="00A85C5E">
        <w:rPr>
          <w:rFonts w:ascii="Arial" w:eastAsia="Times New Roman" w:hAnsi="Arial" w:cs="Arial"/>
          <w:kern w:val="0"/>
          <w:sz w:val="24"/>
          <w:szCs w:val="24"/>
          <w:lang w:eastAsia="en-GB"/>
          <w14:ligatures w14:val="none"/>
        </w:rPr>
        <w:t xml:space="preserve"> Integration </w:t>
      </w:r>
      <w:r w:rsidR="00BD6999">
        <w:rPr>
          <w:rFonts w:ascii="Arial" w:eastAsia="Times New Roman" w:hAnsi="Arial" w:cs="Arial"/>
          <w:kern w:val="0"/>
          <w:sz w:val="24"/>
          <w:szCs w:val="24"/>
          <w:lang w:eastAsia="en-GB"/>
          <w14:ligatures w14:val="none"/>
        </w:rPr>
        <w:t>will occur through joint interpretation of findings.</w:t>
      </w:r>
      <w:r w:rsidR="00BD6999">
        <w:rPr>
          <w:rFonts w:ascii="Arial" w:eastAsia="Times New Roman" w:hAnsi="Arial" w:cs="Arial"/>
          <w:b/>
          <w:bCs/>
          <w:kern w:val="0"/>
          <w:sz w:val="24"/>
          <w:szCs w:val="24"/>
          <w:lang w:eastAsia="en-GB"/>
          <w14:ligatures w14:val="none"/>
        </w:rPr>
        <w:t xml:space="preserve"> </w:t>
      </w:r>
      <w:r w:rsidRPr="00BD2703">
        <w:rPr>
          <w:rFonts w:ascii="Arial" w:eastAsia="Times New Roman" w:hAnsi="Arial" w:cs="Arial"/>
          <w:kern w:val="0"/>
          <w:sz w:val="24"/>
          <w:szCs w:val="24"/>
          <w:lang w:eastAsia="en-GB"/>
          <w14:ligatures w14:val="none"/>
        </w:rPr>
        <w:t xml:space="preserve">Convergent findings will strengthen confidence, while divergent findings will be examined analytically to identify contextual explanations, consistent with training transfer theory (Baldwin and Ford, 1988; Holton, 1996). </w:t>
      </w:r>
    </w:p>
    <w:p w14:paraId="2B7B8602" w14:textId="77777777" w:rsidR="00B75760" w:rsidRDefault="00B75760" w:rsidP="00B75760">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77A7D86" w14:textId="6C950206" w:rsidR="00BD2703" w:rsidRPr="00BD2703" w:rsidRDefault="00BD2703" w:rsidP="00B75760">
      <w:pPr>
        <w:spacing w:before="100" w:beforeAutospacing="1" w:after="100" w:afterAutospacing="1" w:line="360" w:lineRule="auto"/>
        <w:rPr>
          <w:rFonts w:ascii="Arial" w:eastAsia="Times New Roman" w:hAnsi="Arial" w:cs="Arial"/>
          <w:b/>
          <w:bCs/>
          <w:kern w:val="0"/>
          <w:sz w:val="24"/>
          <w:szCs w:val="24"/>
          <w:lang w:eastAsia="en-GB"/>
          <w14:ligatures w14:val="none"/>
        </w:rPr>
      </w:pPr>
      <w:r w:rsidRPr="00BD2703">
        <w:rPr>
          <w:rFonts w:ascii="Arial" w:eastAsia="Times New Roman" w:hAnsi="Arial" w:cs="Arial"/>
          <w:b/>
          <w:bCs/>
          <w:kern w:val="0"/>
          <w:sz w:val="24"/>
          <w:szCs w:val="24"/>
          <w:lang w:eastAsia="en-GB"/>
          <w14:ligatures w14:val="none"/>
        </w:rPr>
        <w:t>Ethics and insider positioning</w:t>
      </w:r>
      <w:r w:rsidR="00B75760">
        <w:rPr>
          <w:rFonts w:ascii="Arial" w:eastAsia="Times New Roman" w:hAnsi="Arial" w:cs="Arial"/>
          <w:b/>
          <w:bCs/>
          <w:kern w:val="0"/>
          <w:sz w:val="24"/>
          <w:szCs w:val="24"/>
          <w:lang w:eastAsia="en-GB"/>
          <w14:ligatures w14:val="none"/>
        </w:rPr>
        <w:br/>
      </w:r>
      <w:r w:rsidR="00F000B2">
        <w:rPr>
          <w:rFonts w:ascii="Arial" w:eastAsia="Times New Roman" w:hAnsi="Arial" w:cs="Arial"/>
          <w:b/>
          <w:bCs/>
          <w:kern w:val="0"/>
          <w:sz w:val="24"/>
          <w:szCs w:val="24"/>
          <w:lang w:eastAsia="en-GB"/>
          <w14:ligatures w14:val="none"/>
        </w:rPr>
        <w:br/>
      </w:r>
      <w:r w:rsidRPr="00BD2703">
        <w:rPr>
          <w:rFonts w:ascii="Arial" w:eastAsia="Times New Roman" w:hAnsi="Arial" w:cs="Arial"/>
          <w:kern w:val="0"/>
          <w:sz w:val="24"/>
          <w:szCs w:val="24"/>
          <w:lang w:eastAsia="en-GB"/>
          <w14:ligatures w14:val="none"/>
        </w:rPr>
        <w:t xml:space="preserve">Participation is voluntary. To minimise perceived coercion, individuals in direct reporting or supervisory relationships to the researcher will be excluded and </w:t>
      </w:r>
      <w:r w:rsidRPr="00BD2703">
        <w:rPr>
          <w:rFonts w:ascii="Arial" w:eastAsia="Times New Roman" w:hAnsi="Arial" w:cs="Arial"/>
          <w:kern w:val="0"/>
          <w:sz w:val="24"/>
          <w:szCs w:val="24"/>
          <w:lang w:eastAsia="en-GB"/>
          <w14:ligatures w14:val="none"/>
        </w:rPr>
        <w:lastRenderedPageBreak/>
        <w:t>recruitment will use neutral organisational channels. Ethical approval has been obtained through UWTSD and HEIW governance routes, and all data will be stored securely with anonymised reporting.</w:t>
      </w:r>
      <w:r w:rsidR="0014180B">
        <w:rPr>
          <w:rFonts w:ascii="Arial" w:eastAsia="Times New Roman" w:hAnsi="Arial" w:cs="Arial"/>
          <w:kern w:val="0"/>
          <w:sz w:val="24"/>
          <w:szCs w:val="24"/>
          <w:lang w:eastAsia="en-GB"/>
          <w14:ligatures w14:val="none"/>
        </w:rPr>
        <w:t xml:space="preserve"> The insider position is not only a source of potential bias but also a resource for contextual insight; reflexivity will therefore be used not solely to mitigate influence, but to critically examine how the researcher</w:t>
      </w:r>
      <w:r w:rsidR="00CB1121">
        <w:rPr>
          <w:rFonts w:ascii="Arial" w:eastAsia="Times New Roman" w:hAnsi="Arial" w:cs="Arial"/>
          <w:kern w:val="0"/>
          <w:sz w:val="24"/>
          <w:szCs w:val="24"/>
          <w:lang w:eastAsia="en-GB"/>
          <w14:ligatures w14:val="none"/>
        </w:rPr>
        <w:t xml:space="preserve">’s positionality shapes interpretation and knowledge production. </w:t>
      </w:r>
    </w:p>
    <w:p w14:paraId="372037D5" w14:textId="79AC88E8" w:rsidR="00A15739" w:rsidRPr="00A15739" w:rsidRDefault="00A15739" w:rsidP="00B75760">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A15739">
        <w:rPr>
          <w:rFonts w:ascii="Arial" w:eastAsia="Times New Roman" w:hAnsi="Arial" w:cs="Arial"/>
          <w:b/>
          <w:bCs/>
          <w:kern w:val="0"/>
          <w:sz w:val="24"/>
          <w:szCs w:val="24"/>
          <w:lang w:eastAsia="en-GB"/>
          <w14:ligatures w14:val="none"/>
        </w:rPr>
        <w:t>Limitations</w:t>
      </w:r>
      <w:r w:rsidR="00F000B2">
        <w:rPr>
          <w:rFonts w:ascii="Arial" w:eastAsia="Times New Roman" w:hAnsi="Arial" w:cs="Arial"/>
          <w:b/>
          <w:bCs/>
          <w:kern w:val="0"/>
          <w:sz w:val="24"/>
          <w:szCs w:val="24"/>
          <w:lang w:eastAsia="en-GB"/>
          <w14:ligatures w14:val="none"/>
        </w:rPr>
        <w:br/>
      </w:r>
      <w:r w:rsidRPr="00A15739">
        <w:rPr>
          <w:rFonts w:ascii="Arial" w:eastAsia="Times New Roman" w:hAnsi="Arial" w:cs="Arial"/>
          <w:kern w:val="0"/>
          <w:sz w:val="24"/>
          <w:szCs w:val="24"/>
          <w:lang w:eastAsia="en-GB"/>
          <w14:ligatures w14:val="none"/>
        </w:rPr>
        <w:t>This evaluation has several limitations. First, the survey is voluntary, so findings may be affected by non</w:t>
      </w:r>
      <w:r w:rsidRPr="00A15739">
        <w:rPr>
          <w:rFonts w:ascii="Arial" w:eastAsia="Times New Roman" w:hAnsi="Arial" w:cs="Arial"/>
          <w:kern w:val="0"/>
          <w:sz w:val="24"/>
          <w:szCs w:val="24"/>
          <w:lang w:eastAsia="en-GB"/>
          <w14:ligatures w14:val="none"/>
        </w:rPr>
        <w:noBreakHyphen/>
        <w:t>response bias; respondents may differ systematically from non</w:t>
      </w:r>
      <w:r w:rsidRPr="00A15739">
        <w:rPr>
          <w:rFonts w:ascii="Arial" w:eastAsia="Times New Roman" w:hAnsi="Arial" w:cs="Arial"/>
          <w:kern w:val="0"/>
          <w:sz w:val="24"/>
          <w:szCs w:val="24"/>
          <w:lang w:eastAsia="en-GB"/>
          <w14:ligatures w14:val="none"/>
        </w:rPr>
        <w:noBreakHyphen/>
        <w:t>respondents (e.g., being more engaged or more satisfied), which may over</w:t>
      </w:r>
      <w:r w:rsidRPr="00A15739">
        <w:rPr>
          <w:rFonts w:ascii="Arial" w:eastAsia="Times New Roman" w:hAnsi="Arial" w:cs="Arial"/>
          <w:kern w:val="0"/>
          <w:sz w:val="24"/>
          <w:szCs w:val="24"/>
          <w:lang w:eastAsia="en-GB"/>
          <w14:ligatures w14:val="none"/>
        </w:rPr>
        <w:noBreakHyphen/>
        <w:t>represent positive experiences. Second, because the survey is anonymous, interviews are restricted to self</w:t>
      </w:r>
      <w:r w:rsidRPr="00A15739">
        <w:rPr>
          <w:rFonts w:ascii="Arial" w:eastAsia="Times New Roman" w:hAnsi="Arial" w:cs="Arial"/>
          <w:kern w:val="0"/>
          <w:sz w:val="24"/>
          <w:szCs w:val="24"/>
          <w:lang w:eastAsia="en-GB"/>
          <w14:ligatures w14:val="none"/>
        </w:rPr>
        <w:noBreakHyphen/>
        <w:t>referred volunteers; while this protects confidentiality, it may further increase self</w:t>
      </w:r>
      <w:r w:rsidRPr="00A15739">
        <w:rPr>
          <w:rFonts w:ascii="Arial" w:eastAsia="Times New Roman" w:hAnsi="Arial" w:cs="Arial"/>
          <w:kern w:val="0"/>
          <w:sz w:val="24"/>
          <w:szCs w:val="24"/>
          <w:lang w:eastAsia="en-GB"/>
          <w14:ligatures w14:val="none"/>
        </w:rPr>
        <w:noBreakHyphen/>
        <w:t>selection bias and limits how far interview insights can be assumed to reflect the wider enrolled cohort. Third, key measures rely on self</w:t>
      </w:r>
      <w:r w:rsidRPr="00A15739">
        <w:rPr>
          <w:rFonts w:ascii="Arial" w:eastAsia="Times New Roman" w:hAnsi="Arial" w:cs="Arial"/>
          <w:kern w:val="0"/>
          <w:sz w:val="24"/>
          <w:szCs w:val="24"/>
          <w:lang w:eastAsia="en-GB"/>
          <w14:ligatures w14:val="none"/>
        </w:rPr>
        <w:noBreakHyphen/>
        <w:t>report, which can be influenced by recall and social desirability, and cannot demonstrate causality between training and organisational outcomes (Baldwin and Ford, 1988; Holton, 1996). Finally, the researcher’s insider position may shape interpretation despite reflexive safeguards; this will be managed through transparent reporting, audit trails and acknowledging positionality when presenting conclusions (Brannick and Coghlan, 2007; Berger, 2015).</w:t>
      </w:r>
      <w:r w:rsidR="00CB1121">
        <w:rPr>
          <w:rFonts w:ascii="Arial" w:eastAsia="Times New Roman" w:hAnsi="Arial" w:cs="Arial"/>
          <w:kern w:val="0"/>
          <w:sz w:val="24"/>
          <w:szCs w:val="24"/>
          <w:lang w:eastAsia="en-GB"/>
          <w14:ligatures w14:val="none"/>
        </w:rPr>
        <w:t xml:space="preserve"> More broadly, the study does not aim to establish causal relationships between training and organisational outcomes, but to generate context</w:t>
      </w:r>
      <w:r w:rsidR="005B4789">
        <w:rPr>
          <w:rFonts w:ascii="Arial" w:eastAsia="Times New Roman" w:hAnsi="Arial" w:cs="Arial"/>
          <w:kern w:val="0"/>
          <w:sz w:val="24"/>
          <w:szCs w:val="24"/>
          <w:lang w:eastAsia="en-GB"/>
          <w14:ligatures w14:val="none"/>
        </w:rPr>
        <w:t>-sensitive explanations of how training is experienced and applied. Findings should therefore be interpreted as theoretically informed insights rather than generalisable conclusions</w:t>
      </w:r>
      <w:r w:rsidR="00A76116">
        <w:rPr>
          <w:rFonts w:ascii="Arial" w:eastAsia="Times New Roman" w:hAnsi="Arial" w:cs="Arial"/>
          <w:kern w:val="0"/>
          <w:sz w:val="24"/>
          <w:szCs w:val="24"/>
          <w:lang w:eastAsia="en-GB"/>
          <w14:ligatures w14:val="none"/>
        </w:rPr>
        <w:t xml:space="preserve"> (Yin, 2018).</w:t>
      </w:r>
    </w:p>
    <w:p w14:paraId="60FD1C94" w14:textId="77777777" w:rsidR="00FA5A75" w:rsidRDefault="00FA5A75"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0015419" w14:textId="77777777" w:rsidR="00431CEE" w:rsidRDefault="00431CEE" w:rsidP="00B75760">
      <w:pPr>
        <w:spacing w:before="100" w:beforeAutospacing="1" w:after="100" w:afterAutospacing="1" w:line="360" w:lineRule="auto"/>
        <w:jc w:val="both"/>
        <w:rPr>
          <w:rFonts w:ascii="Arial" w:hAnsi="Arial" w:cs="Arial"/>
          <w:b/>
          <w:bCs/>
          <w:sz w:val="28"/>
          <w:szCs w:val="28"/>
        </w:rPr>
      </w:pPr>
    </w:p>
    <w:p w14:paraId="18394795" w14:textId="77777777" w:rsidR="00431CEE" w:rsidRDefault="00431CEE" w:rsidP="00B75760">
      <w:pPr>
        <w:spacing w:before="100" w:beforeAutospacing="1" w:after="100" w:afterAutospacing="1" w:line="360" w:lineRule="auto"/>
        <w:jc w:val="both"/>
        <w:rPr>
          <w:rFonts w:ascii="Arial" w:hAnsi="Arial" w:cs="Arial"/>
          <w:b/>
          <w:bCs/>
          <w:sz w:val="28"/>
          <w:szCs w:val="28"/>
        </w:rPr>
      </w:pPr>
    </w:p>
    <w:p w14:paraId="72C9A4C7" w14:textId="77777777" w:rsidR="00431CEE" w:rsidRDefault="00431CEE" w:rsidP="00B75760">
      <w:pPr>
        <w:spacing w:before="100" w:beforeAutospacing="1" w:after="100" w:afterAutospacing="1" w:line="360" w:lineRule="auto"/>
        <w:jc w:val="both"/>
        <w:rPr>
          <w:rFonts w:ascii="Arial" w:hAnsi="Arial" w:cs="Arial"/>
          <w:b/>
          <w:bCs/>
          <w:sz w:val="28"/>
          <w:szCs w:val="28"/>
        </w:rPr>
      </w:pPr>
    </w:p>
    <w:p w14:paraId="2D881BBF" w14:textId="77777777" w:rsidR="00431CEE" w:rsidRDefault="00431CEE" w:rsidP="00B75760">
      <w:pPr>
        <w:spacing w:before="100" w:beforeAutospacing="1" w:after="100" w:afterAutospacing="1" w:line="360" w:lineRule="auto"/>
        <w:jc w:val="both"/>
        <w:rPr>
          <w:rFonts w:ascii="Arial" w:hAnsi="Arial" w:cs="Arial"/>
          <w:b/>
          <w:bCs/>
          <w:sz w:val="28"/>
          <w:szCs w:val="28"/>
        </w:rPr>
      </w:pPr>
    </w:p>
    <w:p w14:paraId="53435BAB" w14:textId="4CEE7EB0" w:rsidR="00E62475" w:rsidRPr="00FA5A75" w:rsidRDefault="00E62475" w:rsidP="00B75760">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hAnsi="Arial" w:cs="Arial"/>
          <w:b/>
          <w:bCs/>
          <w:sz w:val="28"/>
          <w:szCs w:val="28"/>
        </w:rPr>
        <w:lastRenderedPageBreak/>
        <w:t xml:space="preserve">Literature Review </w:t>
      </w:r>
    </w:p>
    <w:p w14:paraId="06D27C37" w14:textId="407C0981" w:rsidR="005A47B7" w:rsidRPr="005A47B7" w:rsidRDefault="005A47B7" w:rsidP="00B75760">
      <w:pPr>
        <w:spacing w:line="360" w:lineRule="auto"/>
        <w:jc w:val="both"/>
        <w:rPr>
          <w:rFonts w:ascii="Arial" w:hAnsi="Arial" w:cs="Arial"/>
          <w:color w:val="000000" w:themeColor="text1"/>
          <w:sz w:val="24"/>
          <w:szCs w:val="24"/>
        </w:rPr>
      </w:pPr>
      <w:r w:rsidRPr="005A47B7">
        <w:rPr>
          <w:rFonts w:ascii="Arial" w:hAnsi="Arial" w:cs="Arial"/>
          <w:color w:val="000000" w:themeColor="text1"/>
          <w:sz w:val="24"/>
          <w:szCs w:val="24"/>
        </w:rPr>
        <w:t xml:space="preserve">Strategic workforce planning </w:t>
      </w:r>
      <w:r w:rsidR="001D6B5F">
        <w:rPr>
          <w:rFonts w:ascii="Arial" w:hAnsi="Arial" w:cs="Arial"/>
          <w:color w:val="000000" w:themeColor="text1"/>
          <w:sz w:val="24"/>
          <w:szCs w:val="24"/>
        </w:rPr>
        <w:t xml:space="preserve">(SWfP) </w:t>
      </w:r>
      <w:r w:rsidR="00BC1A6C">
        <w:rPr>
          <w:rFonts w:ascii="Arial" w:hAnsi="Arial" w:cs="Arial"/>
          <w:color w:val="000000" w:themeColor="text1"/>
          <w:sz w:val="24"/>
          <w:szCs w:val="24"/>
        </w:rPr>
        <w:t>is widely recognised</w:t>
      </w:r>
      <w:r w:rsidRPr="005A47B7">
        <w:rPr>
          <w:rFonts w:ascii="Arial" w:hAnsi="Arial" w:cs="Arial"/>
          <w:color w:val="000000" w:themeColor="text1"/>
          <w:sz w:val="24"/>
          <w:szCs w:val="24"/>
        </w:rPr>
        <w:t xml:space="preserve"> as a global priority in response to the increasing complexity and demands placed upon health systems worldwide. Health services are grappling with the dual pressures of ageing populations and rising multimorbidity, which have intensified the need for a well-prepared, adaptable, and sustainable health workforce</w:t>
      </w:r>
      <w:r w:rsidR="00862762">
        <w:rPr>
          <w:rFonts w:ascii="Arial" w:hAnsi="Arial" w:cs="Arial"/>
          <w:color w:val="000000" w:themeColor="text1"/>
          <w:sz w:val="24"/>
          <w:szCs w:val="24"/>
        </w:rPr>
        <w:t>.</w:t>
      </w:r>
      <w:r w:rsidRPr="005A47B7">
        <w:rPr>
          <w:rFonts w:ascii="Arial" w:hAnsi="Arial" w:cs="Arial"/>
          <w:color w:val="000000" w:themeColor="text1"/>
          <w:sz w:val="24"/>
          <w:szCs w:val="24"/>
        </w:rPr>
        <w:t xml:space="preserve"> </w:t>
      </w:r>
      <w:r w:rsidR="002B71C1" w:rsidRPr="002B71C1">
        <w:rPr>
          <w:rFonts w:ascii="Arial" w:hAnsi="Arial" w:cs="Arial"/>
          <w:color w:val="000000" w:themeColor="text1"/>
          <w:sz w:val="24"/>
          <w:szCs w:val="24"/>
        </w:rPr>
        <w:t xml:space="preserve">The WHO’s </w:t>
      </w:r>
      <w:r w:rsidR="002B71C1" w:rsidRPr="002B71C1">
        <w:rPr>
          <w:rFonts w:ascii="Arial" w:hAnsi="Arial" w:cs="Arial"/>
          <w:i/>
          <w:iCs/>
          <w:color w:val="000000" w:themeColor="text1"/>
          <w:sz w:val="24"/>
          <w:szCs w:val="24"/>
        </w:rPr>
        <w:t>Global Strategy on Human Resources for Health: Workforce 2030</w:t>
      </w:r>
      <w:r w:rsidR="002B71C1" w:rsidRPr="002B71C1">
        <w:rPr>
          <w:rFonts w:ascii="Arial" w:hAnsi="Arial" w:cs="Arial"/>
          <w:color w:val="000000" w:themeColor="text1"/>
          <w:sz w:val="24"/>
          <w:szCs w:val="24"/>
        </w:rPr>
        <w:t xml:space="preserve"> links </w:t>
      </w:r>
      <w:r w:rsidR="004360F2">
        <w:rPr>
          <w:rFonts w:ascii="Arial" w:hAnsi="Arial" w:cs="Arial"/>
          <w:color w:val="000000" w:themeColor="text1"/>
          <w:sz w:val="24"/>
          <w:szCs w:val="24"/>
        </w:rPr>
        <w:t>WfP</w:t>
      </w:r>
      <w:r w:rsidR="002B71C1" w:rsidRPr="002B71C1">
        <w:rPr>
          <w:rFonts w:ascii="Arial" w:hAnsi="Arial" w:cs="Arial"/>
          <w:color w:val="000000" w:themeColor="text1"/>
          <w:sz w:val="24"/>
          <w:szCs w:val="24"/>
        </w:rPr>
        <w:t xml:space="preserve"> and development to universal health coverage and wider sustainability goals, positioning workforce capacity as a core determinant of system performance and resilience (World Health Organi</w:t>
      </w:r>
      <w:r w:rsidR="00833445">
        <w:rPr>
          <w:rFonts w:ascii="Arial" w:hAnsi="Arial" w:cs="Arial"/>
          <w:color w:val="000000" w:themeColor="text1"/>
          <w:sz w:val="24"/>
          <w:szCs w:val="24"/>
        </w:rPr>
        <w:t>z</w:t>
      </w:r>
      <w:r w:rsidR="002B71C1" w:rsidRPr="002B71C1">
        <w:rPr>
          <w:rFonts w:ascii="Arial" w:hAnsi="Arial" w:cs="Arial"/>
          <w:color w:val="000000" w:themeColor="text1"/>
          <w:sz w:val="24"/>
          <w:szCs w:val="24"/>
        </w:rPr>
        <w:t>ation, 2016)</w:t>
      </w:r>
      <w:r w:rsidRPr="005A47B7">
        <w:rPr>
          <w:rFonts w:ascii="Arial" w:hAnsi="Arial" w:cs="Arial"/>
          <w:color w:val="000000" w:themeColor="text1"/>
          <w:sz w:val="24"/>
          <w:szCs w:val="24"/>
        </w:rPr>
        <w:t>.</w:t>
      </w:r>
    </w:p>
    <w:p w14:paraId="64AB719F" w14:textId="736584F4" w:rsidR="00AA72B2" w:rsidRPr="00AA72B2" w:rsidRDefault="005A47B7" w:rsidP="00B75760">
      <w:pPr>
        <w:spacing w:line="360" w:lineRule="auto"/>
        <w:jc w:val="both"/>
        <w:rPr>
          <w:rFonts w:ascii="Arial" w:hAnsi="Arial" w:cs="Arial"/>
          <w:color w:val="000000" w:themeColor="text1"/>
          <w:sz w:val="24"/>
          <w:szCs w:val="24"/>
        </w:rPr>
      </w:pPr>
      <w:r w:rsidRPr="005A47B7">
        <w:rPr>
          <w:rFonts w:ascii="Arial" w:hAnsi="Arial" w:cs="Arial"/>
          <w:color w:val="000000" w:themeColor="text1"/>
          <w:sz w:val="24"/>
          <w:szCs w:val="24"/>
        </w:rPr>
        <w:t xml:space="preserve">In high-income </w:t>
      </w:r>
      <w:r w:rsidR="008D6323">
        <w:rPr>
          <w:rFonts w:ascii="Arial" w:hAnsi="Arial" w:cs="Arial"/>
          <w:color w:val="000000" w:themeColor="text1"/>
          <w:sz w:val="24"/>
          <w:szCs w:val="24"/>
        </w:rPr>
        <w:t>settings</w:t>
      </w:r>
      <w:r w:rsidRPr="005A47B7">
        <w:rPr>
          <w:rFonts w:ascii="Arial" w:hAnsi="Arial" w:cs="Arial"/>
          <w:color w:val="000000" w:themeColor="text1"/>
          <w:sz w:val="24"/>
          <w:szCs w:val="24"/>
        </w:rPr>
        <w:t xml:space="preserve">, </w:t>
      </w:r>
      <w:r w:rsidR="008D6323" w:rsidRPr="008D6323">
        <w:rPr>
          <w:rFonts w:ascii="Arial" w:hAnsi="Arial" w:cs="Arial"/>
          <w:color w:val="000000" w:themeColor="text1"/>
          <w:sz w:val="24"/>
          <w:szCs w:val="24"/>
        </w:rPr>
        <w:t>workforce pressures are often described through shortages, retention challenges and mismatches between skills and service requirements.</w:t>
      </w:r>
      <w:r w:rsidR="00AA72B2">
        <w:rPr>
          <w:rFonts w:ascii="Arial" w:hAnsi="Arial" w:cs="Arial"/>
          <w:color w:val="000000" w:themeColor="text1"/>
          <w:sz w:val="24"/>
          <w:szCs w:val="24"/>
        </w:rPr>
        <w:t xml:space="preserve"> </w:t>
      </w:r>
      <w:r w:rsidR="00AA72B2" w:rsidRPr="00AA72B2">
        <w:rPr>
          <w:rFonts w:ascii="Arial" w:hAnsi="Arial" w:cs="Arial"/>
          <w:color w:val="000000" w:themeColor="text1"/>
          <w:sz w:val="24"/>
          <w:szCs w:val="24"/>
        </w:rPr>
        <w:t xml:space="preserve">The Lancet Commission argues that education and health systems have not adapted fast enough to new patterns of need, producing gaps between workforce competencies and what care systems require (Frenk </w:t>
      </w:r>
      <w:r w:rsidR="00AA72B2" w:rsidRPr="00AA72B2">
        <w:rPr>
          <w:rFonts w:ascii="Arial" w:hAnsi="Arial" w:cs="Arial"/>
          <w:i/>
          <w:iCs/>
          <w:color w:val="000000" w:themeColor="text1"/>
          <w:sz w:val="24"/>
          <w:szCs w:val="24"/>
        </w:rPr>
        <w:t>et al.</w:t>
      </w:r>
      <w:r w:rsidR="00AA72B2" w:rsidRPr="00AA72B2">
        <w:rPr>
          <w:rFonts w:ascii="Arial" w:hAnsi="Arial" w:cs="Arial"/>
          <w:color w:val="000000" w:themeColor="text1"/>
          <w:sz w:val="24"/>
          <w:szCs w:val="24"/>
        </w:rPr>
        <w:t xml:space="preserve">, 2010). This has driven a shift away from </w:t>
      </w:r>
      <w:r w:rsidR="00AA72B2">
        <w:rPr>
          <w:rFonts w:ascii="Arial" w:hAnsi="Arial" w:cs="Arial"/>
          <w:color w:val="000000" w:themeColor="text1"/>
          <w:sz w:val="24"/>
          <w:szCs w:val="24"/>
        </w:rPr>
        <w:t>‘</w:t>
      </w:r>
      <w:r w:rsidR="00AA72B2" w:rsidRPr="00AA72B2">
        <w:rPr>
          <w:rFonts w:ascii="Arial" w:hAnsi="Arial" w:cs="Arial"/>
          <w:color w:val="000000" w:themeColor="text1"/>
          <w:sz w:val="24"/>
          <w:szCs w:val="24"/>
        </w:rPr>
        <w:t>static</w:t>
      </w:r>
      <w:r w:rsidR="00AA72B2">
        <w:rPr>
          <w:rFonts w:ascii="Arial" w:hAnsi="Arial" w:cs="Arial"/>
          <w:color w:val="000000" w:themeColor="text1"/>
          <w:sz w:val="24"/>
          <w:szCs w:val="24"/>
        </w:rPr>
        <w:t>’</w:t>
      </w:r>
      <w:r w:rsidR="00AA72B2" w:rsidRPr="00AA72B2">
        <w:rPr>
          <w:rFonts w:ascii="Arial" w:hAnsi="Arial" w:cs="Arial"/>
          <w:color w:val="000000" w:themeColor="text1"/>
          <w:sz w:val="24"/>
          <w:szCs w:val="24"/>
        </w:rPr>
        <w:t xml:space="preserve"> planning assumptions toward approaches that are more data</w:t>
      </w:r>
      <w:r w:rsidR="00AA72B2" w:rsidRPr="00AA72B2">
        <w:rPr>
          <w:rFonts w:ascii="Arial" w:hAnsi="Arial" w:cs="Arial"/>
          <w:color w:val="000000" w:themeColor="text1"/>
          <w:sz w:val="24"/>
          <w:szCs w:val="24"/>
        </w:rPr>
        <w:noBreakHyphen/>
        <w:t>informed and responsive to changing models of care. Even within nursing workforce debates, shortages are framed as recurrent and not solvable by increasing supply alone, reinforcing the need for strategies that address the structural drivers of workforce imbalance (Buchan, Duffield and Jordan, 2015).</w:t>
      </w:r>
    </w:p>
    <w:p w14:paraId="3033B8F9" w14:textId="266CE0CF" w:rsidR="00F37171" w:rsidRPr="00F37171" w:rsidRDefault="00F37171" w:rsidP="00B75760">
      <w:pPr>
        <w:spacing w:line="360" w:lineRule="auto"/>
        <w:jc w:val="both"/>
        <w:rPr>
          <w:rFonts w:ascii="Arial" w:hAnsi="Arial" w:cs="Arial"/>
          <w:color w:val="000000" w:themeColor="text1"/>
          <w:sz w:val="24"/>
          <w:szCs w:val="24"/>
        </w:rPr>
      </w:pPr>
      <w:r w:rsidRPr="00F37171">
        <w:rPr>
          <w:rFonts w:ascii="Arial" w:hAnsi="Arial" w:cs="Arial"/>
          <w:color w:val="000000" w:themeColor="text1"/>
          <w:sz w:val="24"/>
          <w:szCs w:val="24"/>
        </w:rPr>
        <w:t xml:space="preserve">A key divergence in the literature is whether SWfP is primarily a technical forecasting activity (supply/demand modelling, headcount projections) or a strategic lever for service transformation. WHO guidance on </w:t>
      </w:r>
      <w:r w:rsidR="004360F2">
        <w:rPr>
          <w:rFonts w:ascii="Arial" w:hAnsi="Arial" w:cs="Arial"/>
          <w:color w:val="000000" w:themeColor="text1"/>
          <w:sz w:val="24"/>
          <w:szCs w:val="24"/>
        </w:rPr>
        <w:t>WfP</w:t>
      </w:r>
      <w:r w:rsidRPr="00F37171">
        <w:rPr>
          <w:rFonts w:ascii="Arial" w:hAnsi="Arial" w:cs="Arial"/>
          <w:color w:val="000000" w:themeColor="text1"/>
          <w:sz w:val="24"/>
          <w:szCs w:val="24"/>
        </w:rPr>
        <w:t xml:space="preserve"> tools emphasises evidence</w:t>
      </w:r>
      <w:r w:rsidRPr="00F37171">
        <w:rPr>
          <w:rFonts w:ascii="Arial" w:hAnsi="Arial" w:cs="Arial"/>
          <w:color w:val="000000" w:themeColor="text1"/>
          <w:sz w:val="24"/>
          <w:szCs w:val="24"/>
        </w:rPr>
        <w:noBreakHyphen/>
        <w:t>based planning and projection methods (World Health Organi</w:t>
      </w:r>
      <w:r w:rsidR="00833445">
        <w:rPr>
          <w:rFonts w:ascii="Arial" w:hAnsi="Arial" w:cs="Arial"/>
          <w:color w:val="000000" w:themeColor="text1"/>
          <w:sz w:val="24"/>
          <w:szCs w:val="24"/>
        </w:rPr>
        <w:t>z</w:t>
      </w:r>
      <w:r w:rsidRPr="00F37171">
        <w:rPr>
          <w:rFonts w:ascii="Arial" w:hAnsi="Arial" w:cs="Arial"/>
          <w:color w:val="000000" w:themeColor="text1"/>
          <w:sz w:val="24"/>
          <w:szCs w:val="24"/>
        </w:rPr>
        <w:t>ation, 2010), whereas more recent synthesis highlights that leading practice is iterative, mixed</w:t>
      </w:r>
      <w:r w:rsidRPr="00F37171">
        <w:rPr>
          <w:rFonts w:ascii="Arial" w:hAnsi="Arial" w:cs="Arial"/>
          <w:color w:val="000000" w:themeColor="text1"/>
          <w:sz w:val="24"/>
          <w:szCs w:val="24"/>
        </w:rPr>
        <w:noBreakHyphen/>
        <w:t>method, locally relevant, and designed to be robust under uncertainty (Simkin, Chamberland</w:t>
      </w:r>
      <w:r w:rsidRPr="00F37171">
        <w:rPr>
          <w:rFonts w:ascii="Arial" w:hAnsi="Arial" w:cs="Arial"/>
          <w:color w:val="000000" w:themeColor="text1"/>
          <w:sz w:val="24"/>
          <w:szCs w:val="24"/>
        </w:rPr>
        <w:noBreakHyphen/>
        <w:t xml:space="preserve">Rowe and Bourgeault, 2024). This distinction matters for evaluation: if </w:t>
      </w:r>
      <w:r w:rsidR="003D00F9">
        <w:rPr>
          <w:rFonts w:ascii="Arial" w:hAnsi="Arial" w:cs="Arial"/>
          <w:color w:val="000000" w:themeColor="text1"/>
          <w:sz w:val="24"/>
          <w:szCs w:val="24"/>
        </w:rPr>
        <w:t>SWfP</w:t>
      </w:r>
      <w:r w:rsidRPr="00F37171">
        <w:rPr>
          <w:rFonts w:ascii="Arial" w:hAnsi="Arial" w:cs="Arial"/>
          <w:color w:val="000000" w:themeColor="text1"/>
          <w:sz w:val="24"/>
          <w:szCs w:val="24"/>
        </w:rPr>
        <w:t xml:space="preserve"> is treated mainly as forecasting, training success can be assessed largely through technical competence; if SWfP is a transformation function, training must also support implementation, cross</w:t>
      </w:r>
      <w:r w:rsidRPr="00F37171">
        <w:rPr>
          <w:rFonts w:ascii="Arial" w:hAnsi="Arial" w:cs="Arial"/>
          <w:color w:val="000000" w:themeColor="text1"/>
          <w:sz w:val="24"/>
          <w:szCs w:val="24"/>
        </w:rPr>
        <w:noBreakHyphen/>
        <w:t>functional working and practice change over time.</w:t>
      </w:r>
      <w:r w:rsidR="00745F7E">
        <w:rPr>
          <w:rFonts w:ascii="Arial" w:hAnsi="Arial" w:cs="Arial"/>
          <w:color w:val="000000" w:themeColor="text1"/>
          <w:sz w:val="24"/>
          <w:szCs w:val="24"/>
        </w:rPr>
        <w:t xml:space="preserve"> These tensions reflect a broader ambiguity in the field</w:t>
      </w:r>
      <w:r w:rsidR="00F532AC">
        <w:rPr>
          <w:rFonts w:ascii="Arial" w:hAnsi="Arial" w:cs="Arial"/>
          <w:color w:val="000000" w:themeColor="text1"/>
          <w:sz w:val="24"/>
          <w:szCs w:val="24"/>
        </w:rPr>
        <w:t>, where workforce planning is conceptualised simultaneously as a technical function and a mechanism for system transformation.</w:t>
      </w:r>
    </w:p>
    <w:p w14:paraId="0D148E91" w14:textId="19171CD4" w:rsidR="006424C6" w:rsidRPr="006424C6" w:rsidRDefault="006424C6" w:rsidP="00B75760">
      <w:pPr>
        <w:spacing w:line="360" w:lineRule="auto"/>
        <w:jc w:val="both"/>
        <w:rPr>
          <w:rFonts w:ascii="Arial" w:hAnsi="Arial" w:cs="Arial"/>
          <w:color w:val="000000" w:themeColor="text1"/>
          <w:sz w:val="24"/>
          <w:szCs w:val="24"/>
        </w:rPr>
      </w:pPr>
      <w:r w:rsidRPr="006424C6">
        <w:rPr>
          <w:rFonts w:ascii="Arial" w:hAnsi="Arial" w:cs="Arial"/>
          <w:color w:val="000000" w:themeColor="text1"/>
          <w:sz w:val="24"/>
          <w:szCs w:val="24"/>
        </w:rPr>
        <w:lastRenderedPageBreak/>
        <w:t>UK policy and practice debates increasingly align with the second view. The Nuffield Trust’s analysis of workforce redesign argues that meeting future need requires reshaping roles and skills</w:t>
      </w:r>
      <w:r w:rsidR="00E36797">
        <w:rPr>
          <w:rFonts w:ascii="Arial" w:hAnsi="Arial" w:cs="Arial"/>
          <w:color w:val="000000" w:themeColor="text1"/>
          <w:sz w:val="24"/>
          <w:szCs w:val="24"/>
        </w:rPr>
        <w:t xml:space="preserve">, </w:t>
      </w:r>
      <w:r w:rsidRPr="006424C6">
        <w:rPr>
          <w:rFonts w:ascii="Arial" w:hAnsi="Arial" w:cs="Arial"/>
          <w:color w:val="000000" w:themeColor="text1"/>
          <w:sz w:val="24"/>
          <w:szCs w:val="24"/>
        </w:rPr>
        <w:t>not only counting staff</w:t>
      </w:r>
      <w:r w:rsidR="00E36797">
        <w:rPr>
          <w:rFonts w:ascii="Arial" w:hAnsi="Arial" w:cs="Arial"/>
          <w:color w:val="000000" w:themeColor="text1"/>
          <w:sz w:val="24"/>
          <w:szCs w:val="24"/>
        </w:rPr>
        <w:t xml:space="preserve">, </w:t>
      </w:r>
      <w:r w:rsidRPr="006424C6">
        <w:rPr>
          <w:rFonts w:ascii="Arial" w:hAnsi="Arial" w:cs="Arial"/>
          <w:color w:val="000000" w:themeColor="text1"/>
          <w:sz w:val="24"/>
          <w:szCs w:val="24"/>
        </w:rPr>
        <w:t>while also warning that redesign can fail without careful implementation and organisational support (Imison, Castle</w:t>
      </w:r>
      <w:r w:rsidRPr="006424C6">
        <w:rPr>
          <w:rFonts w:ascii="Arial" w:hAnsi="Arial" w:cs="Arial"/>
          <w:color w:val="000000" w:themeColor="text1"/>
          <w:sz w:val="24"/>
          <w:szCs w:val="24"/>
        </w:rPr>
        <w:noBreakHyphen/>
        <w:t xml:space="preserve">Clarke and Watson, 2016). This implies that </w:t>
      </w:r>
      <w:r w:rsidR="003D00F9">
        <w:rPr>
          <w:rFonts w:ascii="Arial" w:hAnsi="Arial" w:cs="Arial"/>
          <w:color w:val="000000" w:themeColor="text1"/>
          <w:sz w:val="24"/>
          <w:szCs w:val="24"/>
        </w:rPr>
        <w:t>SWfP</w:t>
      </w:r>
      <w:r w:rsidRPr="006424C6">
        <w:rPr>
          <w:rFonts w:ascii="Arial" w:hAnsi="Arial" w:cs="Arial"/>
          <w:color w:val="000000" w:themeColor="text1"/>
          <w:sz w:val="24"/>
          <w:szCs w:val="24"/>
        </w:rPr>
        <w:t xml:space="preserve"> capability is not only about methods, but about whether individuals and organisations can mobilise them in decision</w:t>
      </w:r>
      <w:r w:rsidRPr="006424C6">
        <w:rPr>
          <w:rFonts w:ascii="Arial" w:hAnsi="Arial" w:cs="Arial"/>
          <w:color w:val="000000" w:themeColor="text1"/>
          <w:sz w:val="24"/>
          <w:szCs w:val="24"/>
        </w:rPr>
        <w:noBreakHyphen/>
        <w:t>making contexts.</w:t>
      </w:r>
    </w:p>
    <w:p w14:paraId="118F587F" w14:textId="6D240337" w:rsidR="008D6323" w:rsidRPr="008D6323" w:rsidRDefault="00F412F6" w:rsidP="00B75760">
      <w:pPr>
        <w:spacing w:line="360" w:lineRule="auto"/>
        <w:jc w:val="both"/>
        <w:rPr>
          <w:rFonts w:ascii="Arial" w:hAnsi="Arial" w:cs="Arial"/>
          <w:color w:val="000000" w:themeColor="text1"/>
          <w:sz w:val="24"/>
          <w:szCs w:val="24"/>
        </w:rPr>
      </w:pPr>
      <w:r w:rsidRPr="00F412F6">
        <w:rPr>
          <w:rFonts w:ascii="Arial" w:hAnsi="Arial" w:cs="Arial"/>
          <w:color w:val="000000" w:themeColor="text1"/>
          <w:sz w:val="24"/>
          <w:szCs w:val="24"/>
        </w:rPr>
        <w:t>A second important difference is where capability is located. Some literature emphasises individual competence (analytical skill, scenario planning, stakeholder engagement); other work treats capability as a system property, shaped by governance, data infrastructure, integration with finance/service planning, and organisational readiness (World Health Organi</w:t>
      </w:r>
      <w:r w:rsidR="00833445">
        <w:rPr>
          <w:rFonts w:ascii="Arial" w:hAnsi="Arial" w:cs="Arial"/>
          <w:color w:val="000000" w:themeColor="text1"/>
          <w:sz w:val="24"/>
          <w:szCs w:val="24"/>
        </w:rPr>
        <w:t>z</w:t>
      </w:r>
      <w:r w:rsidRPr="00F412F6">
        <w:rPr>
          <w:rFonts w:ascii="Arial" w:hAnsi="Arial" w:cs="Arial"/>
          <w:color w:val="000000" w:themeColor="text1"/>
          <w:sz w:val="24"/>
          <w:szCs w:val="24"/>
        </w:rPr>
        <w:t xml:space="preserve">ation, 2010). This </w:t>
      </w:r>
      <w:r w:rsidR="0094168B">
        <w:rPr>
          <w:rFonts w:ascii="Arial" w:hAnsi="Arial" w:cs="Arial"/>
          <w:color w:val="000000" w:themeColor="text1"/>
          <w:sz w:val="24"/>
          <w:szCs w:val="24"/>
        </w:rPr>
        <w:t>distinction is important</w:t>
      </w:r>
      <w:r w:rsidR="006E4629">
        <w:rPr>
          <w:rFonts w:ascii="Arial" w:hAnsi="Arial" w:cs="Arial"/>
          <w:color w:val="000000" w:themeColor="text1"/>
          <w:sz w:val="24"/>
          <w:szCs w:val="24"/>
        </w:rPr>
        <w:t xml:space="preserve"> for evaluating </w:t>
      </w:r>
      <w:r w:rsidRPr="00F412F6">
        <w:rPr>
          <w:rFonts w:ascii="Arial" w:hAnsi="Arial" w:cs="Arial"/>
          <w:color w:val="000000" w:themeColor="text1"/>
          <w:sz w:val="24"/>
          <w:szCs w:val="24"/>
        </w:rPr>
        <w:t>training</w:t>
      </w:r>
      <w:r w:rsidR="006E4629">
        <w:rPr>
          <w:rFonts w:ascii="Arial" w:hAnsi="Arial" w:cs="Arial"/>
          <w:color w:val="000000" w:themeColor="text1"/>
          <w:sz w:val="24"/>
          <w:szCs w:val="24"/>
        </w:rPr>
        <w:t>, as</w:t>
      </w:r>
      <w:r w:rsidRPr="00F412F6">
        <w:rPr>
          <w:rFonts w:ascii="Arial" w:hAnsi="Arial" w:cs="Arial"/>
          <w:color w:val="000000" w:themeColor="text1"/>
          <w:sz w:val="24"/>
          <w:szCs w:val="24"/>
        </w:rPr>
        <w:t xml:space="preserve"> outcomes </w:t>
      </w:r>
      <w:r w:rsidR="006E4629">
        <w:rPr>
          <w:rFonts w:ascii="Arial" w:hAnsi="Arial" w:cs="Arial"/>
          <w:color w:val="000000" w:themeColor="text1"/>
          <w:sz w:val="24"/>
          <w:szCs w:val="24"/>
        </w:rPr>
        <w:t xml:space="preserve">depend not only on technical competence but on </w:t>
      </w:r>
      <w:r w:rsidR="00833445">
        <w:rPr>
          <w:rFonts w:ascii="Arial" w:hAnsi="Arial" w:cs="Arial"/>
          <w:color w:val="000000" w:themeColor="text1"/>
          <w:sz w:val="24"/>
          <w:szCs w:val="24"/>
        </w:rPr>
        <w:t>organisational</w:t>
      </w:r>
      <w:r w:rsidR="006E4629">
        <w:rPr>
          <w:rFonts w:ascii="Arial" w:hAnsi="Arial" w:cs="Arial"/>
          <w:color w:val="000000" w:themeColor="text1"/>
          <w:sz w:val="24"/>
          <w:szCs w:val="24"/>
        </w:rPr>
        <w:t xml:space="preserve"> capacity to appl</w:t>
      </w:r>
      <w:r w:rsidRPr="00F412F6">
        <w:rPr>
          <w:rFonts w:ascii="Arial" w:hAnsi="Arial" w:cs="Arial"/>
          <w:color w:val="000000" w:themeColor="text1"/>
          <w:sz w:val="24"/>
          <w:szCs w:val="24"/>
        </w:rPr>
        <w:t>y learning</w:t>
      </w:r>
      <w:r w:rsidR="006E4629">
        <w:rPr>
          <w:rFonts w:ascii="Arial" w:hAnsi="Arial" w:cs="Arial"/>
          <w:color w:val="000000" w:themeColor="text1"/>
          <w:sz w:val="24"/>
          <w:szCs w:val="24"/>
        </w:rPr>
        <w:t xml:space="preserve"> in practice.</w:t>
      </w:r>
    </w:p>
    <w:p w14:paraId="537A35BA" w14:textId="07E131BD" w:rsidR="005A47B7" w:rsidRDefault="005A47B7" w:rsidP="00B75760">
      <w:pPr>
        <w:spacing w:line="360" w:lineRule="auto"/>
        <w:jc w:val="both"/>
        <w:rPr>
          <w:rFonts w:ascii="Arial" w:hAnsi="Arial" w:cs="Arial"/>
          <w:sz w:val="24"/>
          <w:szCs w:val="24"/>
        </w:rPr>
      </w:pPr>
      <w:r w:rsidRPr="005A47B7">
        <w:rPr>
          <w:rFonts w:ascii="Arial" w:hAnsi="Arial" w:cs="Arial"/>
          <w:color w:val="000000" w:themeColor="text1"/>
          <w:sz w:val="24"/>
          <w:szCs w:val="24"/>
        </w:rPr>
        <w:t xml:space="preserve">Globally, there is a shift towards continuous professional development and lifelong learning to ensure that healthcare professionals can adapt to changing roles and service models. This includes the development of specific competencies in areas such as digital health, population health management, and interprofessional collaboration. The need for such programmes is particularly acute in systems undergoing transformation, where </w:t>
      </w:r>
      <w:r w:rsidR="00834C72">
        <w:rPr>
          <w:rFonts w:ascii="Arial" w:hAnsi="Arial" w:cs="Arial"/>
          <w:color w:val="000000" w:themeColor="text1"/>
          <w:sz w:val="24"/>
          <w:szCs w:val="24"/>
        </w:rPr>
        <w:t>SWfP</w:t>
      </w:r>
      <w:r w:rsidRPr="005A47B7">
        <w:rPr>
          <w:rFonts w:ascii="Arial" w:hAnsi="Arial" w:cs="Arial"/>
          <w:color w:val="000000" w:themeColor="text1"/>
          <w:sz w:val="24"/>
          <w:szCs w:val="24"/>
        </w:rPr>
        <w:t xml:space="preserve"> must be proactive and responsive to emerging health priorities (Dussault and Franceschini, 2006).</w:t>
      </w:r>
      <w:r w:rsidR="00E66903">
        <w:rPr>
          <w:rFonts w:ascii="Arial" w:hAnsi="Arial" w:cs="Arial"/>
          <w:color w:val="000000" w:themeColor="text1"/>
          <w:sz w:val="24"/>
          <w:szCs w:val="24"/>
        </w:rPr>
        <w:t xml:space="preserve"> </w:t>
      </w:r>
      <w:r w:rsidR="00E66903" w:rsidRPr="00BC39CC">
        <w:rPr>
          <w:rFonts w:ascii="Arial" w:hAnsi="Arial" w:cs="Arial"/>
          <w:sz w:val="24"/>
          <w:szCs w:val="24"/>
        </w:rPr>
        <w:t xml:space="preserve">In the UK context, workforce debates increasingly emphasise role redesign and new care models, suggesting that </w:t>
      </w:r>
      <w:r w:rsidR="00F60FB1">
        <w:rPr>
          <w:rFonts w:ascii="Arial" w:hAnsi="Arial" w:cs="Arial"/>
          <w:sz w:val="24"/>
          <w:szCs w:val="24"/>
        </w:rPr>
        <w:t>‘</w:t>
      </w:r>
      <w:r w:rsidR="00E66903" w:rsidRPr="00BC39CC">
        <w:rPr>
          <w:rFonts w:ascii="Arial" w:hAnsi="Arial" w:cs="Arial"/>
          <w:sz w:val="24"/>
          <w:szCs w:val="24"/>
        </w:rPr>
        <w:t>planning</w:t>
      </w:r>
      <w:r w:rsidR="00F60FB1">
        <w:rPr>
          <w:rFonts w:ascii="Arial" w:hAnsi="Arial" w:cs="Arial"/>
          <w:sz w:val="24"/>
          <w:szCs w:val="24"/>
        </w:rPr>
        <w:t>’</w:t>
      </w:r>
      <w:r w:rsidR="00E66903" w:rsidRPr="00BC39CC">
        <w:rPr>
          <w:rFonts w:ascii="Arial" w:hAnsi="Arial" w:cs="Arial"/>
          <w:sz w:val="24"/>
          <w:szCs w:val="24"/>
        </w:rPr>
        <w:t xml:space="preserve"> must include the capacity to redesign tasks, pathways, and teams—not simply estimate future numbers (Imison, Castle</w:t>
      </w:r>
      <w:r w:rsidR="00E66903" w:rsidRPr="00BC39CC">
        <w:rPr>
          <w:rFonts w:ascii="Arial" w:hAnsi="Arial" w:cs="Arial"/>
          <w:sz w:val="24"/>
          <w:szCs w:val="24"/>
        </w:rPr>
        <w:noBreakHyphen/>
        <w:t>Clarke and Watson, 2016</w:t>
      </w:r>
      <w:r w:rsidR="00F60FB1">
        <w:rPr>
          <w:rFonts w:ascii="Arial" w:hAnsi="Arial" w:cs="Arial"/>
          <w:sz w:val="24"/>
          <w:szCs w:val="24"/>
        </w:rPr>
        <w:t>).</w:t>
      </w:r>
    </w:p>
    <w:p w14:paraId="126BF35F" w14:textId="4EBD155C" w:rsidR="005A47B7" w:rsidRDefault="005A47B7" w:rsidP="00B75760">
      <w:pPr>
        <w:spacing w:line="360" w:lineRule="auto"/>
        <w:jc w:val="both"/>
        <w:rPr>
          <w:rFonts w:ascii="Arial" w:hAnsi="Arial" w:cs="Arial"/>
          <w:color w:val="000000" w:themeColor="text1"/>
          <w:sz w:val="24"/>
          <w:szCs w:val="24"/>
        </w:rPr>
      </w:pPr>
      <w:r w:rsidRPr="005A47B7">
        <w:rPr>
          <w:rFonts w:ascii="Arial" w:hAnsi="Arial" w:cs="Arial"/>
          <w:color w:val="000000" w:themeColor="text1"/>
          <w:sz w:val="24"/>
          <w:szCs w:val="24"/>
        </w:rPr>
        <w:t xml:space="preserve">Against this backdrop, evaluating the effectiveness of </w:t>
      </w:r>
      <w:r w:rsidR="00834C72">
        <w:rPr>
          <w:rFonts w:ascii="Arial" w:hAnsi="Arial" w:cs="Arial"/>
          <w:color w:val="000000" w:themeColor="text1"/>
          <w:sz w:val="24"/>
          <w:szCs w:val="24"/>
        </w:rPr>
        <w:t>SWfP</w:t>
      </w:r>
      <w:r w:rsidRPr="005A47B7">
        <w:rPr>
          <w:rFonts w:ascii="Arial" w:hAnsi="Arial" w:cs="Arial"/>
          <w:color w:val="000000" w:themeColor="text1"/>
          <w:sz w:val="24"/>
          <w:szCs w:val="24"/>
        </w:rPr>
        <w:t xml:space="preserve"> training initiatives becomes essential. Understanding whether such programmes lead to tangible improvements in workforce capability and service delivery is critical for ensuring that investments in training yield meaningful outcomes. This global imperative provides the foundation for examining how national and regional health systems, such as NHS Wales, are responding to workforce challenges through strategic training interventions.</w:t>
      </w:r>
    </w:p>
    <w:p w14:paraId="76C6DA37" w14:textId="29437E3B" w:rsidR="00F30AA7" w:rsidRPr="00F30AA7" w:rsidRDefault="00F30AA7" w:rsidP="00B75760">
      <w:pPr>
        <w:spacing w:line="360" w:lineRule="auto"/>
        <w:jc w:val="both"/>
        <w:rPr>
          <w:rFonts w:ascii="Arial" w:hAnsi="Arial" w:cs="Arial"/>
          <w:color w:val="000000" w:themeColor="text1"/>
          <w:sz w:val="24"/>
          <w:szCs w:val="24"/>
        </w:rPr>
      </w:pPr>
      <w:r w:rsidRPr="00F30AA7">
        <w:rPr>
          <w:rFonts w:ascii="Arial" w:hAnsi="Arial" w:cs="Arial"/>
          <w:color w:val="000000" w:themeColor="text1"/>
          <w:sz w:val="24"/>
          <w:szCs w:val="24"/>
        </w:rPr>
        <w:lastRenderedPageBreak/>
        <w:t xml:space="preserve">This </w:t>
      </w:r>
      <w:r w:rsidR="00857327">
        <w:rPr>
          <w:rFonts w:ascii="Arial" w:hAnsi="Arial" w:cs="Arial"/>
          <w:color w:val="000000" w:themeColor="text1"/>
          <w:sz w:val="24"/>
          <w:szCs w:val="24"/>
        </w:rPr>
        <w:t>study</w:t>
      </w:r>
      <w:r w:rsidRPr="00F30AA7">
        <w:rPr>
          <w:rFonts w:ascii="Arial" w:hAnsi="Arial" w:cs="Arial"/>
          <w:color w:val="000000" w:themeColor="text1"/>
          <w:sz w:val="24"/>
          <w:szCs w:val="24"/>
        </w:rPr>
        <w:t xml:space="preserve"> is situated within the field of </w:t>
      </w:r>
      <w:r w:rsidR="00610327">
        <w:rPr>
          <w:rFonts w:ascii="Arial" w:hAnsi="Arial" w:cs="Arial"/>
          <w:color w:val="000000" w:themeColor="text1"/>
          <w:sz w:val="24"/>
          <w:szCs w:val="24"/>
        </w:rPr>
        <w:t>SWfP</w:t>
      </w:r>
      <w:r w:rsidRPr="00F30AA7">
        <w:rPr>
          <w:rFonts w:ascii="Arial" w:hAnsi="Arial" w:cs="Arial"/>
          <w:color w:val="000000" w:themeColor="text1"/>
          <w:sz w:val="24"/>
          <w:szCs w:val="24"/>
        </w:rPr>
        <w:t xml:space="preserve"> and workforce development </w:t>
      </w:r>
      <w:r w:rsidR="00121D92">
        <w:rPr>
          <w:rFonts w:ascii="Arial" w:hAnsi="Arial" w:cs="Arial"/>
          <w:color w:val="000000" w:themeColor="text1"/>
          <w:sz w:val="24"/>
          <w:szCs w:val="24"/>
        </w:rPr>
        <w:t>specifically</w:t>
      </w:r>
      <w:r w:rsidR="00E70F63">
        <w:rPr>
          <w:rFonts w:ascii="Arial" w:hAnsi="Arial" w:cs="Arial"/>
          <w:color w:val="000000" w:themeColor="text1"/>
          <w:sz w:val="24"/>
          <w:szCs w:val="24"/>
        </w:rPr>
        <w:t xml:space="preserve"> in healthcare</w:t>
      </w:r>
      <w:r w:rsidRPr="00F30AA7">
        <w:rPr>
          <w:rFonts w:ascii="Arial" w:hAnsi="Arial" w:cs="Arial"/>
          <w:color w:val="000000" w:themeColor="text1"/>
          <w:sz w:val="24"/>
          <w:szCs w:val="24"/>
        </w:rPr>
        <w:t>. Workforce planning refers to the systematic process of analysing current workforce capacity, forecasting future needs, and implementing strategies to ensure the right people are in the right roles at the right time (NHS England, 2022</w:t>
      </w:r>
      <w:r w:rsidR="007C0F01">
        <w:rPr>
          <w:rFonts w:ascii="Arial" w:hAnsi="Arial" w:cs="Arial"/>
          <w:color w:val="000000" w:themeColor="text1"/>
          <w:sz w:val="24"/>
          <w:szCs w:val="24"/>
        </w:rPr>
        <w:t xml:space="preserve">; </w:t>
      </w:r>
      <w:r w:rsidR="007C0F01" w:rsidRPr="007C0F01">
        <w:rPr>
          <w:rFonts w:ascii="Arial" w:hAnsi="Arial" w:cs="Arial"/>
          <w:color w:val="000000" w:themeColor="text1"/>
          <w:sz w:val="24"/>
          <w:szCs w:val="24"/>
        </w:rPr>
        <w:t>Skills</w:t>
      </w:r>
      <w:r w:rsidR="008F7816">
        <w:rPr>
          <w:rFonts w:ascii="Arial" w:hAnsi="Arial" w:cs="Arial"/>
          <w:color w:val="000000" w:themeColor="text1"/>
          <w:sz w:val="24"/>
          <w:szCs w:val="24"/>
        </w:rPr>
        <w:t xml:space="preserve"> </w:t>
      </w:r>
      <w:r w:rsidR="007C0F01" w:rsidRPr="007C0F01">
        <w:rPr>
          <w:rFonts w:ascii="Arial" w:hAnsi="Arial" w:cs="Arial"/>
          <w:color w:val="000000" w:themeColor="text1"/>
          <w:sz w:val="24"/>
          <w:szCs w:val="24"/>
        </w:rPr>
        <w:t>4</w:t>
      </w:r>
      <w:r w:rsidR="008F7816">
        <w:rPr>
          <w:rFonts w:ascii="Arial" w:hAnsi="Arial" w:cs="Arial"/>
          <w:color w:val="000000" w:themeColor="text1"/>
          <w:sz w:val="24"/>
          <w:szCs w:val="24"/>
        </w:rPr>
        <w:t xml:space="preserve"> </w:t>
      </w:r>
      <w:r w:rsidR="007C0F01" w:rsidRPr="007C0F01">
        <w:rPr>
          <w:rFonts w:ascii="Arial" w:hAnsi="Arial" w:cs="Arial"/>
          <w:color w:val="000000" w:themeColor="text1"/>
          <w:sz w:val="24"/>
          <w:szCs w:val="24"/>
        </w:rPr>
        <w:t>Health, 202</w:t>
      </w:r>
      <w:r w:rsidR="00223669">
        <w:rPr>
          <w:rFonts w:ascii="Arial" w:hAnsi="Arial" w:cs="Arial"/>
          <w:color w:val="000000" w:themeColor="text1"/>
          <w:sz w:val="24"/>
          <w:szCs w:val="24"/>
        </w:rPr>
        <w:t>3</w:t>
      </w:r>
      <w:r w:rsidRPr="00F30AA7">
        <w:rPr>
          <w:rFonts w:ascii="Arial" w:hAnsi="Arial" w:cs="Arial"/>
          <w:color w:val="000000" w:themeColor="text1"/>
          <w:sz w:val="24"/>
          <w:szCs w:val="24"/>
        </w:rPr>
        <w:t xml:space="preserve">). In the context of healthcare, effective </w:t>
      </w:r>
      <w:r w:rsidR="00834C72">
        <w:rPr>
          <w:rFonts w:ascii="Arial" w:hAnsi="Arial" w:cs="Arial"/>
          <w:color w:val="000000" w:themeColor="text1"/>
          <w:sz w:val="24"/>
          <w:szCs w:val="24"/>
        </w:rPr>
        <w:t>SWfP</w:t>
      </w:r>
      <w:r w:rsidRPr="00F30AA7">
        <w:rPr>
          <w:rFonts w:ascii="Arial" w:hAnsi="Arial" w:cs="Arial"/>
          <w:color w:val="000000" w:themeColor="text1"/>
          <w:sz w:val="24"/>
          <w:szCs w:val="24"/>
        </w:rPr>
        <w:t xml:space="preserve"> is essential to maintaining service quality, ensuring patient safety, and responding to evolving population health needs.</w:t>
      </w:r>
    </w:p>
    <w:p w14:paraId="45AE543C" w14:textId="0C79B407" w:rsidR="00F30AA7" w:rsidRPr="00F30AA7" w:rsidRDefault="00F30AA7" w:rsidP="00B75760">
      <w:pPr>
        <w:spacing w:line="360" w:lineRule="auto"/>
        <w:jc w:val="both"/>
        <w:rPr>
          <w:rFonts w:ascii="Arial" w:hAnsi="Arial" w:cs="Arial"/>
          <w:color w:val="000000" w:themeColor="text1"/>
          <w:sz w:val="24"/>
          <w:szCs w:val="24"/>
        </w:rPr>
      </w:pPr>
      <w:r w:rsidRPr="00F30AA7">
        <w:rPr>
          <w:rFonts w:ascii="Arial" w:hAnsi="Arial" w:cs="Arial"/>
          <w:color w:val="000000" w:themeColor="text1"/>
          <w:sz w:val="24"/>
          <w:szCs w:val="24"/>
        </w:rPr>
        <w:t>The discipline draws upon principles from human resource management, health services research, and organisational development. It encompasses both quantitative forecasting techniques—such as supply and demand modelling—and qualitative approaches that consider workforce behaviours, skills development, and organisational culture (</w:t>
      </w:r>
      <w:r w:rsidR="00033451">
        <w:rPr>
          <w:rFonts w:ascii="Arial" w:hAnsi="Arial" w:cs="Arial"/>
          <w:color w:val="000000" w:themeColor="text1"/>
          <w:sz w:val="24"/>
          <w:szCs w:val="24"/>
        </w:rPr>
        <w:t xml:space="preserve">CIPD, 2024; </w:t>
      </w:r>
      <w:r w:rsidRPr="00F30AA7">
        <w:rPr>
          <w:rFonts w:ascii="Arial" w:hAnsi="Arial" w:cs="Arial"/>
          <w:color w:val="000000" w:themeColor="text1"/>
          <w:sz w:val="24"/>
          <w:szCs w:val="24"/>
        </w:rPr>
        <w:t>Buchan</w:t>
      </w:r>
      <w:r w:rsidR="00DF7228">
        <w:rPr>
          <w:rFonts w:ascii="Arial" w:hAnsi="Arial" w:cs="Arial"/>
          <w:color w:val="000000" w:themeColor="text1"/>
          <w:sz w:val="24"/>
          <w:szCs w:val="24"/>
        </w:rPr>
        <w:t xml:space="preserve"> </w:t>
      </w:r>
      <w:r w:rsidR="00DF7228" w:rsidRPr="00125507">
        <w:rPr>
          <w:rFonts w:ascii="Arial" w:hAnsi="Arial" w:cs="Arial"/>
          <w:i/>
          <w:iCs/>
          <w:color w:val="000000" w:themeColor="text1"/>
          <w:sz w:val="24"/>
          <w:szCs w:val="24"/>
        </w:rPr>
        <w:t>et al.</w:t>
      </w:r>
      <w:r w:rsidR="00DF7228">
        <w:rPr>
          <w:rFonts w:ascii="Arial" w:hAnsi="Arial" w:cs="Arial"/>
          <w:color w:val="000000" w:themeColor="text1"/>
          <w:sz w:val="24"/>
          <w:szCs w:val="24"/>
        </w:rPr>
        <w:t xml:space="preserve"> </w:t>
      </w:r>
      <w:r w:rsidR="00D60C6F">
        <w:rPr>
          <w:rFonts w:ascii="Arial" w:hAnsi="Arial" w:cs="Arial"/>
          <w:color w:val="000000" w:themeColor="text1"/>
          <w:sz w:val="24"/>
          <w:szCs w:val="24"/>
        </w:rPr>
        <w:t>2019</w:t>
      </w:r>
      <w:r w:rsidRPr="00F30AA7">
        <w:rPr>
          <w:rFonts w:ascii="Arial" w:hAnsi="Arial" w:cs="Arial"/>
          <w:color w:val="000000" w:themeColor="text1"/>
          <w:sz w:val="24"/>
          <w:szCs w:val="24"/>
        </w:rPr>
        <w:t xml:space="preserve">). Increasingly, </w:t>
      </w:r>
      <w:r w:rsidR="00CB5F20">
        <w:rPr>
          <w:rFonts w:ascii="Arial" w:hAnsi="Arial" w:cs="Arial"/>
          <w:color w:val="000000" w:themeColor="text1"/>
          <w:sz w:val="24"/>
          <w:szCs w:val="24"/>
        </w:rPr>
        <w:t>WfP</w:t>
      </w:r>
      <w:r w:rsidRPr="00F30AA7">
        <w:rPr>
          <w:rFonts w:ascii="Arial" w:hAnsi="Arial" w:cs="Arial"/>
          <w:color w:val="000000" w:themeColor="text1"/>
          <w:sz w:val="24"/>
          <w:szCs w:val="24"/>
        </w:rPr>
        <w:t xml:space="preserve"> is recognised not only as a technical exercise but as a strategic function that must be embedded within broader health system transformation efforts (Imison et al., 2016).</w:t>
      </w:r>
    </w:p>
    <w:p w14:paraId="2DD0C1D5" w14:textId="2FBA13D8" w:rsidR="005A6E81" w:rsidRDefault="005A6E81" w:rsidP="00B75760">
      <w:pPr>
        <w:spacing w:line="360" w:lineRule="auto"/>
        <w:jc w:val="both"/>
        <w:rPr>
          <w:rFonts w:ascii="Arial" w:hAnsi="Arial" w:cs="Arial"/>
          <w:color w:val="000000" w:themeColor="text1"/>
          <w:sz w:val="24"/>
          <w:szCs w:val="24"/>
        </w:rPr>
      </w:pPr>
      <w:r w:rsidRPr="005A6E81">
        <w:rPr>
          <w:rFonts w:ascii="Arial" w:hAnsi="Arial" w:cs="Arial"/>
          <w:color w:val="000000" w:themeColor="text1"/>
          <w:sz w:val="24"/>
          <w:szCs w:val="24"/>
        </w:rPr>
        <w:t xml:space="preserve">Globally, health systems have recognised the critical role of </w:t>
      </w:r>
      <w:r w:rsidR="00AB5EF8">
        <w:rPr>
          <w:rFonts w:ascii="Arial" w:hAnsi="Arial" w:cs="Arial"/>
          <w:color w:val="000000" w:themeColor="text1"/>
          <w:sz w:val="24"/>
          <w:szCs w:val="24"/>
        </w:rPr>
        <w:t>SWfP</w:t>
      </w:r>
      <w:r w:rsidRPr="005A6E81">
        <w:rPr>
          <w:rFonts w:ascii="Arial" w:hAnsi="Arial" w:cs="Arial"/>
          <w:color w:val="000000" w:themeColor="text1"/>
          <w:sz w:val="24"/>
          <w:szCs w:val="24"/>
        </w:rPr>
        <w:t xml:space="preserve"> in addressing persistent challenges such as staff shortages, skill mismatches, and the need for adaptable service models. International research highlights a range of approaches to </w:t>
      </w:r>
      <w:r w:rsidR="00CB5F20">
        <w:rPr>
          <w:rFonts w:ascii="Arial" w:hAnsi="Arial" w:cs="Arial"/>
          <w:color w:val="000000" w:themeColor="text1"/>
          <w:sz w:val="24"/>
          <w:szCs w:val="24"/>
        </w:rPr>
        <w:t>WfP</w:t>
      </w:r>
      <w:r w:rsidRPr="005A6E81">
        <w:rPr>
          <w:rFonts w:ascii="Arial" w:hAnsi="Arial" w:cs="Arial"/>
          <w:color w:val="000000" w:themeColor="text1"/>
          <w:sz w:val="24"/>
          <w:szCs w:val="24"/>
        </w:rPr>
        <w:t xml:space="preserve"> training, with varying degrees of success and contextual relevance.</w:t>
      </w:r>
    </w:p>
    <w:p w14:paraId="1EEC0088" w14:textId="2083AD4B" w:rsidR="005A6E81" w:rsidRPr="005A6E81" w:rsidRDefault="005A6E81" w:rsidP="00B75760">
      <w:pPr>
        <w:spacing w:line="360" w:lineRule="auto"/>
        <w:jc w:val="both"/>
        <w:rPr>
          <w:rFonts w:ascii="Arial" w:hAnsi="Arial" w:cs="Arial"/>
          <w:color w:val="000000" w:themeColor="text1"/>
          <w:sz w:val="24"/>
          <w:szCs w:val="24"/>
        </w:rPr>
      </w:pPr>
      <w:r w:rsidRPr="005A6E81">
        <w:rPr>
          <w:rFonts w:ascii="Arial" w:hAnsi="Arial" w:cs="Arial"/>
          <w:color w:val="000000" w:themeColor="text1"/>
          <w:sz w:val="24"/>
          <w:szCs w:val="24"/>
        </w:rPr>
        <w:t>In</w:t>
      </w:r>
      <w:r w:rsidR="001377AE">
        <w:rPr>
          <w:rFonts w:ascii="Arial" w:hAnsi="Arial" w:cs="Arial"/>
          <w:color w:val="000000" w:themeColor="text1"/>
          <w:sz w:val="24"/>
          <w:szCs w:val="24"/>
        </w:rPr>
        <w:t>ternational approaches</w:t>
      </w:r>
      <w:r w:rsidR="00360AFE">
        <w:rPr>
          <w:rFonts w:ascii="Arial" w:hAnsi="Arial" w:cs="Arial"/>
          <w:color w:val="000000" w:themeColor="text1"/>
          <w:sz w:val="24"/>
          <w:szCs w:val="24"/>
        </w:rPr>
        <w:t>, including in</w:t>
      </w:r>
      <w:r w:rsidRPr="005A6E81">
        <w:rPr>
          <w:rFonts w:ascii="Arial" w:hAnsi="Arial" w:cs="Arial"/>
          <w:color w:val="000000" w:themeColor="text1"/>
          <w:sz w:val="24"/>
          <w:szCs w:val="24"/>
        </w:rPr>
        <w:t xml:space="preserve"> Australia,</w:t>
      </w:r>
      <w:r w:rsidR="00360AFE">
        <w:rPr>
          <w:rFonts w:ascii="Arial" w:hAnsi="Arial" w:cs="Arial"/>
          <w:color w:val="000000" w:themeColor="text1"/>
          <w:sz w:val="24"/>
          <w:szCs w:val="24"/>
        </w:rPr>
        <w:t xml:space="preserve"> Canada and the United States, emphasise workforce planning </w:t>
      </w:r>
      <w:r w:rsidR="00685BB8">
        <w:rPr>
          <w:rFonts w:ascii="Arial" w:hAnsi="Arial" w:cs="Arial"/>
          <w:color w:val="000000" w:themeColor="text1"/>
          <w:sz w:val="24"/>
          <w:szCs w:val="24"/>
        </w:rPr>
        <w:t>capability</w:t>
      </w:r>
      <w:r w:rsidR="00360AFE">
        <w:rPr>
          <w:rFonts w:ascii="Arial" w:hAnsi="Arial" w:cs="Arial"/>
          <w:color w:val="000000" w:themeColor="text1"/>
          <w:sz w:val="24"/>
          <w:szCs w:val="24"/>
        </w:rPr>
        <w:t xml:space="preserve"> as a combination of data-informed modelling, stakeholder engagement and system level decision making</w:t>
      </w:r>
      <w:r w:rsidR="00A1123B">
        <w:rPr>
          <w:rFonts w:ascii="Arial" w:hAnsi="Arial" w:cs="Arial"/>
          <w:color w:val="000000" w:themeColor="text1"/>
          <w:sz w:val="24"/>
          <w:szCs w:val="24"/>
        </w:rPr>
        <w:t xml:space="preserve"> (</w:t>
      </w:r>
      <w:r w:rsidRPr="005A6E81">
        <w:rPr>
          <w:rFonts w:ascii="Arial" w:hAnsi="Arial" w:cs="Arial"/>
          <w:color w:val="000000" w:themeColor="text1"/>
          <w:sz w:val="24"/>
          <w:szCs w:val="24"/>
        </w:rPr>
        <w:t>Australian Government Department of Health, 2021</w:t>
      </w:r>
      <w:r w:rsidR="00A1123B">
        <w:rPr>
          <w:rFonts w:ascii="Arial" w:hAnsi="Arial" w:cs="Arial"/>
          <w:color w:val="000000" w:themeColor="text1"/>
          <w:sz w:val="24"/>
          <w:szCs w:val="24"/>
        </w:rPr>
        <w:t>;</w:t>
      </w:r>
      <w:r w:rsidR="009A23E0">
        <w:rPr>
          <w:rFonts w:ascii="Arial" w:hAnsi="Arial" w:cs="Arial"/>
          <w:color w:val="000000" w:themeColor="text1"/>
          <w:sz w:val="24"/>
          <w:szCs w:val="24"/>
        </w:rPr>
        <w:t xml:space="preserve"> </w:t>
      </w:r>
      <w:r w:rsidRPr="005A6E81">
        <w:rPr>
          <w:rFonts w:ascii="Arial" w:hAnsi="Arial" w:cs="Arial"/>
          <w:color w:val="000000" w:themeColor="text1"/>
          <w:sz w:val="24"/>
          <w:szCs w:val="24"/>
        </w:rPr>
        <w:t>Tomblin Murphy et al., 2016</w:t>
      </w:r>
      <w:r w:rsidR="009A23E0">
        <w:rPr>
          <w:rFonts w:ascii="Arial" w:hAnsi="Arial" w:cs="Arial"/>
          <w:color w:val="000000" w:themeColor="text1"/>
          <w:sz w:val="24"/>
          <w:szCs w:val="24"/>
        </w:rPr>
        <w:t xml:space="preserve">; </w:t>
      </w:r>
      <w:r w:rsidRPr="005A6E81">
        <w:rPr>
          <w:rFonts w:ascii="Arial" w:hAnsi="Arial" w:cs="Arial"/>
          <w:color w:val="000000" w:themeColor="text1"/>
          <w:sz w:val="24"/>
          <w:szCs w:val="24"/>
        </w:rPr>
        <w:t>Fraher et al., 2013). These models are often supported by training programmes that equip planners with skills in data interpretation, policy analysis, and stakeholder communication.</w:t>
      </w:r>
    </w:p>
    <w:p w14:paraId="60CEE230" w14:textId="3F3E7EC5" w:rsidR="0091357A" w:rsidRDefault="005A6E81" w:rsidP="00B75760">
      <w:pPr>
        <w:spacing w:line="360" w:lineRule="auto"/>
        <w:jc w:val="both"/>
        <w:rPr>
          <w:rFonts w:ascii="Arial" w:hAnsi="Arial" w:cs="Arial"/>
          <w:color w:val="000000" w:themeColor="text1"/>
          <w:sz w:val="24"/>
          <w:szCs w:val="24"/>
        </w:rPr>
      </w:pPr>
      <w:r w:rsidRPr="005A6E81">
        <w:rPr>
          <w:rFonts w:ascii="Arial" w:hAnsi="Arial" w:cs="Arial"/>
          <w:color w:val="000000" w:themeColor="text1"/>
          <w:sz w:val="24"/>
          <w:szCs w:val="24"/>
        </w:rPr>
        <w:t xml:space="preserve">Despite these advances, international literature also identifies common barriers to effective </w:t>
      </w:r>
      <w:r w:rsidR="003F2E6F">
        <w:rPr>
          <w:rFonts w:ascii="Arial" w:hAnsi="Arial" w:cs="Arial"/>
          <w:color w:val="000000" w:themeColor="text1"/>
          <w:sz w:val="24"/>
          <w:szCs w:val="24"/>
        </w:rPr>
        <w:t>SWfP</w:t>
      </w:r>
      <w:r w:rsidRPr="005A6E81">
        <w:rPr>
          <w:rFonts w:ascii="Arial" w:hAnsi="Arial" w:cs="Arial"/>
          <w:color w:val="000000" w:themeColor="text1"/>
          <w:sz w:val="24"/>
          <w:szCs w:val="24"/>
        </w:rPr>
        <w:t xml:space="preserve"> training. These include limited access to high-quality data, insufficient institutional support, and a lack of standardised competencies for workforce planners (Dussault and Franceschini, 2006). Moreover, the transferability of international models to specific national or regional contexts</w:t>
      </w:r>
      <w:r w:rsidR="002E7B89">
        <w:rPr>
          <w:rFonts w:ascii="Arial" w:hAnsi="Arial" w:cs="Arial"/>
          <w:color w:val="000000" w:themeColor="text1"/>
          <w:sz w:val="24"/>
          <w:szCs w:val="24"/>
        </w:rPr>
        <w:t xml:space="preserve">, </w:t>
      </w:r>
      <w:r w:rsidRPr="005A6E81">
        <w:rPr>
          <w:rFonts w:ascii="Arial" w:hAnsi="Arial" w:cs="Arial"/>
          <w:color w:val="000000" w:themeColor="text1"/>
          <w:sz w:val="24"/>
          <w:szCs w:val="24"/>
        </w:rPr>
        <w:t>such as Wales</w:t>
      </w:r>
      <w:r w:rsidR="002E7B89">
        <w:rPr>
          <w:rFonts w:ascii="Arial" w:hAnsi="Arial" w:cs="Arial"/>
          <w:color w:val="000000" w:themeColor="text1"/>
          <w:sz w:val="24"/>
          <w:szCs w:val="24"/>
        </w:rPr>
        <w:t xml:space="preserve">, </w:t>
      </w:r>
      <w:r w:rsidRPr="005A6E81">
        <w:rPr>
          <w:rFonts w:ascii="Arial" w:hAnsi="Arial" w:cs="Arial"/>
          <w:color w:val="000000" w:themeColor="text1"/>
          <w:sz w:val="24"/>
          <w:szCs w:val="24"/>
        </w:rPr>
        <w:t>requires careful consideration of local governance structures, cultural factors, and health system priorities.</w:t>
      </w:r>
      <w:r w:rsidR="000E5C1D">
        <w:rPr>
          <w:rFonts w:ascii="Arial" w:hAnsi="Arial" w:cs="Arial"/>
          <w:color w:val="000000" w:themeColor="text1"/>
          <w:sz w:val="24"/>
          <w:szCs w:val="24"/>
        </w:rPr>
        <w:t xml:space="preserve"> </w:t>
      </w:r>
      <w:r w:rsidRPr="005A6E81">
        <w:rPr>
          <w:rFonts w:ascii="Arial" w:hAnsi="Arial" w:cs="Arial"/>
          <w:color w:val="000000" w:themeColor="text1"/>
          <w:sz w:val="24"/>
          <w:szCs w:val="24"/>
        </w:rPr>
        <w:t xml:space="preserve">Overall, international research provides valuable insights into the design and implementation of </w:t>
      </w:r>
      <w:r w:rsidR="003F2E6F">
        <w:rPr>
          <w:rFonts w:ascii="Arial" w:hAnsi="Arial" w:cs="Arial"/>
          <w:color w:val="000000" w:themeColor="text1"/>
          <w:sz w:val="24"/>
          <w:szCs w:val="24"/>
        </w:rPr>
        <w:t>SWfP</w:t>
      </w:r>
      <w:r w:rsidRPr="005A6E81">
        <w:rPr>
          <w:rFonts w:ascii="Arial" w:hAnsi="Arial" w:cs="Arial"/>
          <w:color w:val="000000" w:themeColor="text1"/>
          <w:sz w:val="24"/>
          <w:szCs w:val="24"/>
        </w:rPr>
        <w:t xml:space="preserve"> training programmes. It also reinforces the need for </w:t>
      </w:r>
      <w:r w:rsidRPr="005A6E81">
        <w:rPr>
          <w:rFonts w:ascii="Arial" w:hAnsi="Arial" w:cs="Arial"/>
          <w:color w:val="000000" w:themeColor="text1"/>
          <w:sz w:val="24"/>
          <w:szCs w:val="24"/>
        </w:rPr>
        <w:lastRenderedPageBreak/>
        <w:t xml:space="preserve">context-sensitive evaluations to determine what works, for whom, and under what conditions. </w:t>
      </w:r>
    </w:p>
    <w:p w14:paraId="2D109F46" w14:textId="0129FC6C" w:rsidR="00BE6F44" w:rsidRDefault="00460C9D" w:rsidP="00B75760">
      <w:pPr>
        <w:spacing w:line="360" w:lineRule="auto"/>
        <w:jc w:val="both"/>
        <w:rPr>
          <w:rFonts w:ascii="Arial" w:hAnsi="Arial" w:cs="Arial"/>
          <w:color w:val="000000" w:themeColor="text1"/>
          <w:sz w:val="24"/>
          <w:szCs w:val="24"/>
        </w:rPr>
      </w:pPr>
      <w:r w:rsidRPr="00B9412C">
        <w:rPr>
          <w:rFonts w:ascii="Arial" w:hAnsi="Arial" w:cs="Arial"/>
          <w:color w:val="000000" w:themeColor="text1"/>
          <w:sz w:val="24"/>
          <w:szCs w:val="24"/>
        </w:rPr>
        <w:t xml:space="preserve">In Wales, the policy landscape has been shaped by Welsh Government’s long-term vision for health and social care, articulated in </w:t>
      </w:r>
      <w:r w:rsidRPr="0002401C">
        <w:rPr>
          <w:rFonts w:ascii="Arial" w:hAnsi="Arial" w:cs="Arial"/>
          <w:i/>
          <w:iCs/>
          <w:color w:val="000000" w:themeColor="text1"/>
          <w:sz w:val="24"/>
          <w:szCs w:val="24"/>
        </w:rPr>
        <w:t>A Healthier Wales</w:t>
      </w:r>
      <w:r w:rsidRPr="00B9412C">
        <w:rPr>
          <w:rFonts w:ascii="Arial" w:hAnsi="Arial" w:cs="Arial"/>
          <w:color w:val="000000" w:themeColor="text1"/>
          <w:sz w:val="24"/>
          <w:szCs w:val="24"/>
        </w:rPr>
        <w:t xml:space="preserve"> (Welsh Government, 2021), and its refreshed action plan (Welsh Government, 2024). These documents stress the need for an inclusive, flexible, and multi-professional workforce, with a strong emphasis on prevention, integration, and person-centred care. Workforce planning is positioned as a key enabler of these goals, with HEIW tasked with leading national efforts to build planning capacity.</w:t>
      </w:r>
      <w:r>
        <w:rPr>
          <w:rFonts w:ascii="Arial" w:hAnsi="Arial" w:cs="Arial"/>
          <w:color w:val="000000" w:themeColor="text1"/>
          <w:sz w:val="24"/>
          <w:szCs w:val="24"/>
        </w:rPr>
        <w:t xml:space="preserve"> </w:t>
      </w:r>
      <w:r w:rsidR="000541A0" w:rsidRPr="000541A0">
        <w:rPr>
          <w:rFonts w:ascii="Arial" w:hAnsi="Arial" w:cs="Arial"/>
          <w:color w:val="000000" w:themeColor="text1"/>
          <w:sz w:val="24"/>
          <w:szCs w:val="24"/>
        </w:rPr>
        <w:t>This devolved governance allows for tailored approaches to workforce development that reflect the specific demographic, linguistic, and cultural needs of the Welsh population.</w:t>
      </w:r>
    </w:p>
    <w:p w14:paraId="37AECA7C" w14:textId="425F36B6" w:rsidR="001B78A2" w:rsidRDefault="000541A0" w:rsidP="00B75760">
      <w:pPr>
        <w:spacing w:line="360" w:lineRule="auto"/>
        <w:jc w:val="both"/>
        <w:rPr>
          <w:rFonts w:ascii="Arial" w:hAnsi="Arial" w:cs="Arial"/>
          <w:color w:val="000000" w:themeColor="text1"/>
          <w:sz w:val="24"/>
          <w:szCs w:val="24"/>
        </w:rPr>
      </w:pPr>
      <w:r w:rsidRPr="000541A0">
        <w:rPr>
          <w:rFonts w:ascii="Arial" w:hAnsi="Arial" w:cs="Arial"/>
          <w:color w:val="000000" w:themeColor="text1"/>
          <w:sz w:val="24"/>
          <w:szCs w:val="24"/>
        </w:rPr>
        <w:t xml:space="preserve">One of the most distinctive features of the Welsh context is the statutory commitment to promoting the Welsh language in public services. The Welsh Government’s </w:t>
      </w:r>
      <w:r w:rsidRPr="000541A0">
        <w:rPr>
          <w:rFonts w:ascii="Arial" w:hAnsi="Arial" w:cs="Arial"/>
          <w:i/>
          <w:iCs/>
          <w:color w:val="000000" w:themeColor="text1"/>
          <w:sz w:val="24"/>
          <w:szCs w:val="24"/>
        </w:rPr>
        <w:t>More than just words</w:t>
      </w:r>
      <w:r w:rsidRPr="000541A0">
        <w:rPr>
          <w:rFonts w:ascii="Arial" w:hAnsi="Arial" w:cs="Arial"/>
          <w:color w:val="000000" w:themeColor="text1"/>
          <w:sz w:val="24"/>
          <w:szCs w:val="24"/>
        </w:rPr>
        <w:t xml:space="preserve"> five-year plan (2022–2027) emphasises the importance of integrating Welsh language considerations into </w:t>
      </w:r>
      <w:r w:rsidR="0078097A">
        <w:rPr>
          <w:rFonts w:ascii="Arial" w:hAnsi="Arial" w:cs="Arial"/>
          <w:color w:val="000000" w:themeColor="text1"/>
          <w:sz w:val="24"/>
          <w:szCs w:val="24"/>
        </w:rPr>
        <w:t>SWfP</w:t>
      </w:r>
      <w:r w:rsidRPr="000541A0">
        <w:rPr>
          <w:rFonts w:ascii="Arial" w:hAnsi="Arial" w:cs="Arial"/>
          <w:color w:val="000000" w:themeColor="text1"/>
          <w:sz w:val="24"/>
          <w:szCs w:val="24"/>
        </w:rPr>
        <w:t xml:space="preserve"> and service delivery, particularly in health and social care settings. This policy imperative has led to the development of specialised training resources, such as HEIW’s </w:t>
      </w:r>
      <w:r w:rsidR="00CB5F20">
        <w:rPr>
          <w:rFonts w:ascii="Arial" w:hAnsi="Arial" w:cs="Arial"/>
          <w:color w:val="000000" w:themeColor="text1"/>
          <w:sz w:val="24"/>
          <w:szCs w:val="24"/>
        </w:rPr>
        <w:t>WfP</w:t>
      </w:r>
      <w:r w:rsidRPr="000541A0">
        <w:rPr>
          <w:rFonts w:ascii="Arial" w:hAnsi="Arial" w:cs="Arial"/>
          <w:color w:val="000000" w:themeColor="text1"/>
          <w:sz w:val="24"/>
          <w:szCs w:val="24"/>
        </w:rPr>
        <w:t xml:space="preserve"> for the Welsh Language programme, which aims to build capacity for bilingual service provision across NHS Wales.</w:t>
      </w:r>
      <w:r w:rsidR="008E7D7B">
        <w:rPr>
          <w:rFonts w:ascii="Arial" w:hAnsi="Arial" w:cs="Arial"/>
          <w:color w:val="000000" w:themeColor="text1"/>
          <w:sz w:val="24"/>
          <w:szCs w:val="24"/>
        </w:rPr>
        <w:t xml:space="preserve"> </w:t>
      </w:r>
      <w:r w:rsidR="001B78A2" w:rsidRPr="001B78A2">
        <w:rPr>
          <w:rFonts w:ascii="Arial" w:hAnsi="Arial" w:cs="Arial"/>
          <w:color w:val="000000" w:themeColor="text1"/>
          <w:sz w:val="24"/>
          <w:szCs w:val="24"/>
        </w:rPr>
        <w:t>However, while policy emphasis is strong, evidence on the effectiveness of national training interventions in building sustained workforce planning capability remains limited.</w:t>
      </w:r>
    </w:p>
    <w:p w14:paraId="1A09B946" w14:textId="5BCC29F1" w:rsidR="00D24516" w:rsidRDefault="00346FD4" w:rsidP="00B75760">
      <w:pPr>
        <w:spacing w:line="360" w:lineRule="auto"/>
        <w:jc w:val="both"/>
        <w:rPr>
          <w:rFonts w:ascii="Arial" w:hAnsi="Arial" w:cs="Arial"/>
          <w:sz w:val="24"/>
          <w:szCs w:val="24"/>
        </w:rPr>
      </w:pPr>
      <w:r w:rsidRPr="00BC39CC">
        <w:rPr>
          <w:rFonts w:ascii="Arial" w:hAnsi="Arial" w:cs="Arial"/>
          <w:sz w:val="24"/>
          <w:szCs w:val="24"/>
        </w:rPr>
        <w:t xml:space="preserve">Recent system scrutiny underscores why capability building is salient. Audit Wales identifies persistent workforce challenges alongside complexity in national arrangements, and calls for stronger coherence in </w:t>
      </w:r>
      <w:r w:rsidR="00CB5F20">
        <w:rPr>
          <w:rFonts w:ascii="Arial" w:hAnsi="Arial" w:cs="Arial"/>
          <w:sz w:val="24"/>
          <w:szCs w:val="24"/>
        </w:rPr>
        <w:t>WfP</w:t>
      </w:r>
      <w:r w:rsidRPr="00BC39CC">
        <w:rPr>
          <w:rFonts w:ascii="Arial" w:hAnsi="Arial" w:cs="Arial"/>
          <w:sz w:val="24"/>
          <w:szCs w:val="24"/>
        </w:rPr>
        <w:t>, supported by data and expertise</w:t>
      </w:r>
      <w:r w:rsidR="00B52AAA">
        <w:rPr>
          <w:rFonts w:ascii="Arial" w:hAnsi="Arial" w:cs="Arial"/>
          <w:sz w:val="24"/>
          <w:szCs w:val="24"/>
        </w:rPr>
        <w:t>.</w:t>
      </w:r>
      <w:r w:rsidR="0041416D">
        <w:rPr>
          <w:rFonts w:ascii="Arial" w:hAnsi="Arial" w:cs="Arial"/>
          <w:sz w:val="24"/>
          <w:szCs w:val="24"/>
        </w:rPr>
        <w:t xml:space="preserve"> </w:t>
      </w:r>
      <w:r w:rsidR="00B52AAA">
        <w:rPr>
          <w:rFonts w:ascii="Arial" w:hAnsi="Arial" w:cs="Arial"/>
          <w:sz w:val="24"/>
          <w:szCs w:val="24"/>
        </w:rPr>
        <w:t>T</w:t>
      </w:r>
      <w:r w:rsidR="0041416D">
        <w:rPr>
          <w:rFonts w:ascii="Arial" w:hAnsi="Arial" w:cs="Arial"/>
          <w:sz w:val="24"/>
          <w:szCs w:val="24"/>
        </w:rPr>
        <w:t>h</w:t>
      </w:r>
      <w:r w:rsidR="00B52AAA">
        <w:rPr>
          <w:rFonts w:ascii="Arial" w:hAnsi="Arial" w:cs="Arial"/>
          <w:sz w:val="24"/>
          <w:szCs w:val="24"/>
        </w:rPr>
        <w:t>is</w:t>
      </w:r>
      <w:r w:rsidR="00D75694">
        <w:rPr>
          <w:rFonts w:ascii="Arial" w:hAnsi="Arial" w:cs="Arial"/>
          <w:sz w:val="24"/>
          <w:szCs w:val="24"/>
        </w:rPr>
        <w:t xml:space="preserve"> </w:t>
      </w:r>
      <w:r w:rsidRPr="00BC39CC">
        <w:rPr>
          <w:rFonts w:ascii="Arial" w:hAnsi="Arial" w:cs="Arial"/>
          <w:sz w:val="24"/>
          <w:szCs w:val="24"/>
        </w:rPr>
        <w:t>effectively highlight</w:t>
      </w:r>
      <w:r w:rsidR="0041416D">
        <w:rPr>
          <w:rFonts w:ascii="Arial" w:hAnsi="Arial" w:cs="Arial"/>
          <w:sz w:val="24"/>
          <w:szCs w:val="24"/>
        </w:rPr>
        <w:t>s wider</w:t>
      </w:r>
      <w:r w:rsidRPr="00BC39CC">
        <w:rPr>
          <w:rFonts w:ascii="Arial" w:hAnsi="Arial" w:cs="Arial"/>
          <w:sz w:val="24"/>
          <w:szCs w:val="24"/>
        </w:rPr>
        <w:t xml:space="preserve"> system conditions that training alone cannot </w:t>
      </w:r>
      <w:r w:rsidR="0041416D">
        <w:rPr>
          <w:rFonts w:ascii="Arial" w:hAnsi="Arial" w:cs="Arial"/>
          <w:sz w:val="24"/>
          <w:szCs w:val="24"/>
        </w:rPr>
        <w:t>resolve</w:t>
      </w:r>
      <w:r w:rsidRPr="00BC39CC">
        <w:rPr>
          <w:rFonts w:ascii="Arial" w:hAnsi="Arial" w:cs="Arial"/>
          <w:sz w:val="24"/>
          <w:szCs w:val="24"/>
        </w:rPr>
        <w:t xml:space="preserve"> (Audit Wales, 2025). This aligns with literature that stresses that training outcomes depend on work</w:t>
      </w:r>
      <w:r w:rsidRPr="00BC39CC">
        <w:rPr>
          <w:rFonts w:ascii="Arial" w:hAnsi="Arial" w:cs="Arial"/>
          <w:sz w:val="24"/>
          <w:szCs w:val="24"/>
        </w:rPr>
        <w:noBreakHyphen/>
        <w:t>environment conditions (Baldwin and Ford, 1988; Burke and Hutchins, 2007). Therefore, HEIW training should be evaluated not only for educational effectiveness</w:t>
      </w:r>
      <w:r w:rsidR="00622C0B">
        <w:rPr>
          <w:rFonts w:ascii="Arial" w:hAnsi="Arial" w:cs="Arial"/>
          <w:sz w:val="24"/>
          <w:szCs w:val="24"/>
        </w:rPr>
        <w:t>,</w:t>
      </w:r>
      <w:r w:rsidRPr="00BC39CC">
        <w:rPr>
          <w:rFonts w:ascii="Arial" w:hAnsi="Arial" w:cs="Arial"/>
          <w:sz w:val="24"/>
          <w:szCs w:val="24"/>
        </w:rPr>
        <w:t xml:space="preserve"> but also for how it interacts with organisational readiness, data access and leadership support across Health Boards and Trusts. </w:t>
      </w:r>
    </w:p>
    <w:p w14:paraId="6E9663FE" w14:textId="22FB6681" w:rsidR="00950917" w:rsidRPr="00950917" w:rsidRDefault="00C14808" w:rsidP="00B75760">
      <w:pPr>
        <w:spacing w:line="360" w:lineRule="auto"/>
        <w:jc w:val="both"/>
        <w:rPr>
          <w:rFonts w:ascii="Arial" w:hAnsi="Arial" w:cs="Arial"/>
          <w:sz w:val="24"/>
          <w:szCs w:val="24"/>
        </w:rPr>
      </w:pPr>
      <w:r w:rsidRPr="00C14808">
        <w:rPr>
          <w:rFonts w:ascii="Arial" w:hAnsi="Arial" w:cs="Arial"/>
          <w:sz w:val="24"/>
          <w:szCs w:val="24"/>
        </w:rPr>
        <w:t xml:space="preserve">This perspective aligns with wider evaluation literature, which conceptualises training as a social and relational process, embedded </w:t>
      </w:r>
      <w:r w:rsidR="0027394F">
        <w:rPr>
          <w:rFonts w:ascii="Arial" w:hAnsi="Arial" w:cs="Arial"/>
          <w:sz w:val="24"/>
          <w:szCs w:val="24"/>
        </w:rPr>
        <w:t>with</w:t>
      </w:r>
      <w:r w:rsidRPr="00C14808">
        <w:rPr>
          <w:rFonts w:ascii="Arial" w:hAnsi="Arial" w:cs="Arial"/>
          <w:sz w:val="24"/>
          <w:szCs w:val="24"/>
        </w:rPr>
        <w:t xml:space="preserve">in networks, practice and time rather than immediately translating into measurable outcomes </w:t>
      </w:r>
      <w:r w:rsidR="008D725F" w:rsidRPr="00BC39CC">
        <w:rPr>
          <w:rFonts w:ascii="Arial" w:hAnsi="Arial" w:cs="Arial"/>
          <w:sz w:val="24"/>
          <w:szCs w:val="24"/>
        </w:rPr>
        <w:t xml:space="preserve">(Wenger, Trayner and </w:t>
      </w:r>
      <w:r w:rsidR="008D725F" w:rsidRPr="00BC39CC">
        <w:rPr>
          <w:rFonts w:ascii="Arial" w:hAnsi="Arial" w:cs="Arial"/>
          <w:sz w:val="24"/>
          <w:szCs w:val="24"/>
        </w:rPr>
        <w:lastRenderedPageBreak/>
        <w:t xml:space="preserve">de Laat, 2011; Greenhalgh </w:t>
      </w:r>
      <w:r w:rsidR="008D725F" w:rsidRPr="00BC39CC">
        <w:rPr>
          <w:rFonts w:ascii="Arial" w:hAnsi="Arial" w:cs="Arial"/>
          <w:i/>
          <w:iCs/>
          <w:sz w:val="24"/>
          <w:szCs w:val="24"/>
        </w:rPr>
        <w:t>et al</w:t>
      </w:r>
      <w:r w:rsidR="008D725F" w:rsidRPr="00BC39CC">
        <w:rPr>
          <w:rFonts w:ascii="Arial" w:hAnsi="Arial" w:cs="Arial"/>
          <w:sz w:val="24"/>
          <w:szCs w:val="24"/>
        </w:rPr>
        <w:t xml:space="preserve">., 2004). </w:t>
      </w:r>
      <w:r w:rsidR="00950917" w:rsidRPr="00950917">
        <w:rPr>
          <w:rFonts w:ascii="Arial" w:hAnsi="Arial" w:cs="Arial"/>
          <w:sz w:val="24"/>
          <w:szCs w:val="24"/>
        </w:rPr>
        <w:t>This matters for evaluation because it supports a more realistic impact narrative: participation may create knowledge capital that later becomes applied practice and, only in some cases, becomes realised organisational value. Such framing helps avoid two common evaluation errors: under</w:t>
      </w:r>
      <w:r w:rsidR="00950917" w:rsidRPr="00950917">
        <w:rPr>
          <w:rFonts w:ascii="Arial" w:hAnsi="Arial" w:cs="Arial"/>
          <w:sz w:val="24"/>
          <w:szCs w:val="24"/>
        </w:rPr>
        <w:noBreakHyphen/>
        <w:t>estimating impact (because performance effects are hard to attribute) or over</w:t>
      </w:r>
      <w:r w:rsidR="00950917" w:rsidRPr="00950917">
        <w:rPr>
          <w:rFonts w:ascii="Arial" w:hAnsi="Arial" w:cs="Arial"/>
          <w:sz w:val="24"/>
          <w:szCs w:val="24"/>
        </w:rPr>
        <w:noBreakHyphen/>
        <w:t>claiming impact (assuming training directly drives system outcomes) (Holton, 1996; Fetters, Curry and Creswell, 2013).</w:t>
      </w:r>
    </w:p>
    <w:p w14:paraId="2AE83AEF" w14:textId="2611F27D" w:rsidR="0060692B" w:rsidRDefault="0037645A" w:rsidP="00B75760">
      <w:pPr>
        <w:spacing w:line="360" w:lineRule="auto"/>
        <w:jc w:val="both"/>
        <w:rPr>
          <w:rFonts w:ascii="Arial" w:hAnsi="Arial" w:cs="Arial"/>
          <w:sz w:val="24"/>
          <w:szCs w:val="24"/>
        </w:rPr>
      </w:pPr>
      <w:r w:rsidRPr="00720102">
        <w:rPr>
          <w:rFonts w:ascii="Arial" w:hAnsi="Arial" w:cs="Arial"/>
          <w:sz w:val="24"/>
          <w:szCs w:val="24"/>
        </w:rPr>
        <w:t xml:space="preserve">Evaluation of training impact in healthcare has increasingly moved towards mixed-method and theory-informed approaches. For example, Brinkerhoff’s Success Case Method focuses on identifying where training has demonstrably led to meaningful change in practice, while realist and theory-of-change approaches seek to understand how and why interventions work in specific contexts (Brinkerhoff, 2009; Gugerty, 2023). In workforce development, such approaches emphasise linking learning outcomes to behavioural change and organisational impact, while recognising that attribution is complex and mediated by contextual factors. These perspectives reinforce the </w:t>
      </w:r>
      <w:r w:rsidR="005A2F71">
        <w:rPr>
          <w:rFonts w:ascii="Arial" w:hAnsi="Arial" w:cs="Arial"/>
          <w:sz w:val="24"/>
          <w:szCs w:val="24"/>
        </w:rPr>
        <w:t>need to</w:t>
      </w:r>
      <w:r w:rsidRPr="00720102">
        <w:rPr>
          <w:rFonts w:ascii="Arial" w:hAnsi="Arial" w:cs="Arial"/>
          <w:sz w:val="24"/>
          <w:szCs w:val="24"/>
        </w:rPr>
        <w:t xml:space="preserve"> combin</w:t>
      </w:r>
      <w:r w:rsidR="00A63E36">
        <w:rPr>
          <w:rFonts w:ascii="Arial" w:hAnsi="Arial" w:cs="Arial"/>
          <w:sz w:val="24"/>
          <w:szCs w:val="24"/>
        </w:rPr>
        <w:t>e</w:t>
      </w:r>
      <w:r w:rsidRPr="00720102">
        <w:rPr>
          <w:rFonts w:ascii="Arial" w:hAnsi="Arial" w:cs="Arial"/>
          <w:sz w:val="24"/>
          <w:szCs w:val="24"/>
        </w:rPr>
        <w:t xml:space="preserve"> outcome-focused frameworks</w:t>
      </w:r>
      <w:r w:rsidR="00A63E36">
        <w:rPr>
          <w:rFonts w:ascii="Arial" w:hAnsi="Arial" w:cs="Arial"/>
          <w:sz w:val="24"/>
          <w:szCs w:val="24"/>
        </w:rPr>
        <w:t>,</w:t>
      </w:r>
      <w:r w:rsidRPr="00720102">
        <w:rPr>
          <w:rFonts w:ascii="Arial" w:hAnsi="Arial" w:cs="Arial"/>
          <w:sz w:val="24"/>
          <w:szCs w:val="24"/>
        </w:rPr>
        <w:t xml:space="preserve"> such as Kirkpatrick</w:t>
      </w:r>
      <w:r w:rsidR="00A63E36">
        <w:rPr>
          <w:rFonts w:ascii="Arial" w:hAnsi="Arial" w:cs="Arial"/>
          <w:sz w:val="24"/>
          <w:szCs w:val="24"/>
        </w:rPr>
        <w:t>,</w:t>
      </w:r>
      <w:r w:rsidRPr="00720102">
        <w:rPr>
          <w:rFonts w:ascii="Arial" w:hAnsi="Arial" w:cs="Arial"/>
          <w:sz w:val="24"/>
          <w:szCs w:val="24"/>
        </w:rPr>
        <w:t xml:space="preserve"> with deeper analysis of transfer conditions and implementation context.</w:t>
      </w:r>
      <w:r w:rsidR="003333C3">
        <w:rPr>
          <w:rFonts w:ascii="Arial" w:hAnsi="Arial" w:cs="Arial"/>
          <w:sz w:val="24"/>
          <w:szCs w:val="24"/>
        </w:rPr>
        <w:t xml:space="preserve"> </w:t>
      </w:r>
    </w:p>
    <w:p w14:paraId="2A29B7DF" w14:textId="690DAE8E" w:rsidR="0060692B" w:rsidRPr="00BC39CC" w:rsidRDefault="0060692B" w:rsidP="00B75760">
      <w:pPr>
        <w:spacing w:line="360" w:lineRule="auto"/>
        <w:jc w:val="both"/>
        <w:rPr>
          <w:rFonts w:ascii="Arial" w:hAnsi="Arial" w:cs="Arial"/>
          <w:sz w:val="24"/>
          <w:szCs w:val="24"/>
        </w:rPr>
      </w:pPr>
      <w:r w:rsidRPr="00D83EBA">
        <w:rPr>
          <w:rFonts w:ascii="Arial" w:hAnsi="Arial" w:cs="Arial"/>
          <w:sz w:val="24"/>
          <w:szCs w:val="24"/>
        </w:rPr>
        <w:t xml:space="preserve">Taken together, the literature </w:t>
      </w:r>
      <w:r w:rsidR="00E86CFB">
        <w:rPr>
          <w:rFonts w:ascii="Arial" w:hAnsi="Arial" w:cs="Arial"/>
          <w:sz w:val="24"/>
          <w:szCs w:val="24"/>
        </w:rPr>
        <w:t xml:space="preserve">and evaluation approaches </w:t>
      </w:r>
      <w:r>
        <w:rPr>
          <w:rFonts w:ascii="Arial" w:hAnsi="Arial" w:cs="Arial"/>
          <w:sz w:val="24"/>
          <w:szCs w:val="24"/>
        </w:rPr>
        <w:t>demonstrate</w:t>
      </w:r>
      <w:r w:rsidRPr="00D83EBA">
        <w:rPr>
          <w:rFonts w:ascii="Arial" w:hAnsi="Arial" w:cs="Arial"/>
          <w:sz w:val="24"/>
          <w:szCs w:val="24"/>
        </w:rPr>
        <w:t xml:space="preserve"> that workforce planning capability is multi-dimensional, context-dependent, and shaped as much by organisational conditions as by individual competence. </w:t>
      </w:r>
      <w:r w:rsidR="00E642D3">
        <w:rPr>
          <w:rFonts w:ascii="Arial" w:hAnsi="Arial" w:cs="Arial"/>
          <w:sz w:val="24"/>
          <w:szCs w:val="24"/>
        </w:rPr>
        <w:t>They</w:t>
      </w:r>
      <w:r w:rsidRPr="00D83EBA">
        <w:rPr>
          <w:rFonts w:ascii="Arial" w:hAnsi="Arial" w:cs="Arial"/>
          <w:sz w:val="24"/>
          <w:szCs w:val="24"/>
        </w:rPr>
        <w:t xml:space="preserve"> also highlight persistent challenges in evidencing training impact beyond immediate learning outcomes, particularly in complex health systems.</w:t>
      </w:r>
      <w:r>
        <w:rPr>
          <w:rFonts w:ascii="Arial" w:hAnsi="Arial" w:cs="Arial"/>
          <w:sz w:val="24"/>
          <w:szCs w:val="24"/>
        </w:rPr>
        <w:t xml:space="preserve"> </w:t>
      </w:r>
      <w:r w:rsidRPr="00BC39CC">
        <w:rPr>
          <w:rFonts w:ascii="Arial" w:hAnsi="Arial" w:cs="Arial"/>
          <w:sz w:val="24"/>
          <w:szCs w:val="24"/>
        </w:rPr>
        <w:t xml:space="preserve">Despite strong policy emphasis, there remains limited empirical research </w:t>
      </w:r>
      <w:r>
        <w:rPr>
          <w:rFonts w:ascii="Arial" w:hAnsi="Arial" w:cs="Arial"/>
          <w:sz w:val="24"/>
          <w:szCs w:val="24"/>
        </w:rPr>
        <w:t xml:space="preserve">examining how workforce planning training is applied in practice and contributes to capability across levels. </w:t>
      </w:r>
      <w:r w:rsidRPr="00BC39CC">
        <w:rPr>
          <w:rFonts w:ascii="Arial" w:hAnsi="Arial" w:cs="Arial"/>
          <w:sz w:val="24"/>
          <w:szCs w:val="24"/>
        </w:rPr>
        <w:t>This study address</w:t>
      </w:r>
      <w:r>
        <w:rPr>
          <w:rFonts w:ascii="Arial" w:hAnsi="Arial" w:cs="Arial"/>
          <w:sz w:val="24"/>
          <w:szCs w:val="24"/>
        </w:rPr>
        <w:t>es</w:t>
      </w:r>
      <w:r w:rsidRPr="00BC39CC">
        <w:rPr>
          <w:rFonts w:ascii="Arial" w:hAnsi="Arial" w:cs="Arial"/>
          <w:sz w:val="24"/>
          <w:szCs w:val="24"/>
        </w:rPr>
        <w:t xml:space="preserve"> th</w:t>
      </w:r>
      <w:r w:rsidR="003A2650">
        <w:rPr>
          <w:rFonts w:ascii="Arial" w:hAnsi="Arial" w:cs="Arial"/>
          <w:sz w:val="24"/>
          <w:szCs w:val="24"/>
        </w:rPr>
        <w:t>is</w:t>
      </w:r>
      <w:r w:rsidRPr="00BC39CC">
        <w:rPr>
          <w:rFonts w:ascii="Arial" w:hAnsi="Arial" w:cs="Arial"/>
          <w:sz w:val="24"/>
          <w:szCs w:val="24"/>
        </w:rPr>
        <w:t xml:space="preserve"> gap by combining </w:t>
      </w:r>
      <w:r>
        <w:rPr>
          <w:rFonts w:ascii="Arial" w:hAnsi="Arial" w:cs="Arial"/>
          <w:sz w:val="24"/>
          <w:szCs w:val="24"/>
        </w:rPr>
        <w:t xml:space="preserve">quantitative </w:t>
      </w:r>
      <w:r w:rsidRPr="00BC39CC">
        <w:rPr>
          <w:rFonts w:ascii="Arial" w:hAnsi="Arial" w:cs="Arial"/>
          <w:sz w:val="24"/>
          <w:szCs w:val="24"/>
        </w:rPr>
        <w:t xml:space="preserve">patterns with qualitative explanation </w:t>
      </w:r>
      <w:r>
        <w:rPr>
          <w:rFonts w:ascii="Arial" w:hAnsi="Arial" w:cs="Arial"/>
          <w:sz w:val="24"/>
          <w:szCs w:val="24"/>
        </w:rPr>
        <w:t>to generate context-sensitive insights into training effectiveness. T</w:t>
      </w:r>
      <w:r w:rsidRPr="00BC39CC">
        <w:rPr>
          <w:rFonts w:ascii="Arial" w:hAnsi="Arial" w:cs="Arial"/>
          <w:sz w:val="24"/>
          <w:szCs w:val="24"/>
        </w:rPr>
        <w:t xml:space="preserve">hereby contributing evidence relevant </w:t>
      </w:r>
      <w:r w:rsidR="00942E38">
        <w:rPr>
          <w:rFonts w:ascii="Arial" w:hAnsi="Arial" w:cs="Arial"/>
          <w:sz w:val="24"/>
          <w:szCs w:val="24"/>
        </w:rPr>
        <w:t xml:space="preserve">to </w:t>
      </w:r>
      <w:r w:rsidRPr="00BC39CC">
        <w:rPr>
          <w:rFonts w:ascii="Arial" w:hAnsi="Arial" w:cs="Arial"/>
          <w:sz w:val="24"/>
          <w:szCs w:val="24"/>
        </w:rPr>
        <w:t xml:space="preserve">both HEIW’s improvement agenda and to wider debates on how </w:t>
      </w:r>
      <w:r w:rsidR="003908B2">
        <w:rPr>
          <w:rFonts w:ascii="Arial" w:hAnsi="Arial" w:cs="Arial"/>
          <w:sz w:val="24"/>
          <w:szCs w:val="24"/>
        </w:rPr>
        <w:t>workforce development interventions create value within complex public service systems.</w:t>
      </w:r>
    </w:p>
    <w:p w14:paraId="2D4D8FF1" w14:textId="5C3CFDFA" w:rsidR="0065719B" w:rsidRPr="00720102" w:rsidRDefault="003333C3" w:rsidP="00BE6F44">
      <w:pPr>
        <w:spacing w:line="360" w:lineRule="auto"/>
        <w:rPr>
          <w:rFonts w:ascii="Arial" w:hAnsi="Arial" w:cs="Arial"/>
          <w:sz w:val="24"/>
          <w:szCs w:val="24"/>
        </w:rPr>
      </w:pPr>
      <w:r>
        <w:rPr>
          <w:rFonts w:ascii="Arial" w:hAnsi="Arial" w:cs="Arial"/>
          <w:sz w:val="24"/>
          <w:szCs w:val="24"/>
        </w:rPr>
        <w:t xml:space="preserve"> </w:t>
      </w:r>
    </w:p>
    <w:p w14:paraId="454FD847" w14:textId="77777777" w:rsidR="0065719B" w:rsidRDefault="0065719B" w:rsidP="00BE6F44">
      <w:pPr>
        <w:spacing w:line="360" w:lineRule="auto"/>
        <w:rPr>
          <w:rFonts w:ascii="Arial" w:hAnsi="Arial" w:cs="Arial"/>
          <w:sz w:val="24"/>
          <w:szCs w:val="24"/>
        </w:rPr>
      </w:pPr>
    </w:p>
    <w:p w14:paraId="2BB96826" w14:textId="77777777" w:rsidR="004131AB" w:rsidRPr="00B9412C" w:rsidRDefault="004131AB" w:rsidP="00B9412C">
      <w:pPr>
        <w:spacing w:line="360" w:lineRule="auto"/>
        <w:rPr>
          <w:rFonts w:ascii="Arial" w:hAnsi="Arial" w:cs="Arial"/>
          <w:color w:val="000000" w:themeColor="text1"/>
          <w:sz w:val="24"/>
          <w:szCs w:val="24"/>
        </w:rPr>
      </w:pPr>
    </w:p>
    <w:p w14:paraId="1309CE22" w14:textId="77777777" w:rsidR="00B75760" w:rsidRDefault="00B75760" w:rsidP="00194165">
      <w:pPr>
        <w:spacing w:line="360" w:lineRule="auto"/>
        <w:jc w:val="both"/>
        <w:rPr>
          <w:rFonts w:ascii="Arial" w:hAnsi="Arial" w:cs="Arial"/>
          <w:b/>
          <w:bCs/>
          <w:sz w:val="28"/>
          <w:szCs w:val="28"/>
        </w:rPr>
      </w:pPr>
    </w:p>
    <w:p w14:paraId="0AC8054C" w14:textId="02C3225C" w:rsidR="00544E5D" w:rsidRDefault="00544E5D" w:rsidP="00194165">
      <w:pPr>
        <w:spacing w:line="360" w:lineRule="auto"/>
        <w:jc w:val="both"/>
        <w:rPr>
          <w:rFonts w:ascii="Arial" w:hAnsi="Arial" w:cs="Arial"/>
          <w:b/>
          <w:bCs/>
          <w:sz w:val="28"/>
          <w:szCs w:val="28"/>
        </w:rPr>
      </w:pPr>
      <w:r w:rsidRPr="002F3460">
        <w:rPr>
          <w:rFonts w:ascii="Arial" w:hAnsi="Arial" w:cs="Arial"/>
          <w:b/>
          <w:bCs/>
          <w:sz w:val="28"/>
          <w:szCs w:val="28"/>
        </w:rPr>
        <w:lastRenderedPageBreak/>
        <w:t>Reference List</w:t>
      </w:r>
    </w:p>
    <w:p w14:paraId="367FDC19" w14:textId="03EC94FA" w:rsidR="00544E5D" w:rsidRDefault="00544E5D" w:rsidP="00544E5D">
      <w:pPr>
        <w:spacing w:after="240" w:line="360" w:lineRule="auto"/>
        <w:rPr>
          <w:rFonts w:ascii="Arial" w:hAnsi="Arial" w:cs="Arial"/>
          <w:sz w:val="24"/>
          <w:szCs w:val="24"/>
        </w:rPr>
      </w:pPr>
      <w:r w:rsidRPr="007769B6">
        <w:rPr>
          <w:rFonts w:ascii="Arial" w:hAnsi="Arial" w:cs="Arial"/>
          <w:sz w:val="24"/>
          <w:szCs w:val="24"/>
        </w:rPr>
        <w:t>Anderson, L.W. and Krathwohl, D.R. (2001)</w:t>
      </w:r>
      <w:r>
        <w:rPr>
          <w:rFonts w:ascii="Arial" w:hAnsi="Arial" w:cs="Arial"/>
          <w:sz w:val="24"/>
          <w:szCs w:val="24"/>
        </w:rPr>
        <w:t>.</w:t>
      </w:r>
      <w:r w:rsidRPr="007769B6">
        <w:rPr>
          <w:rFonts w:ascii="Arial" w:hAnsi="Arial" w:cs="Arial"/>
          <w:sz w:val="24"/>
          <w:szCs w:val="24"/>
        </w:rPr>
        <w:t xml:space="preserve"> </w:t>
      </w:r>
      <w:r w:rsidRPr="00F815CE">
        <w:rPr>
          <w:rFonts w:ascii="Arial" w:hAnsi="Arial" w:cs="Arial"/>
          <w:i/>
          <w:iCs/>
          <w:sz w:val="24"/>
          <w:szCs w:val="24"/>
        </w:rPr>
        <w:t>A taxonomy for learning, teaching, and</w:t>
      </w:r>
      <w:r w:rsidR="002F753F">
        <w:rPr>
          <w:rFonts w:ascii="Arial" w:hAnsi="Arial" w:cs="Arial"/>
          <w:i/>
          <w:iCs/>
          <w:sz w:val="24"/>
          <w:szCs w:val="24"/>
        </w:rPr>
        <w:t xml:space="preserve"> </w:t>
      </w:r>
      <w:r w:rsidRPr="00F815CE">
        <w:rPr>
          <w:rFonts w:ascii="Arial" w:hAnsi="Arial" w:cs="Arial"/>
          <w:i/>
          <w:iCs/>
          <w:sz w:val="24"/>
          <w:szCs w:val="24"/>
        </w:rPr>
        <w:t>assessing: A revision of Bloom's taxonomy of educational objectives</w:t>
      </w:r>
      <w:r w:rsidRPr="007769B6">
        <w:rPr>
          <w:rFonts w:ascii="Arial" w:hAnsi="Arial" w:cs="Arial"/>
          <w:sz w:val="24"/>
          <w:szCs w:val="24"/>
        </w:rPr>
        <w:t>. New York: Longman.  </w:t>
      </w:r>
    </w:p>
    <w:p w14:paraId="622B7A5B" w14:textId="77777777" w:rsidR="00544E5D" w:rsidRPr="002B23A7" w:rsidRDefault="00544E5D" w:rsidP="00544E5D">
      <w:pPr>
        <w:spacing w:after="240" w:line="360" w:lineRule="auto"/>
        <w:rPr>
          <w:rFonts w:ascii="Arial" w:hAnsi="Arial" w:cs="Arial"/>
          <w:sz w:val="24"/>
          <w:szCs w:val="24"/>
        </w:rPr>
      </w:pPr>
      <w:r w:rsidRPr="002B23A7">
        <w:rPr>
          <w:rFonts w:ascii="Arial" w:hAnsi="Arial" w:cs="Arial"/>
          <w:sz w:val="24"/>
          <w:szCs w:val="24"/>
        </w:rPr>
        <w:t xml:space="preserve">Asselin, M.E. (2003) ‘Insider research: issues to consider when doing qualitative research in your own setting’, </w:t>
      </w:r>
      <w:r w:rsidRPr="002B23A7">
        <w:rPr>
          <w:rFonts w:ascii="Arial" w:hAnsi="Arial" w:cs="Arial"/>
          <w:i/>
          <w:iCs/>
          <w:sz w:val="24"/>
          <w:szCs w:val="24"/>
        </w:rPr>
        <w:t>Journal for Nurses in Staff Development</w:t>
      </w:r>
      <w:r w:rsidRPr="002B23A7">
        <w:rPr>
          <w:rFonts w:ascii="Arial" w:hAnsi="Arial" w:cs="Arial"/>
          <w:sz w:val="24"/>
          <w:szCs w:val="24"/>
        </w:rPr>
        <w:t>, 19(2), pp. 99–103. doi:10.1097/00124645-200303000-00008.</w:t>
      </w:r>
    </w:p>
    <w:p w14:paraId="3901D5A4" w14:textId="77777777" w:rsidR="00544E5D" w:rsidRDefault="00544E5D" w:rsidP="00544E5D">
      <w:pPr>
        <w:spacing w:after="240" w:line="360" w:lineRule="auto"/>
        <w:rPr>
          <w:rFonts w:ascii="Arial" w:hAnsi="Arial" w:cs="Arial"/>
          <w:sz w:val="24"/>
          <w:szCs w:val="24"/>
        </w:rPr>
      </w:pPr>
      <w:r w:rsidRPr="00104170">
        <w:rPr>
          <w:rFonts w:ascii="Arial" w:hAnsi="Arial" w:cs="Arial"/>
          <w:sz w:val="24"/>
          <w:szCs w:val="24"/>
        </w:rPr>
        <w:t xml:space="preserve">Audit Wales (2025) </w:t>
      </w:r>
      <w:r w:rsidRPr="00104170">
        <w:rPr>
          <w:rFonts w:ascii="Arial" w:hAnsi="Arial" w:cs="Arial"/>
          <w:i/>
          <w:iCs/>
          <w:sz w:val="24"/>
          <w:szCs w:val="24"/>
        </w:rPr>
        <w:t>Addressing workforce challenges in NHS Wales</w:t>
      </w:r>
      <w:r w:rsidRPr="00104170">
        <w:rPr>
          <w:rFonts w:ascii="Arial" w:hAnsi="Arial" w:cs="Arial"/>
          <w:sz w:val="24"/>
          <w:szCs w:val="24"/>
        </w:rPr>
        <w:t xml:space="preserve">. Cardiff: Audit Wales. Available at: </w:t>
      </w:r>
      <w:hyperlink r:id="rId10" w:history="1">
        <w:r w:rsidRPr="00104170">
          <w:rPr>
            <w:rStyle w:val="Hyperlink"/>
            <w:rFonts w:ascii="Arial" w:hAnsi="Arial" w:cs="Arial"/>
            <w:sz w:val="24"/>
            <w:szCs w:val="24"/>
          </w:rPr>
          <w:t>https://www.audit.wales/publication/addressing-workforce-challenges-nhs-wales</w:t>
        </w:r>
      </w:hyperlink>
      <w:r w:rsidRPr="00104170">
        <w:rPr>
          <w:rFonts w:ascii="Arial" w:hAnsi="Arial" w:cs="Arial"/>
          <w:sz w:val="24"/>
          <w:szCs w:val="24"/>
        </w:rPr>
        <w:t xml:space="preserve"> (Accessed 20 February 2026).</w:t>
      </w:r>
    </w:p>
    <w:p w14:paraId="166DD397" w14:textId="77777777" w:rsidR="00544E5D" w:rsidRDefault="00544E5D" w:rsidP="00544E5D">
      <w:pPr>
        <w:spacing w:after="240" w:line="360" w:lineRule="auto"/>
        <w:rPr>
          <w:rFonts w:ascii="Arial" w:hAnsi="Arial" w:cs="Arial"/>
          <w:sz w:val="24"/>
          <w:szCs w:val="24"/>
        </w:rPr>
      </w:pPr>
      <w:r w:rsidRPr="00853922">
        <w:rPr>
          <w:rFonts w:ascii="Arial" w:hAnsi="Arial" w:cs="Arial"/>
          <w:sz w:val="24"/>
          <w:szCs w:val="24"/>
        </w:rPr>
        <w:t xml:space="preserve">Australian Government Department of Health (2021) </w:t>
      </w:r>
      <w:r w:rsidRPr="00853922">
        <w:rPr>
          <w:rFonts w:ascii="Arial" w:hAnsi="Arial" w:cs="Arial"/>
          <w:i/>
          <w:iCs/>
          <w:sz w:val="24"/>
          <w:szCs w:val="24"/>
        </w:rPr>
        <w:t>National Medical Workforce Strategy 2021–2031</w:t>
      </w:r>
      <w:r w:rsidRPr="00853922">
        <w:rPr>
          <w:rFonts w:ascii="Arial" w:hAnsi="Arial" w:cs="Arial"/>
          <w:sz w:val="24"/>
          <w:szCs w:val="24"/>
        </w:rPr>
        <w:t xml:space="preserve">. Canberra: Commonwealth of Australia. Available at: </w:t>
      </w:r>
      <w:hyperlink r:id="rId11" w:history="1">
        <w:r w:rsidRPr="00853922">
          <w:rPr>
            <w:rStyle w:val="Hyperlink"/>
            <w:rFonts w:ascii="Arial" w:hAnsi="Arial" w:cs="Arial"/>
            <w:sz w:val="24"/>
            <w:szCs w:val="24"/>
          </w:rPr>
          <w:t>https://www.health.gov.au/resources/publications/national-medical-workforce-strategy-2021-2031</w:t>
        </w:r>
      </w:hyperlink>
      <w:r w:rsidRPr="00853922">
        <w:rPr>
          <w:rFonts w:ascii="Arial" w:hAnsi="Arial" w:cs="Arial"/>
          <w:sz w:val="24"/>
          <w:szCs w:val="24"/>
        </w:rPr>
        <w:t xml:space="preserve"> (Accessed 12 February 2026).</w:t>
      </w:r>
    </w:p>
    <w:p w14:paraId="0E5B079F" w14:textId="77777777" w:rsidR="00544E5D" w:rsidRDefault="00544E5D" w:rsidP="00544E5D">
      <w:pPr>
        <w:spacing w:after="240" w:line="360" w:lineRule="auto"/>
        <w:rPr>
          <w:rFonts w:ascii="Arial" w:hAnsi="Arial" w:cs="Arial"/>
          <w:sz w:val="24"/>
          <w:szCs w:val="24"/>
        </w:rPr>
      </w:pPr>
      <w:r w:rsidRPr="000323B7">
        <w:rPr>
          <w:rFonts w:ascii="Arial" w:hAnsi="Arial" w:cs="Arial"/>
          <w:sz w:val="24"/>
          <w:szCs w:val="24"/>
        </w:rPr>
        <w:t>Ayrton, R.</w:t>
      </w:r>
      <w:r>
        <w:rPr>
          <w:rFonts w:ascii="Arial" w:hAnsi="Arial" w:cs="Arial"/>
          <w:sz w:val="24"/>
          <w:szCs w:val="24"/>
        </w:rPr>
        <w:t xml:space="preserve"> </w:t>
      </w:r>
      <w:r w:rsidRPr="000323B7">
        <w:rPr>
          <w:rFonts w:ascii="Arial" w:hAnsi="Arial" w:cs="Arial"/>
          <w:sz w:val="24"/>
          <w:szCs w:val="24"/>
        </w:rPr>
        <w:t>(2019). The micro-dynamics of power and performance in focus groups: an example from discussions on national identity with the South Sudanese diaspora in the UK. </w:t>
      </w:r>
      <w:r w:rsidRPr="000323B7">
        <w:rPr>
          <w:rFonts w:ascii="Arial" w:hAnsi="Arial" w:cs="Arial"/>
          <w:i/>
          <w:iCs/>
          <w:sz w:val="24"/>
          <w:szCs w:val="24"/>
        </w:rPr>
        <w:t>Qualitative Research</w:t>
      </w:r>
      <w:r w:rsidRPr="000323B7">
        <w:rPr>
          <w:rFonts w:ascii="Arial" w:hAnsi="Arial" w:cs="Arial"/>
          <w:sz w:val="24"/>
          <w:szCs w:val="24"/>
        </w:rPr>
        <w:t>, 19(3), pp.323–339. [online] Available at: https://journals.sagepub.com/doi/10.1177/1468794118757102 [Accessed 5 Jun. 2025].</w:t>
      </w:r>
    </w:p>
    <w:p w14:paraId="55402857" w14:textId="77777777" w:rsidR="00544E5D" w:rsidRPr="003B30F8" w:rsidRDefault="00544E5D" w:rsidP="00544E5D">
      <w:pPr>
        <w:spacing w:after="240" w:line="360" w:lineRule="auto"/>
        <w:rPr>
          <w:rFonts w:ascii="Arial" w:hAnsi="Arial" w:cs="Arial"/>
          <w:sz w:val="24"/>
          <w:szCs w:val="24"/>
        </w:rPr>
      </w:pPr>
      <w:r w:rsidRPr="003B30F8">
        <w:rPr>
          <w:rFonts w:ascii="Arial" w:hAnsi="Arial" w:cs="Arial"/>
          <w:sz w:val="24"/>
          <w:szCs w:val="24"/>
        </w:rPr>
        <w:t xml:space="preserve">Baldwin, T.T. and Ford, J.K. (1988) ‘Transfer of training: A review and directions for future research’, </w:t>
      </w:r>
      <w:r w:rsidRPr="003B30F8">
        <w:rPr>
          <w:rFonts w:ascii="Arial" w:hAnsi="Arial" w:cs="Arial"/>
          <w:i/>
          <w:iCs/>
          <w:sz w:val="24"/>
          <w:szCs w:val="24"/>
        </w:rPr>
        <w:t>Personnel Psychology</w:t>
      </w:r>
      <w:r w:rsidRPr="003B30F8">
        <w:rPr>
          <w:rFonts w:ascii="Arial" w:hAnsi="Arial" w:cs="Arial"/>
          <w:sz w:val="24"/>
          <w:szCs w:val="24"/>
        </w:rPr>
        <w:t>, 41(1), pp. 63–105. https://doi.org/10.1111/j.1744-6570.1988.tb00632.x</w:t>
      </w:r>
    </w:p>
    <w:p w14:paraId="195879AF" w14:textId="77777777" w:rsidR="00544E5D" w:rsidRDefault="00544E5D" w:rsidP="00544E5D">
      <w:pPr>
        <w:spacing w:after="240" w:line="360" w:lineRule="auto"/>
        <w:rPr>
          <w:rFonts w:ascii="Arial" w:hAnsi="Arial" w:cs="Arial"/>
          <w:sz w:val="24"/>
          <w:szCs w:val="24"/>
        </w:rPr>
      </w:pPr>
      <w:r w:rsidRPr="00E61692">
        <w:rPr>
          <w:rFonts w:ascii="Arial" w:hAnsi="Arial" w:cs="Arial"/>
          <w:sz w:val="24"/>
          <w:szCs w:val="24"/>
        </w:rPr>
        <w:t>Barbour, R. (2019). Focus group methodology: some ethical challenges. </w:t>
      </w:r>
      <w:r w:rsidRPr="00E61692">
        <w:rPr>
          <w:rFonts w:ascii="Arial" w:hAnsi="Arial" w:cs="Arial"/>
          <w:i/>
          <w:iCs/>
          <w:sz w:val="24"/>
          <w:szCs w:val="24"/>
        </w:rPr>
        <w:t>Quality &amp; Quantity</w:t>
      </w:r>
      <w:r w:rsidRPr="00E61692">
        <w:rPr>
          <w:rFonts w:ascii="Arial" w:hAnsi="Arial" w:cs="Arial"/>
          <w:sz w:val="24"/>
          <w:szCs w:val="24"/>
        </w:rPr>
        <w:t>, 53, pp.2313–2325. [online] Available at: https://link.springer.com/article/10.1007/s11135-019-00914-5 [Accessed 13 Jun. 2025].</w:t>
      </w:r>
    </w:p>
    <w:p w14:paraId="7240ED83" w14:textId="77777777" w:rsidR="00544E5D" w:rsidRDefault="00544E5D" w:rsidP="00544E5D">
      <w:pPr>
        <w:spacing w:after="240" w:line="360" w:lineRule="auto"/>
        <w:rPr>
          <w:rFonts w:ascii="Arial" w:hAnsi="Arial" w:cs="Arial"/>
          <w:sz w:val="24"/>
          <w:szCs w:val="24"/>
        </w:rPr>
      </w:pPr>
      <w:r w:rsidRPr="00821BD3">
        <w:rPr>
          <w:rFonts w:ascii="Arial" w:hAnsi="Arial" w:cs="Arial"/>
          <w:sz w:val="24"/>
          <w:szCs w:val="24"/>
        </w:rPr>
        <w:t>Bassey, M. (1999)</w:t>
      </w:r>
      <w:r>
        <w:rPr>
          <w:rFonts w:ascii="Arial" w:hAnsi="Arial" w:cs="Arial"/>
          <w:sz w:val="24"/>
          <w:szCs w:val="24"/>
        </w:rPr>
        <w:t>.</w:t>
      </w:r>
      <w:r w:rsidRPr="00821BD3">
        <w:rPr>
          <w:rFonts w:ascii="Arial" w:hAnsi="Arial" w:cs="Arial"/>
          <w:sz w:val="24"/>
          <w:szCs w:val="24"/>
        </w:rPr>
        <w:t xml:space="preserve"> </w:t>
      </w:r>
      <w:r w:rsidRPr="00F815CE">
        <w:rPr>
          <w:rFonts w:ascii="Arial" w:hAnsi="Arial" w:cs="Arial"/>
          <w:i/>
          <w:iCs/>
          <w:sz w:val="24"/>
          <w:szCs w:val="24"/>
        </w:rPr>
        <w:t>Case study research in educational settings</w:t>
      </w:r>
      <w:r>
        <w:rPr>
          <w:rFonts w:ascii="Arial" w:hAnsi="Arial" w:cs="Arial"/>
          <w:sz w:val="24"/>
          <w:szCs w:val="24"/>
        </w:rPr>
        <w:t>.</w:t>
      </w:r>
      <w:r w:rsidRPr="00821BD3">
        <w:rPr>
          <w:rFonts w:ascii="Arial" w:hAnsi="Arial" w:cs="Arial"/>
          <w:sz w:val="24"/>
          <w:szCs w:val="24"/>
        </w:rPr>
        <w:t xml:space="preserve"> Buckingham: Open University Press.</w:t>
      </w:r>
    </w:p>
    <w:p w14:paraId="3FE4AA9C" w14:textId="77777777" w:rsidR="00544E5D" w:rsidRDefault="00544E5D" w:rsidP="00544E5D">
      <w:pPr>
        <w:spacing w:after="240" w:line="360" w:lineRule="auto"/>
        <w:rPr>
          <w:rFonts w:ascii="Arial" w:hAnsi="Arial" w:cs="Arial"/>
          <w:sz w:val="24"/>
          <w:szCs w:val="24"/>
        </w:rPr>
      </w:pPr>
      <w:r w:rsidRPr="00F815CE">
        <w:rPr>
          <w:rFonts w:ascii="Arial" w:hAnsi="Arial" w:cs="Arial"/>
          <w:sz w:val="24"/>
          <w:szCs w:val="24"/>
        </w:rPr>
        <w:lastRenderedPageBreak/>
        <w:t>Bell, J. (2005)</w:t>
      </w:r>
      <w:r>
        <w:rPr>
          <w:rFonts w:ascii="Arial" w:hAnsi="Arial" w:cs="Arial"/>
          <w:sz w:val="24"/>
          <w:szCs w:val="24"/>
        </w:rPr>
        <w:t>.</w:t>
      </w:r>
      <w:r w:rsidRPr="00F815CE">
        <w:rPr>
          <w:rFonts w:ascii="Arial" w:hAnsi="Arial" w:cs="Arial"/>
          <w:sz w:val="24"/>
          <w:szCs w:val="24"/>
        </w:rPr>
        <w:t xml:space="preserve"> </w:t>
      </w:r>
      <w:r w:rsidRPr="00F815CE">
        <w:rPr>
          <w:rFonts w:ascii="Arial" w:hAnsi="Arial" w:cs="Arial"/>
          <w:i/>
          <w:iCs/>
          <w:sz w:val="24"/>
          <w:szCs w:val="24"/>
        </w:rPr>
        <w:t>Doing your research project: a guide for first-time researchers in education health and social science</w:t>
      </w:r>
      <w:r>
        <w:rPr>
          <w:rFonts w:ascii="Arial" w:hAnsi="Arial" w:cs="Arial"/>
          <w:i/>
          <w:iCs/>
          <w:sz w:val="24"/>
          <w:szCs w:val="24"/>
        </w:rPr>
        <w:t>.</w:t>
      </w:r>
      <w:r w:rsidRPr="00F815CE">
        <w:rPr>
          <w:rFonts w:ascii="Arial" w:hAnsi="Arial" w:cs="Arial"/>
          <w:sz w:val="24"/>
          <w:szCs w:val="24"/>
        </w:rPr>
        <w:t xml:space="preserve"> Maidenhead: Open University Press</w:t>
      </w:r>
      <w:r>
        <w:rPr>
          <w:rFonts w:ascii="Arial" w:hAnsi="Arial" w:cs="Arial"/>
          <w:sz w:val="24"/>
          <w:szCs w:val="24"/>
        </w:rPr>
        <w:t>.</w:t>
      </w:r>
    </w:p>
    <w:p w14:paraId="13969CEA" w14:textId="77777777" w:rsidR="00886268" w:rsidRDefault="00544E5D" w:rsidP="00544E5D">
      <w:pPr>
        <w:spacing w:after="240" w:line="360" w:lineRule="auto"/>
        <w:rPr>
          <w:rFonts w:ascii="Arial" w:hAnsi="Arial" w:cs="Arial"/>
          <w:sz w:val="24"/>
          <w:szCs w:val="24"/>
        </w:rPr>
      </w:pPr>
      <w:r w:rsidRPr="009E6899">
        <w:rPr>
          <w:rFonts w:ascii="Arial" w:hAnsi="Arial" w:cs="Arial"/>
          <w:sz w:val="24"/>
          <w:szCs w:val="24"/>
        </w:rPr>
        <w:t xml:space="preserve">Berger, R. (2015) ‘Now I see it, now I don’t: researcher’s position and reflexivity in qualitative research’, </w:t>
      </w:r>
      <w:r w:rsidRPr="009E6899">
        <w:rPr>
          <w:rFonts w:ascii="Arial" w:hAnsi="Arial" w:cs="Arial"/>
          <w:i/>
          <w:iCs/>
          <w:sz w:val="24"/>
          <w:szCs w:val="24"/>
        </w:rPr>
        <w:t>Qualitative Research</w:t>
      </w:r>
      <w:r w:rsidRPr="009E6899">
        <w:rPr>
          <w:rFonts w:ascii="Arial" w:hAnsi="Arial" w:cs="Arial"/>
          <w:sz w:val="24"/>
          <w:szCs w:val="24"/>
        </w:rPr>
        <w:t>, 15(2), pp. 219–234. doi:10.1177/1468794112468475.</w:t>
      </w:r>
    </w:p>
    <w:p w14:paraId="4271EB6D" w14:textId="10868485" w:rsidR="00544E5D" w:rsidRPr="0022713C" w:rsidRDefault="00544E5D" w:rsidP="00544E5D">
      <w:pPr>
        <w:spacing w:after="240" w:line="360" w:lineRule="auto"/>
        <w:rPr>
          <w:rFonts w:ascii="Arial" w:hAnsi="Arial" w:cs="Arial"/>
          <w:sz w:val="24"/>
          <w:szCs w:val="24"/>
        </w:rPr>
      </w:pPr>
      <w:r w:rsidRPr="0022713C">
        <w:rPr>
          <w:rFonts w:ascii="Arial" w:hAnsi="Arial" w:cs="Arial"/>
          <w:sz w:val="24"/>
          <w:szCs w:val="24"/>
        </w:rPr>
        <w:t xml:space="preserve">Birken, S.A. </w:t>
      </w:r>
      <w:r w:rsidRPr="00886268">
        <w:rPr>
          <w:rFonts w:ascii="Arial" w:hAnsi="Arial" w:cs="Arial"/>
          <w:i/>
          <w:iCs/>
          <w:sz w:val="24"/>
          <w:szCs w:val="24"/>
        </w:rPr>
        <w:t>et al</w:t>
      </w:r>
      <w:r w:rsidRPr="0022713C">
        <w:rPr>
          <w:rFonts w:ascii="Arial" w:hAnsi="Arial" w:cs="Arial"/>
          <w:sz w:val="24"/>
          <w:szCs w:val="24"/>
        </w:rPr>
        <w:t xml:space="preserve">. (2017) ‘Organisational theory for dissemination and implementation research’, </w:t>
      </w:r>
      <w:r w:rsidRPr="0022713C">
        <w:rPr>
          <w:rFonts w:ascii="Arial" w:hAnsi="Arial" w:cs="Arial"/>
          <w:i/>
          <w:iCs/>
          <w:sz w:val="24"/>
          <w:szCs w:val="24"/>
        </w:rPr>
        <w:t>Implementation Science</w:t>
      </w:r>
      <w:r w:rsidRPr="0022713C">
        <w:rPr>
          <w:rFonts w:ascii="Arial" w:hAnsi="Arial" w:cs="Arial"/>
          <w:sz w:val="24"/>
          <w:szCs w:val="24"/>
        </w:rPr>
        <w:t>, 12(1), p. 62.</w:t>
      </w:r>
    </w:p>
    <w:p w14:paraId="27619CC0" w14:textId="77777777" w:rsidR="00544E5D" w:rsidRDefault="00544E5D" w:rsidP="00544E5D">
      <w:pPr>
        <w:spacing w:after="240" w:line="360" w:lineRule="auto"/>
        <w:rPr>
          <w:rFonts w:ascii="Arial" w:hAnsi="Arial" w:cs="Arial"/>
          <w:sz w:val="24"/>
          <w:szCs w:val="24"/>
        </w:rPr>
      </w:pPr>
      <w:r w:rsidRPr="00137101">
        <w:rPr>
          <w:rFonts w:ascii="Arial" w:hAnsi="Arial" w:cs="Arial"/>
          <w:sz w:val="24"/>
          <w:szCs w:val="24"/>
        </w:rPr>
        <w:t>Billett, S. (2014)</w:t>
      </w:r>
      <w:r>
        <w:rPr>
          <w:rFonts w:ascii="Arial" w:hAnsi="Arial" w:cs="Arial"/>
          <w:sz w:val="24"/>
          <w:szCs w:val="24"/>
        </w:rPr>
        <w:t>.</w:t>
      </w:r>
      <w:r w:rsidRPr="00137101">
        <w:rPr>
          <w:rFonts w:ascii="Arial" w:hAnsi="Arial" w:cs="Arial"/>
          <w:sz w:val="24"/>
          <w:szCs w:val="24"/>
        </w:rPr>
        <w:t xml:space="preserve"> Research paradigms of practice, work and learning, in Billett, S., Harteis, C. and Gruber, H. (eds.) </w:t>
      </w:r>
      <w:r w:rsidRPr="00137101">
        <w:rPr>
          <w:rFonts w:ascii="Arial" w:hAnsi="Arial" w:cs="Arial"/>
          <w:i/>
          <w:iCs/>
          <w:sz w:val="24"/>
          <w:szCs w:val="24"/>
        </w:rPr>
        <w:t>International Handbook of Research in Professional and Practice-based Learning.</w:t>
      </w:r>
      <w:r w:rsidRPr="00137101">
        <w:rPr>
          <w:rFonts w:ascii="Arial" w:hAnsi="Arial" w:cs="Arial"/>
          <w:sz w:val="24"/>
          <w:szCs w:val="24"/>
        </w:rPr>
        <w:t xml:space="preserve"> Dordrecht: Springer, pp. 1–20. Available at:</w:t>
      </w:r>
      <w:r>
        <w:rPr>
          <w:rFonts w:ascii="Arial" w:hAnsi="Arial" w:cs="Arial"/>
          <w:sz w:val="24"/>
          <w:szCs w:val="24"/>
        </w:rPr>
        <w:t xml:space="preserve"> </w:t>
      </w:r>
      <w:r w:rsidRPr="00137101">
        <w:rPr>
          <w:rFonts w:ascii="Arial" w:hAnsi="Arial" w:cs="Arial"/>
          <w:sz w:val="24"/>
          <w:szCs w:val="24"/>
        </w:rPr>
        <w:t>https://link.springer.com/chapter/10.1007/978-94-017-8902-8_10 [Accessed 3 June 2025].</w:t>
      </w:r>
    </w:p>
    <w:p w14:paraId="66C737A8" w14:textId="77777777" w:rsidR="00544E5D" w:rsidRDefault="00544E5D" w:rsidP="00544E5D">
      <w:pPr>
        <w:spacing w:after="240" w:line="360" w:lineRule="auto"/>
        <w:rPr>
          <w:rFonts w:ascii="Arial" w:hAnsi="Arial" w:cs="Arial"/>
          <w:sz w:val="24"/>
          <w:szCs w:val="24"/>
        </w:rPr>
      </w:pPr>
      <w:r w:rsidRPr="00583FEB">
        <w:rPr>
          <w:rFonts w:ascii="Arial" w:hAnsi="Arial" w:cs="Arial"/>
          <w:sz w:val="24"/>
          <w:szCs w:val="24"/>
        </w:rPr>
        <w:t>BMJ (2019). Evaluating the impact of healthcare interventions using routine data. </w:t>
      </w:r>
      <w:r w:rsidRPr="00583FEB">
        <w:rPr>
          <w:rFonts w:ascii="Arial" w:hAnsi="Arial" w:cs="Arial"/>
          <w:i/>
          <w:iCs/>
          <w:sz w:val="24"/>
          <w:szCs w:val="24"/>
        </w:rPr>
        <w:t>BMJ</w:t>
      </w:r>
      <w:r w:rsidRPr="00583FEB">
        <w:rPr>
          <w:rFonts w:ascii="Arial" w:hAnsi="Arial" w:cs="Arial"/>
          <w:sz w:val="24"/>
          <w:szCs w:val="24"/>
        </w:rPr>
        <w:t>, 365, p.l2239.</w:t>
      </w:r>
    </w:p>
    <w:p w14:paraId="03AF13EF" w14:textId="77777777" w:rsidR="00544E5D" w:rsidRDefault="00544E5D" w:rsidP="00544E5D">
      <w:pPr>
        <w:spacing w:after="240" w:line="360" w:lineRule="auto"/>
        <w:rPr>
          <w:rFonts w:ascii="Arial" w:hAnsi="Arial" w:cs="Arial"/>
          <w:sz w:val="24"/>
          <w:szCs w:val="24"/>
        </w:rPr>
      </w:pPr>
      <w:r w:rsidRPr="00583FEB">
        <w:rPr>
          <w:rFonts w:ascii="Arial" w:hAnsi="Arial" w:cs="Arial"/>
          <w:sz w:val="24"/>
          <w:szCs w:val="24"/>
        </w:rPr>
        <w:t>Bowen, G.A. (2009). Document Analysis as a Qualitative Research Method. </w:t>
      </w:r>
      <w:r w:rsidRPr="00583FEB">
        <w:rPr>
          <w:rFonts w:ascii="Arial" w:hAnsi="Arial" w:cs="Arial"/>
          <w:i/>
          <w:iCs/>
          <w:sz w:val="24"/>
          <w:szCs w:val="24"/>
        </w:rPr>
        <w:t>Qualitative Research Journal</w:t>
      </w:r>
      <w:r w:rsidRPr="00583FEB">
        <w:rPr>
          <w:rFonts w:ascii="Arial" w:hAnsi="Arial" w:cs="Arial"/>
          <w:sz w:val="24"/>
          <w:szCs w:val="24"/>
        </w:rPr>
        <w:t>, 9(2), pp. 27-40.</w:t>
      </w:r>
    </w:p>
    <w:p w14:paraId="6E9C5A83" w14:textId="77777777" w:rsidR="00544E5D" w:rsidRDefault="00544E5D" w:rsidP="00544E5D">
      <w:pPr>
        <w:spacing w:after="240" w:line="360" w:lineRule="auto"/>
        <w:rPr>
          <w:rFonts w:ascii="Arial" w:hAnsi="Arial" w:cs="Arial"/>
          <w:sz w:val="24"/>
          <w:szCs w:val="24"/>
        </w:rPr>
      </w:pPr>
      <w:r w:rsidRPr="007C6B93">
        <w:rPr>
          <w:rFonts w:ascii="Arial" w:hAnsi="Arial" w:cs="Arial"/>
          <w:sz w:val="24"/>
          <w:szCs w:val="24"/>
        </w:rPr>
        <w:t xml:space="preserve">Brannick, T. and Coghlan, D. (2007) ‘In defense of being “native”: the case for insider academic research’, </w:t>
      </w:r>
      <w:r w:rsidRPr="007C6B93">
        <w:rPr>
          <w:rFonts w:ascii="Arial" w:hAnsi="Arial" w:cs="Arial"/>
          <w:i/>
          <w:iCs/>
          <w:sz w:val="24"/>
          <w:szCs w:val="24"/>
        </w:rPr>
        <w:t>Organizational Research Methods</w:t>
      </w:r>
      <w:r w:rsidRPr="007C6B93">
        <w:rPr>
          <w:rFonts w:ascii="Arial" w:hAnsi="Arial" w:cs="Arial"/>
          <w:sz w:val="24"/>
          <w:szCs w:val="24"/>
        </w:rPr>
        <w:t>, 10(1), pp. 59–74. doi:10.1177/1094428106289253</w:t>
      </w:r>
    </w:p>
    <w:p w14:paraId="7F49579C" w14:textId="77777777" w:rsidR="00544E5D" w:rsidRDefault="00544E5D" w:rsidP="00544E5D">
      <w:pPr>
        <w:spacing w:after="240" w:line="360" w:lineRule="auto"/>
        <w:rPr>
          <w:rFonts w:ascii="Arial" w:hAnsi="Arial" w:cs="Arial"/>
          <w:sz w:val="24"/>
          <w:szCs w:val="24"/>
        </w:rPr>
      </w:pPr>
      <w:r w:rsidRPr="005A16C5">
        <w:rPr>
          <w:rFonts w:ascii="Arial" w:hAnsi="Arial" w:cs="Arial"/>
          <w:sz w:val="24"/>
          <w:szCs w:val="24"/>
        </w:rPr>
        <w:t>Brinkerhoff, R.O. (2009)</w:t>
      </w:r>
      <w:r>
        <w:rPr>
          <w:rFonts w:ascii="Arial" w:hAnsi="Arial" w:cs="Arial"/>
          <w:sz w:val="24"/>
          <w:szCs w:val="24"/>
        </w:rPr>
        <w:t>.</w:t>
      </w:r>
      <w:r w:rsidRPr="005A16C5">
        <w:rPr>
          <w:rFonts w:ascii="Arial" w:hAnsi="Arial" w:cs="Arial"/>
          <w:sz w:val="24"/>
          <w:szCs w:val="24"/>
        </w:rPr>
        <w:t xml:space="preserve"> </w:t>
      </w:r>
      <w:r w:rsidRPr="005A16C5">
        <w:rPr>
          <w:rFonts w:ascii="Arial" w:hAnsi="Arial" w:cs="Arial"/>
          <w:i/>
          <w:iCs/>
          <w:sz w:val="24"/>
          <w:szCs w:val="24"/>
        </w:rPr>
        <w:t>The Success Case Method: Find out quickly what's working and what's not.</w:t>
      </w:r>
      <w:r w:rsidRPr="005A16C5">
        <w:rPr>
          <w:rFonts w:ascii="Arial" w:hAnsi="Arial" w:cs="Arial"/>
          <w:sz w:val="24"/>
          <w:szCs w:val="24"/>
        </w:rPr>
        <w:t xml:space="preserve"> San Francisco: Berrett-Koehler Publishers.</w:t>
      </w:r>
    </w:p>
    <w:p w14:paraId="3BB2FDF9" w14:textId="77777777" w:rsidR="00544E5D" w:rsidRDefault="00544E5D" w:rsidP="00544E5D">
      <w:pPr>
        <w:spacing w:after="240" w:line="360" w:lineRule="auto"/>
        <w:rPr>
          <w:rFonts w:ascii="Arial" w:hAnsi="Arial" w:cs="Arial"/>
          <w:sz w:val="24"/>
          <w:szCs w:val="24"/>
        </w:rPr>
      </w:pPr>
      <w:r w:rsidRPr="0022713C">
        <w:rPr>
          <w:rFonts w:ascii="Arial" w:hAnsi="Arial" w:cs="Arial"/>
          <w:sz w:val="24"/>
          <w:szCs w:val="24"/>
        </w:rPr>
        <w:t>Buchan, J., Duffield, C. and Jordan, A. (2015)</w:t>
      </w:r>
      <w:r>
        <w:rPr>
          <w:rFonts w:ascii="Arial" w:hAnsi="Arial" w:cs="Arial"/>
          <w:sz w:val="24"/>
          <w:szCs w:val="24"/>
        </w:rPr>
        <w:t>.</w:t>
      </w:r>
      <w:r w:rsidRPr="0022713C">
        <w:rPr>
          <w:rFonts w:ascii="Arial" w:hAnsi="Arial" w:cs="Arial"/>
          <w:sz w:val="24"/>
          <w:szCs w:val="24"/>
        </w:rPr>
        <w:t xml:space="preserve"> ‘’Solving’ nursing shortages: do we need a new agenda?’, </w:t>
      </w:r>
      <w:r w:rsidRPr="0022713C">
        <w:rPr>
          <w:rFonts w:ascii="Arial" w:hAnsi="Arial" w:cs="Arial"/>
          <w:i/>
          <w:iCs/>
          <w:sz w:val="24"/>
          <w:szCs w:val="24"/>
        </w:rPr>
        <w:t>Journal of Nursing Management</w:t>
      </w:r>
      <w:r w:rsidRPr="0022713C">
        <w:rPr>
          <w:rFonts w:ascii="Arial" w:hAnsi="Arial" w:cs="Arial"/>
          <w:sz w:val="24"/>
          <w:szCs w:val="24"/>
        </w:rPr>
        <w:t>, 23(5), pp. 543–545.</w:t>
      </w:r>
    </w:p>
    <w:p w14:paraId="5CC60E80" w14:textId="18CE13D4" w:rsidR="00544E5D" w:rsidRPr="004F31A3" w:rsidRDefault="00544E5D" w:rsidP="00544E5D">
      <w:pPr>
        <w:spacing w:after="240" w:line="360" w:lineRule="auto"/>
        <w:rPr>
          <w:rFonts w:ascii="Arial" w:hAnsi="Arial" w:cs="Arial"/>
          <w:sz w:val="24"/>
          <w:szCs w:val="24"/>
        </w:rPr>
      </w:pPr>
      <w:r w:rsidRPr="004F31A3">
        <w:rPr>
          <w:rFonts w:ascii="Arial" w:hAnsi="Arial" w:cs="Arial"/>
          <w:sz w:val="24"/>
          <w:szCs w:val="24"/>
        </w:rPr>
        <w:t xml:space="preserve">Buchan, J., O’May, F. and Dussault, G. (2015) </w:t>
      </w:r>
      <w:r w:rsidRPr="004F31A3">
        <w:rPr>
          <w:rFonts w:ascii="Arial" w:hAnsi="Arial" w:cs="Arial"/>
          <w:i/>
          <w:iCs/>
          <w:sz w:val="24"/>
          <w:szCs w:val="24"/>
        </w:rPr>
        <w:t>Nursing workforce policy and planning</w:t>
      </w:r>
      <w:r w:rsidRPr="004F31A3">
        <w:rPr>
          <w:rFonts w:ascii="Arial" w:hAnsi="Arial" w:cs="Arial"/>
          <w:sz w:val="24"/>
          <w:szCs w:val="24"/>
        </w:rPr>
        <w:t>. Geneva: World Health Organi</w:t>
      </w:r>
      <w:r w:rsidR="00833445">
        <w:rPr>
          <w:rFonts w:ascii="Arial" w:hAnsi="Arial" w:cs="Arial"/>
          <w:sz w:val="24"/>
          <w:szCs w:val="24"/>
        </w:rPr>
        <w:t>z</w:t>
      </w:r>
      <w:r w:rsidRPr="004F31A3">
        <w:rPr>
          <w:rFonts w:ascii="Arial" w:hAnsi="Arial" w:cs="Arial"/>
          <w:sz w:val="24"/>
          <w:szCs w:val="24"/>
        </w:rPr>
        <w:t>ation.</w:t>
      </w:r>
    </w:p>
    <w:p w14:paraId="3527248F" w14:textId="67C37D75" w:rsidR="00544E5D" w:rsidRDefault="00544E5D" w:rsidP="00544E5D">
      <w:pPr>
        <w:spacing w:after="240" w:line="360" w:lineRule="auto"/>
        <w:rPr>
          <w:rFonts w:ascii="Arial" w:hAnsi="Arial" w:cs="Arial"/>
          <w:sz w:val="24"/>
          <w:szCs w:val="24"/>
        </w:rPr>
      </w:pPr>
      <w:r>
        <w:rPr>
          <w:rFonts w:ascii="Arial" w:hAnsi="Arial" w:cs="Arial"/>
          <w:sz w:val="24"/>
          <w:szCs w:val="24"/>
        </w:rPr>
        <w:t xml:space="preserve">Buchan, J. </w:t>
      </w:r>
      <w:r w:rsidRPr="00E67504">
        <w:rPr>
          <w:rFonts w:ascii="Arial" w:hAnsi="Arial" w:cs="Arial"/>
          <w:i/>
          <w:iCs/>
          <w:sz w:val="24"/>
          <w:szCs w:val="24"/>
        </w:rPr>
        <w:t>et al</w:t>
      </w:r>
      <w:r>
        <w:rPr>
          <w:rFonts w:ascii="Arial" w:hAnsi="Arial" w:cs="Arial"/>
          <w:sz w:val="24"/>
          <w:szCs w:val="24"/>
        </w:rPr>
        <w:t xml:space="preserve">. (2019) </w:t>
      </w:r>
      <w:r w:rsidRPr="003D7226">
        <w:rPr>
          <w:rFonts w:ascii="Arial" w:hAnsi="Arial" w:cs="Arial"/>
          <w:i/>
          <w:iCs/>
          <w:sz w:val="24"/>
          <w:szCs w:val="24"/>
        </w:rPr>
        <w:t>A Critical Moment: NHS Staffing Trends, Retention and Attrition.</w:t>
      </w:r>
      <w:r>
        <w:rPr>
          <w:rFonts w:ascii="Arial" w:hAnsi="Arial" w:cs="Arial"/>
          <w:i/>
          <w:iCs/>
          <w:sz w:val="24"/>
          <w:szCs w:val="24"/>
        </w:rPr>
        <w:t xml:space="preserve"> </w:t>
      </w:r>
      <w:r w:rsidRPr="003D7226">
        <w:rPr>
          <w:rFonts w:ascii="Arial" w:hAnsi="Arial" w:cs="Arial"/>
          <w:sz w:val="24"/>
          <w:szCs w:val="24"/>
        </w:rPr>
        <w:t>London: The Health Foundation.</w:t>
      </w:r>
    </w:p>
    <w:p w14:paraId="39B2568B" w14:textId="77777777" w:rsidR="00544E5D" w:rsidRPr="004F31A3" w:rsidRDefault="00544E5D" w:rsidP="00544E5D">
      <w:pPr>
        <w:spacing w:after="240" w:line="360" w:lineRule="auto"/>
        <w:rPr>
          <w:rFonts w:ascii="Arial" w:hAnsi="Arial" w:cs="Arial"/>
          <w:sz w:val="24"/>
          <w:szCs w:val="24"/>
        </w:rPr>
      </w:pPr>
      <w:r w:rsidRPr="004F31A3">
        <w:rPr>
          <w:rFonts w:ascii="Arial" w:hAnsi="Arial" w:cs="Arial"/>
          <w:sz w:val="24"/>
          <w:szCs w:val="24"/>
        </w:rPr>
        <w:lastRenderedPageBreak/>
        <w:t xml:space="preserve">Burke, L.A. and Hutchins, H.M. (2007) ‘Training transfer: An integrative literature review’, </w:t>
      </w:r>
      <w:r w:rsidRPr="004F31A3">
        <w:rPr>
          <w:rFonts w:ascii="Arial" w:hAnsi="Arial" w:cs="Arial"/>
          <w:i/>
          <w:iCs/>
          <w:sz w:val="24"/>
          <w:szCs w:val="24"/>
        </w:rPr>
        <w:t>Human Resource Development Review</w:t>
      </w:r>
      <w:r w:rsidRPr="004F31A3">
        <w:rPr>
          <w:rFonts w:ascii="Arial" w:hAnsi="Arial" w:cs="Arial"/>
          <w:sz w:val="24"/>
          <w:szCs w:val="24"/>
        </w:rPr>
        <w:t>, 6(3), pp. 263–296. https://doi.org/10.1177/1534484307303035</w:t>
      </w:r>
    </w:p>
    <w:p w14:paraId="09AEEF1C" w14:textId="77777777" w:rsidR="00544E5D" w:rsidRDefault="00544E5D" w:rsidP="00544E5D">
      <w:pPr>
        <w:spacing w:after="240" w:line="360" w:lineRule="auto"/>
        <w:rPr>
          <w:rFonts w:ascii="Arial" w:hAnsi="Arial" w:cs="Arial"/>
          <w:sz w:val="24"/>
          <w:szCs w:val="24"/>
        </w:rPr>
      </w:pPr>
      <w:r w:rsidRPr="005A16C5">
        <w:rPr>
          <w:rFonts w:ascii="Arial" w:hAnsi="Arial" w:cs="Arial"/>
          <w:sz w:val="24"/>
          <w:szCs w:val="24"/>
        </w:rPr>
        <w:t>Bryman, A. (2012)</w:t>
      </w:r>
      <w:r>
        <w:rPr>
          <w:rFonts w:ascii="Arial" w:hAnsi="Arial" w:cs="Arial"/>
          <w:sz w:val="24"/>
          <w:szCs w:val="24"/>
        </w:rPr>
        <w:t>.</w:t>
      </w:r>
      <w:r w:rsidRPr="005A16C5">
        <w:rPr>
          <w:rFonts w:ascii="Arial" w:hAnsi="Arial" w:cs="Arial"/>
          <w:sz w:val="24"/>
          <w:szCs w:val="24"/>
        </w:rPr>
        <w:t> </w:t>
      </w:r>
      <w:r w:rsidRPr="005A16C5">
        <w:rPr>
          <w:rFonts w:ascii="Arial" w:hAnsi="Arial" w:cs="Arial"/>
          <w:i/>
          <w:iCs/>
          <w:sz w:val="24"/>
          <w:szCs w:val="24"/>
        </w:rPr>
        <w:t>Social Research Methods</w:t>
      </w:r>
      <w:r w:rsidRPr="005A16C5">
        <w:rPr>
          <w:rFonts w:ascii="Arial" w:hAnsi="Arial" w:cs="Arial"/>
          <w:sz w:val="24"/>
          <w:szCs w:val="24"/>
        </w:rPr>
        <w:t>. 4th edn. Oxford: Oxford University Press.</w:t>
      </w:r>
    </w:p>
    <w:p w14:paraId="54F90AEB" w14:textId="77777777" w:rsidR="000500F9" w:rsidRDefault="00544E5D" w:rsidP="000500F9">
      <w:pPr>
        <w:pStyle w:val="Bibliography"/>
        <w:spacing w:line="360" w:lineRule="auto"/>
      </w:pPr>
      <w:r>
        <w:rPr>
          <w:rFonts w:ascii="Arial" w:hAnsi="Arial" w:cs="Arial"/>
          <w:lang w:val="en-US"/>
        </w:rPr>
        <w:t xml:space="preserve">CIPD. (n.d.). </w:t>
      </w:r>
      <w:r>
        <w:rPr>
          <w:rFonts w:ascii="Arial" w:hAnsi="Arial" w:cs="Arial"/>
          <w:i/>
          <w:iCs/>
          <w:lang w:val="en-US"/>
        </w:rPr>
        <w:t>Strategic workforce planning programme</w:t>
      </w:r>
      <w:r>
        <w:rPr>
          <w:rFonts w:ascii="Arial" w:hAnsi="Arial" w:cs="Arial"/>
          <w:lang w:val="en-US"/>
        </w:rPr>
        <w:t xml:space="preserve">. Available at: </w:t>
      </w:r>
      <w:hyperlink r:id="rId12" w:history="1">
        <w:r w:rsidRPr="003B6822">
          <w:rPr>
            <w:rStyle w:val="Hyperlink"/>
            <w:rFonts w:ascii="Arial" w:hAnsi="Arial" w:cs="Arial"/>
            <w:lang w:val="en-US"/>
          </w:rPr>
          <w:t>https://shop.cipd.org/product?catalog=Strategic-Workforce-Planning</w:t>
        </w:r>
      </w:hyperlink>
    </w:p>
    <w:p w14:paraId="7C24A0C7" w14:textId="2D349306" w:rsidR="00544E5D" w:rsidRPr="000500F9" w:rsidRDefault="00544E5D" w:rsidP="000500F9">
      <w:pPr>
        <w:pStyle w:val="Bibliography"/>
        <w:spacing w:line="360" w:lineRule="auto"/>
      </w:pPr>
      <w:r w:rsidRPr="00A21AFE">
        <w:rPr>
          <w:rFonts w:ascii="Arial" w:hAnsi="Arial" w:cs="Arial"/>
          <w:sz w:val="24"/>
          <w:szCs w:val="24"/>
        </w:rPr>
        <w:t>Coghlan, D. and Brannick, T. (2014)</w:t>
      </w:r>
      <w:r>
        <w:rPr>
          <w:rFonts w:ascii="Arial" w:hAnsi="Arial" w:cs="Arial"/>
          <w:sz w:val="24"/>
          <w:szCs w:val="24"/>
        </w:rPr>
        <w:t>.</w:t>
      </w:r>
      <w:r w:rsidRPr="00A21AFE">
        <w:rPr>
          <w:rFonts w:ascii="Arial" w:hAnsi="Arial" w:cs="Arial"/>
          <w:sz w:val="24"/>
          <w:szCs w:val="24"/>
        </w:rPr>
        <w:t> </w:t>
      </w:r>
      <w:r w:rsidRPr="00A21AFE">
        <w:rPr>
          <w:rFonts w:ascii="Arial" w:hAnsi="Arial" w:cs="Arial"/>
          <w:i/>
          <w:iCs/>
          <w:sz w:val="24"/>
          <w:szCs w:val="24"/>
        </w:rPr>
        <w:t>Doing Action Research in Your Own Organization</w:t>
      </w:r>
      <w:r w:rsidRPr="00A21AFE">
        <w:rPr>
          <w:rFonts w:ascii="Arial" w:hAnsi="Arial" w:cs="Arial"/>
          <w:sz w:val="24"/>
          <w:szCs w:val="24"/>
        </w:rPr>
        <w:t>. 4th edn. London: SAGE Publications.</w:t>
      </w:r>
    </w:p>
    <w:p w14:paraId="2438FB90" w14:textId="77777777" w:rsidR="00544E5D" w:rsidRDefault="00544E5D" w:rsidP="00544E5D">
      <w:pPr>
        <w:spacing w:after="240" w:line="360" w:lineRule="auto"/>
        <w:rPr>
          <w:rFonts w:ascii="Arial" w:hAnsi="Arial" w:cs="Arial"/>
          <w:sz w:val="24"/>
          <w:szCs w:val="24"/>
        </w:rPr>
      </w:pPr>
      <w:r w:rsidRPr="00A21AFE">
        <w:rPr>
          <w:rFonts w:ascii="Arial" w:hAnsi="Arial" w:cs="Arial"/>
          <w:sz w:val="24"/>
          <w:szCs w:val="24"/>
        </w:rPr>
        <w:t>Costley, C. and Abukari, A. (2015)</w:t>
      </w:r>
      <w:r>
        <w:rPr>
          <w:rFonts w:ascii="Arial" w:hAnsi="Arial" w:cs="Arial"/>
          <w:sz w:val="24"/>
          <w:szCs w:val="24"/>
        </w:rPr>
        <w:t xml:space="preserve">. </w:t>
      </w:r>
      <w:r w:rsidRPr="00A21AFE">
        <w:rPr>
          <w:rFonts w:ascii="Arial" w:hAnsi="Arial" w:cs="Arial"/>
          <w:sz w:val="24"/>
          <w:szCs w:val="24"/>
        </w:rPr>
        <w:t>Methodologies in work-based research: finding the right fit</w:t>
      </w:r>
      <w:r>
        <w:rPr>
          <w:rFonts w:ascii="Arial" w:hAnsi="Arial" w:cs="Arial"/>
          <w:sz w:val="24"/>
          <w:szCs w:val="24"/>
        </w:rPr>
        <w:t>.</w:t>
      </w:r>
      <w:r w:rsidRPr="00A21AFE">
        <w:rPr>
          <w:rFonts w:ascii="Arial" w:hAnsi="Arial" w:cs="Arial"/>
          <w:sz w:val="24"/>
          <w:szCs w:val="24"/>
        </w:rPr>
        <w:t xml:space="preserve"> </w:t>
      </w:r>
      <w:r w:rsidRPr="00A21AFE">
        <w:rPr>
          <w:rFonts w:ascii="Arial" w:hAnsi="Arial" w:cs="Arial"/>
          <w:i/>
          <w:iCs/>
          <w:sz w:val="24"/>
          <w:szCs w:val="24"/>
        </w:rPr>
        <w:t>Journal of Vocational Research and Practice</w:t>
      </w:r>
      <w:r w:rsidRPr="00A21AFE">
        <w:rPr>
          <w:rFonts w:ascii="Arial" w:hAnsi="Arial" w:cs="Arial"/>
          <w:sz w:val="24"/>
          <w:szCs w:val="24"/>
        </w:rPr>
        <w:t>, 3(1). Available at: https://journals.staffs.ac.uk/index.php/jvrp/article/view/280 [Accessed 3 June 2025].</w:t>
      </w:r>
    </w:p>
    <w:p w14:paraId="39179429" w14:textId="77777777" w:rsidR="00544E5D" w:rsidRDefault="00544E5D" w:rsidP="00544E5D">
      <w:pPr>
        <w:spacing w:after="240" w:line="360" w:lineRule="auto"/>
        <w:rPr>
          <w:rFonts w:ascii="Arial" w:hAnsi="Arial" w:cs="Arial"/>
          <w:sz w:val="24"/>
          <w:szCs w:val="24"/>
        </w:rPr>
      </w:pPr>
      <w:r w:rsidRPr="004752B0">
        <w:rPr>
          <w:rFonts w:ascii="Arial" w:hAnsi="Arial" w:cs="Arial"/>
          <w:sz w:val="24"/>
          <w:szCs w:val="24"/>
        </w:rPr>
        <w:t>Costley, C., Elliott, G. and Gibbs, P. (2010)</w:t>
      </w:r>
      <w:r>
        <w:rPr>
          <w:rFonts w:ascii="Arial" w:hAnsi="Arial" w:cs="Arial"/>
          <w:sz w:val="24"/>
          <w:szCs w:val="24"/>
        </w:rPr>
        <w:t>.</w:t>
      </w:r>
      <w:r w:rsidRPr="004752B0">
        <w:rPr>
          <w:rFonts w:ascii="Arial" w:hAnsi="Arial" w:cs="Arial"/>
          <w:sz w:val="24"/>
          <w:szCs w:val="24"/>
        </w:rPr>
        <w:t> </w:t>
      </w:r>
      <w:r w:rsidRPr="004752B0">
        <w:rPr>
          <w:rFonts w:ascii="Arial" w:hAnsi="Arial" w:cs="Arial"/>
          <w:i/>
          <w:iCs/>
          <w:sz w:val="24"/>
          <w:szCs w:val="24"/>
        </w:rPr>
        <w:t>Doing Work-Based Research: Approaches to Enquiry for Insider-Researchers</w:t>
      </w:r>
      <w:r w:rsidRPr="004752B0">
        <w:rPr>
          <w:rFonts w:ascii="Arial" w:hAnsi="Arial" w:cs="Arial"/>
          <w:sz w:val="24"/>
          <w:szCs w:val="24"/>
        </w:rPr>
        <w:t>. London: SAGE Publications.</w:t>
      </w:r>
    </w:p>
    <w:p w14:paraId="589BC25C" w14:textId="77777777" w:rsidR="00544E5D" w:rsidRDefault="00544E5D" w:rsidP="00544E5D">
      <w:pPr>
        <w:spacing w:after="240" w:line="360" w:lineRule="auto"/>
        <w:rPr>
          <w:rFonts w:ascii="Arial" w:hAnsi="Arial" w:cs="Arial"/>
          <w:sz w:val="24"/>
          <w:szCs w:val="24"/>
        </w:rPr>
      </w:pPr>
      <w:r w:rsidRPr="008C6166">
        <w:rPr>
          <w:rFonts w:ascii="Arial" w:hAnsi="Arial" w:cs="Arial"/>
          <w:sz w:val="24"/>
          <w:szCs w:val="24"/>
        </w:rPr>
        <w:t>Creswell, J.W. (2003)</w:t>
      </w:r>
      <w:r>
        <w:rPr>
          <w:rFonts w:ascii="Arial" w:hAnsi="Arial" w:cs="Arial"/>
          <w:sz w:val="24"/>
          <w:szCs w:val="24"/>
        </w:rPr>
        <w:t>.</w:t>
      </w:r>
      <w:r w:rsidRPr="008C6166">
        <w:rPr>
          <w:rFonts w:ascii="Arial" w:hAnsi="Arial" w:cs="Arial"/>
          <w:sz w:val="24"/>
          <w:szCs w:val="24"/>
        </w:rPr>
        <w:t> </w:t>
      </w:r>
      <w:r w:rsidRPr="008C6166">
        <w:rPr>
          <w:rFonts w:ascii="Arial" w:hAnsi="Arial" w:cs="Arial"/>
          <w:i/>
          <w:iCs/>
          <w:sz w:val="24"/>
          <w:szCs w:val="24"/>
        </w:rPr>
        <w:t>Research Design: Qualitative, Quantitative, and Mixed Methods Approaches</w:t>
      </w:r>
      <w:r w:rsidRPr="008C6166">
        <w:rPr>
          <w:rFonts w:ascii="Arial" w:hAnsi="Arial" w:cs="Arial"/>
          <w:sz w:val="24"/>
          <w:szCs w:val="24"/>
        </w:rPr>
        <w:t>. 2nd edn. Thousand Oaks, CA: Sage Publications.</w:t>
      </w:r>
    </w:p>
    <w:p w14:paraId="6A7C189D" w14:textId="77777777" w:rsidR="00544E5D" w:rsidRDefault="00544E5D" w:rsidP="00544E5D">
      <w:pPr>
        <w:spacing w:after="240" w:line="360" w:lineRule="auto"/>
        <w:rPr>
          <w:rFonts w:ascii="Arial" w:hAnsi="Arial" w:cs="Arial"/>
          <w:sz w:val="24"/>
          <w:szCs w:val="24"/>
        </w:rPr>
      </w:pPr>
      <w:r w:rsidRPr="008A1FEA">
        <w:rPr>
          <w:rFonts w:ascii="Arial" w:hAnsi="Arial" w:cs="Arial"/>
          <w:sz w:val="24"/>
          <w:szCs w:val="24"/>
        </w:rPr>
        <w:t xml:space="preserve">Creswell, J.W. (2007) </w:t>
      </w:r>
      <w:r w:rsidRPr="008A1FEA">
        <w:rPr>
          <w:rFonts w:ascii="Arial" w:hAnsi="Arial" w:cs="Arial"/>
          <w:i/>
          <w:iCs/>
          <w:sz w:val="24"/>
          <w:szCs w:val="24"/>
        </w:rPr>
        <w:t>Qualitative Inquiry and Research Design: Choosing Among Five Approaches</w:t>
      </w:r>
      <w:r w:rsidRPr="008A1FEA">
        <w:rPr>
          <w:rFonts w:ascii="Arial" w:hAnsi="Arial" w:cs="Arial"/>
          <w:sz w:val="24"/>
          <w:szCs w:val="24"/>
        </w:rPr>
        <w:t xml:space="preserve">. 2nd edn. Thousand Oaks, CA: SAGE. Available at: https://fenix.iseg.ulisboa.pt/downloadFile/1407508027551788/Creswell%20%282007%29%2035-52%20Qualitative%20Research%20Design.pdf </w:t>
      </w:r>
      <w:r>
        <w:rPr>
          <w:rFonts w:ascii="Arial" w:hAnsi="Arial" w:cs="Arial"/>
          <w:sz w:val="24"/>
          <w:szCs w:val="24"/>
        </w:rPr>
        <w:t>[</w:t>
      </w:r>
      <w:r w:rsidRPr="008A1FEA">
        <w:rPr>
          <w:rFonts w:ascii="Arial" w:hAnsi="Arial" w:cs="Arial"/>
          <w:sz w:val="24"/>
          <w:szCs w:val="24"/>
        </w:rPr>
        <w:t>Accessed: 2</w:t>
      </w:r>
      <w:r>
        <w:rPr>
          <w:rFonts w:ascii="Arial" w:hAnsi="Arial" w:cs="Arial"/>
          <w:sz w:val="24"/>
          <w:szCs w:val="24"/>
        </w:rPr>
        <w:t>2</w:t>
      </w:r>
      <w:r w:rsidRPr="008A1FEA">
        <w:rPr>
          <w:rFonts w:ascii="Arial" w:hAnsi="Arial" w:cs="Arial"/>
          <w:sz w:val="24"/>
          <w:szCs w:val="24"/>
        </w:rPr>
        <w:t xml:space="preserve"> April 2026</w:t>
      </w:r>
      <w:r>
        <w:rPr>
          <w:rFonts w:ascii="Arial" w:hAnsi="Arial" w:cs="Arial"/>
          <w:sz w:val="24"/>
          <w:szCs w:val="24"/>
        </w:rPr>
        <w:t>].</w:t>
      </w:r>
    </w:p>
    <w:p w14:paraId="35C92D08" w14:textId="77777777" w:rsidR="00544E5D" w:rsidRDefault="00544E5D" w:rsidP="00544E5D">
      <w:pPr>
        <w:spacing w:after="240" w:line="360" w:lineRule="auto"/>
        <w:rPr>
          <w:rFonts w:ascii="Arial" w:hAnsi="Arial" w:cs="Arial"/>
          <w:sz w:val="24"/>
          <w:szCs w:val="24"/>
        </w:rPr>
      </w:pPr>
      <w:r w:rsidRPr="007C114A">
        <w:rPr>
          <w:rFonts w:ascii="Arial" w:hAnsi="Arial" w:cs="Arial"/>
          <w:sz w:val="24"/>
          <w:szCs w:val="24"/>
        </w:rPr>
        <w:t xml:space="preserve">Creswell, J.W. and Plano Clark, V.L. (2018) </w:t>
      </w:r>
      <w:r w:rsidRPr="007C114A">
        <w:rPr>
          <w:rFonts w:ascii="Arial" w:hAnsi="Arial" w:cs="Arial"/>
          <w:i/>
          <w:iCs/>
          <w:sz w:val="24"/>
          <w:szCs w:val="24"/>
        </w:rPr>
        <w:t>Designing and conducting mixed methods research</w:t>
      </w:r>
      <w:r w:rsidRPr="007C114A">
        <w:rPr>
          <w:rFonts w:ascii="Arial" w:hAnsi="Arial" w:cs="Arial"/>
          <w:sz w:val="24"/>
          <w:szCs w:val="24"/>
        </w:rPr>
        <w:t>. 3rd edn. Thousand Oaks, CA: SAGE Publications.</w:t>
      </w:r>
    </w:p>
    <w:p w14:paraId="5733B956" w14:textId="77777777" w:rsidR="00544E5D" w:rsidRDefault="00544E5D" w:rsidP="00544E5D">
      <w:pPr>
        <w:spacing w:after="240" w:line="360" w:lineRule="auto"/>
        <w:rPr>
          <w:rFonts w:ascii="Arial" w:hAnsi="Arial" w:cs="Arial"/>
          <w:sz w:val="24"/>
          <w:szCs w:val="24"/>
        </w:rPr>
      </w:pPr>
      <w:r w:rsidRPr="00B732FA">
        <w:rPr>
          <w:rFonts w:ascii="Arial" w:hAnsi="Arial" w:cs="Arial"/>
          <w:sz w:val="24"/>
          <w:szCs w:val="24"/>
        </w:rPr>
        <w:t xml:space="preserve">Deming, W. E. (1983). Out of the crisis. </w:t>
      </w:r>
      <w:r w:rsidRPr="00B732FA">
        <w:rPr>
          <w:rFonts w:ascii="Arial" w:hAnsi="Arial" w:cs="Arial"/>
          <w:i/>
          <w:iCs/>
          <w:sz w:val="24"/>
          <w:szCs w:val="24"/>
        </w:rPr>
        <w:t>Massachusetts Institute of Technology Centre for Advanced Engineering Study</w:t>
      </w:r>
      <w:r w:rsidRPr="00B732FA">
        <w:rPr>
          <w:rFonts w:ascii="Arial" w:hAnsi="Arial" w:cs="Arial"/>
          <w:sz w:val="24"/>
          <w:szCs w:val="24"/>
        </w:rPr>
        <w:t xml:space="preserve"> xiii, 1999, 507.</w:t>
      </w:r>
    </w:p>
    <w:p w14:paraId="7659FE85" w14:textId="77777777" w:rsidR="00544E5D" w:rsidRDefault="00544E5D" w:rsidP="00544E5D">
      <w:pPr>
        <w:spacing w:after="240" w:line="360" w:lineRule="auto"/>
        <w:rPr>
          <w:rFonts w:ascii="Arial" w:hAnsi="Arial" w:cs="Arial"/>
          <w:sz w:val="24"/>
          <w:szCs w:val="24"/>
        </w:rPr>
      </w:pPr>
      <w:r w:rsidRPr="00087E9B">
        <w:rPr>
          <w:rFonts w:ascii="Arial" w:hAnsi="Arial" w:cs="Arial"/>
          <w:sz w:val="24"/>
          <w:szCs w:val="24"/>
        </w:rPr>
        <w:t xml:space="preserve">Dussault, G. and Franceschini, M.C. (2006) ‘Not enough there, too many here: understanding geographical imbalances in the distribution of the health workforce’, </w:t>
      </w:r>
      <w:r w:rsidRPr="00087E9B">
        <w:rPr>
          <w:rFonts w:ascii="Arial" w:hAnsi="Arial" w:cs="Arial"/>
          <w:i/>
          <w:iCs/>
          <w:sz w:val="24"/>
          <w:szCs w:val="24"/>
        </w:rPr>
        <w:t>Human Resources for Health</w:t>
      </w:r>
      <w:r w:rsidRPr="00087E9B">
        <w:rPr>
          <w:rFonts w:ascii="Arial" w:hAnsi="Arial" w:cs="Arial"/>
          <w:sz w:val="24"/>
          <w:szCs w:val="24"/>
        </w:rPr>
        <w:t>, 4(1), p. 12.</w:t>
      </w:r>
    </w:p>
    <w:p w14:paraId="758622D5" w14:textId="77777777" w:rsidR="00544E5D" w:rsidRDefault="00544E5D" w:rsidP="00544E5D">
      <w:pPr>
        <w:spacing w:after="240" w:line="360" w:lineRule="auto"/>
        <w:rPr>
          <w:rFonts w:ascii="Arial" w:hAnsi="Arial" w:cs="Arial"/>
          <w:sz w:val="24"/>
          <w:szCs w:val="24"/>
        </w:rPr>
      </w:pPr>
      <w:r w:rsidRPr="006E00A2">
        <w:rPr>
          <w:rFonts w:ascii="Arial" w:hAnsi="Arial" w:cs="Arial"/>
          <w:sz w:val="24"/>
          <w:szCs w:val="24"/>
        </w:rPr>
        <w:lastRenderedPageBreak/>
        <w:t>Dwyer, S.C. and Buckle, J.L. (2009)</w:t>
      </w:r>
      <w:r>
        <w:rPr>
          <w:rFonts w:ascii="Arial" w:hAnsi="Arial" w:cs="Arial"/>
          <w:sz w:val="24"/>
          <w:szCs w:val="24"/>
        </w:rPr>
        <w:t>.</w:t>
      </w:r>
      <w:r w:rsidRPr="006E00A2">
        <w:rPr>
          <w:rFonts w:ascii="Arial" w:hAnsi="Arial" w:cs="Arial"/>
          <w:sz w:val="24"/>
          <w:szCs w:val="24"/>
        </w:rPr>
        <w:t xml:space="preserve"> ‘The space between: on being an insider–outsider in qualitative research’, </w:t>
      </w:r>
      <w:r w:rsidRPr="006E00A2">
        <w:rPr>
          <w:rFonts w:ascii="Arial" w:hAnsi="Arial" w:cs="Arial"/>
          <w:i/>
          <w:iCs/>
          <w:sz w:val="24"/>
          <w:szCs w:val="24"/>
        </w:rPr>
        <w:t>International Journal of Qualitative Methods</w:t>
      </w:r>
      <w:r w:rsidRPr="006E00A2">
        <w:rPr>
          <w:rFonts w:ascii="Arial" w:hAnsi="Arial" w:cs="Arial"/>
          <w:sz w:val="24"/>
          <w:szCs w:val="24"/>
        </w:rPr>
        <w:t>, 8(1), pp. 54–63. doi:10.1177/160940690900800105</w:t>
      </w:r>
    </w:p>
    <w:p w14:paraId="35F34296" w14:textId="77777777" w:rsidR="00544E5D" w:rsidRDefault="00544E5D" w:rsidP="00544E5D">
      <w:pPr>
        <w:spacing w:after="240" w:line="360" w:lineRule="auto"/>
        <w:rPr>
          <w:rFonts w:ascii="Arial" w:hAnsi="Arial" w:cs="Arial"/>
          <w:sz w:val="24"/>
          <w:szCs w:val="24"/>
        </w:rPr>
      </w:pPr>
      <w:r w:rsidRPr="001B3E55">
        <w:rPr>
          <w:rFonts w:ascii="Arial" w:hAnsi="Arial" w:cs="Arial"/>
          <w:sz w:val="24"/>
          <w:szCs w:val="24"/>
        </w:rPr>
        <w:t>Elder-Vass, D.</w:t>
      </w:r>
      <w:r>
        <w:rPr>
          <w:rFonts w:ascii="Arial" w:hAnsi="Arial" w:cs="Arial"/>
          <w:sz w:val="24"/>
          <w:szCs w:val="24"/>
        </w:rPr>
        <w:t xml:space="preserve"> (</w:t>
      </w:r>
      <w:r w:rsidRPr="001B3E55">
        <w:rPr>
          <w:rFonts w:ascii="Arial" w:hAnsi="Arial" w:cs="Arial"/>
          <w:sz w:val="24"/>
          <w:szCs w:val="24"/>
        </w:rPr>
        <w:t>2017</w:t>
      </w:r>
      <w:r>
        <w:rPr>
          <w:rFonts w:ascii="Arial" w:hAnsi="Arial" w:cs="Arial"/>
          <w:sz w:val="24"/>
          <w:szCs w:val="24"/>
        </w:rPr>
        <w:t>)</w:t>
      </w:r>
      <w:r w:rsidRPr="001B3E55">
        <w:rPr>
          <w:rFonts w:ascii="Arial" w:hAnsi="Arial" w:cs="Arial"/>
          <w:sz w:val="24"/>
          <w:szCs w:val="24"/>
        </w:rPr>
        <w:t>. </w:t>
      </w:r>
      <w:r w:rsidRPr="001B3E55">
        <w:rPr>
          <w:rFonts w:ascii="Arial" w:hAnsi="Arial" w:cs="Arial"/>
          <w:i/>
          <w:iCs/>
          <w:sz w:val="24"/>
          <w:szCs w:val="24"/>
        </w:rPr>
        <w:t>Realism, values and critique</w:t>
      </w:r>
      <w:r w:rsidRPr="001B3E55">
        <w:rPr>
          <w:rFonts w:ascii="Arial" w:hAnsi="Arial" w:cs="Arial"/>
          <w:sz w:val="24"/>
          <w:szCs w:val="24"/>
        </w:rPr>
        <w:t xml:space="preserve">. [online] Available at: https://eldervass.com/2017/08/realism-values-and-critique-2/ [Accessed </w:t>
      </w:r>
      <w:r>
        <w:rPr>
          <w:rFonts w:ascii="Arial" w:hAnsi="Arial" w:cs="Arial"/>
          <w:sz w:val="24"/>
          <w:szCs w:val="24"/>
        </w:rPr>
        <w:t>3</w:t>
      </w:r>
      <w:r w:rsidRPr="001B3E55">
        <w:rPr>
          <w:rFonts w:ascii="Arial" w:hAnsi="Arial" w:cs="Arial"/>
          <w:sz w:val="24"/>
          <w:szCs w:val="24"/>
        </w:rPr>
        <w:t xml:space="preserve"> Jun. 2025].</w:t>
      </w:r>
    </w:p>
    <w:p w14:paraId="504E3C0C" w14:textId="77777777" w:rsidR="00544E5D" w:rsidRDefault="00544E5D" w:rsidP="00544E5D">
      <w:pPr>
        <w:spacing w:after="240" w:line="360" w:lineRule="auto"/>
        <w:rPr>
          <w:rFonts w:ascii="Arial" w:hAnsi="Arial" w:cs="Arial"/>
          <w:sz w:val="24"/>
          <w:szCs w:val="24"/>
        </w:rPr>
      </w:pPr>
      <w:r w:rsidRPr="00E55263">
        <w:rPr>
          <w:rFonts w:ascii="Arial" w:hAnsi="Arial" w:cs="Arial"/>
          <w:sz w:val="24"/>
          <w:szCs w:val="24"/>
        </w:rPr>
        <w:t xml:space="preserve">Eraut, M. (1994) </w:t>
      </w:r>
      <w:r w:rsidRPr="00E55263">
        <w:rPr>
          <w:rFonts w:ascii="Arial" w:hAnsi="Arial" w:cs="Arial"/>
          <w:i/>
          <w:iCs/>
          <w:sz w:val="24"/>
          <w:szCs w:val="24"/>
        </w:rPr>
        <w:t>Developing Professional Knowledge and Competence</w:t>
      </w:r>
      <w:r w:rsidRPr="00E55263">
        <w:rPr>
          <w:rFonts w:ascii="Arial" w:hAnsi="Arial" w:cs="Arial"/>
          <w:sz w:val="24"/>
          <w:szCs w:val="24"/>
        </w:rPr>
        <w:t>. London: Falmer Press.</w:t>
      </w:r>
    </w:p>
    <w:p w14:paraId="6462841B" w14:textId="77777777" w:rsidR="00544E5D" w:rsidRDefault="00544E5D" w:rsidP="00544E5D">
      <w:pPr>
        <w:spacing w:after="240" w:line="360" w:lineRule="auto"/>
        <w:rPr>
          <w:rStyle w:val="Hyperlink"/>
          <w:rFonts w:ascii="Arial" w:hAnsi="Arial" w:cs="Arial"/>
          <w:sz w:val="24"/>
          <w:szCs w:val="24"/>
        </w:rPr>
      </w:pPr>
      <w:r w:rsidRPr="00913693">
        <w:rPr>
          <w:rFonts w:ascii="Arial" w:hAnsi="Arial" w:cs="Arial"/>
          <w:sz w:val="24"/>
          <w:szCs w:val="24"/>
        </w:rPr>
        <w:t>Fergusson, L., van der Laan, L., Shallies, B., &amp; Baird, M. (2020). Work, resilience and sustainable futures: The approach of work-based research to problems and their solutions. </w:t>
      </w:r>
      <w:r w:rsidRPr="00913693">
        <w:rPr>
          <w:rFonts w:ascii="Arial" w:hAnsi="Arial" w:cs="Arial"/>
          <w:i/>
          <w:iCs/>
          <w:sz w:val="24"/>
          <w:szCs w:val="24"/>
        </w:rPr>
        <w:t>Journal of Work-Applied Management</w:t>
      </w:r>
      <w:r w:rsidRPr="00913693">
        <w:rPr>
          <w:rFonts w:ascii="Arial" w:hAnsi="Arial" w:cs="Arial"/>
          <w:sz w:val="24"/>
          <w:szCs w:val="24"/>
        </w:rPr>
        <w:t xml:space="preserve">, 12(1), 22–41. </w:t>
      </w:r>
      <w:hyperlink r:id="rId13" w:history="1">
        <w:r w:rsidRPr="00B22AA3">
          <w:rPr>
            <w:rStyle w:val="Hyperlink"/>
            <w:rFonts w:ascii="Arial" w:hAnsi="Arial" w:cs="Arial"/>
            <w:sz w:val="24"/>
            <w:szCs w:val="24"/>
          </w:rPr>
          <w:t>https://doi.org/10.1108/JWAM-11-2019-0036</w:t>
        </w:r>
      </w:hyperlink>
    </w:p>
    <w:p w14:paraId="3272E14B" w14:textId="046BB36E" w:rsidR="00544E5D" w:rsidRPr="00EC60F5" w:rsidRDefault="00544E5D" w:rsidP="00544E5D">
      <w:pPr>
        <w:spacing w:after="240" w:line="360" w:lineRule="auto"/>
        <w:rPr>
          <w:rFonts w:ascii="Arial" w:hAnsi="Arial" w:cs="Arial"/>
          <w:sz w:val="24"/>
          <w:szCs w:val="24"/>
        </w:rPr>
      </w:pPr>
      <w:r w:rsidRPr="00EC60F5">
        <w:rPr>
          <w:rFonts w:ascii="Arial" w:hAnsi="Arial" w:cs="Arial"/>
          <w:sz w:val="24"/>
          <w:szCs w:val="24"/>
        </w:rPr>
        <w:t>Fetters, M.D., Curry, L.A. and Creswell, J.W. (2013) ‘Achieving integration in mixed</w:t>
      </w:r>
      <w:r w:rsidR="0024263E">
        <w:rPr>
          <w:rFonts w:ascii="Arial" w:hAnsi="Arial" w:cs="Arial"/>
          <w:sz w:val="24"/>
          <w:szCs w:val="24"/>
        </w:rPr>
        <w:t xml:space="preserve"> </w:t>
      </w:r>
      <w:r w:rsidRPr="00EC60F5">
        <w:rPr>
          <w:rFonts w:ascii="Arial" w:hAnsi="Arial" w:cs="Arial"/>
          <w:sz w:val="24"/>
          <w:szCs w:val="24"/>
        </w:rPr>
        <w:t xml:space="preserve">methods designs—principles and practices’, </w:t>
      </w:r>
      <w:r w:rsidRPr="00EC60F5">
        <w:rPr>
          <w:rFonts w:ascii="Arial" w:hAnsi="Arial" w:cs="Arial"/>
          <w:i/>
          <w:iCs/>
          <w:sz w:val="24"/>
          <w:szCs w:val="24"/>
        </w:rPr>
        <w:t>Health Services Research</w:t>
      </w:r>
      <w:r w:rsidRPr="00EC60F5">
        <w:rPr>
          <w:rFonts w:ascii="Arial" w:hAnsi="Arial" w:cs="Arial"/>
          <w:sz w:val="24"/>
          <w:szCs w:val="24"/>
        </w:rPr>
        <w:t>, 48(6pt2), pp. 2134–2156. https://doi.org/10.1111/1475-6773.12117.</w:t>
      </w:r>
    </w:p>
    <w:p w14:paraId="7C39B9C8" w14:textId="77777777" w:rsidR="00544E5D" w:rsidRDefault="00544E5D" w:rsidP="00544E5D">
      <w:pPr>
        <w:spacing w:after="240" w:line="360" w:lineRule="auto"/>
        <w:rPr>
          <w:rFonts w:ascii="Arial" w:hAnsi="Arial" w:cs="Arial"/>
          <w:sz w:val="24"/>
          <w:szCs w:val="24"/>
        </w:rPr>
      </w:pPr>
      <w:r w:rsidRPr="00913693">
        <w:rPr>
          <w:rFonts w:ascii="Arial" w:hAnsi="Arial" w:cs="Arial"/>
          <w:sz w:val="24"/>
          <w:szCs w:val="24"/>
        </w:rPr>
        <w:t xml:space="preserve">Fleming, J. (2018). Recognizing and Resolving the Challenges of Being an Insider Researcher in work-integrated learning. </w:t>
      </w:r>
      <w:r w:rsidRPr="00913693">
        <w:rPr>
          <w:rFonts w:ascii="Arial" w:hAnsi="Arial" w:cs="Arial"/>
          <w:i/>
          <w:iCs/>
          <w:sz w:val="24"/>
          <w:szCs w:val="24"/>
        </w:rPr>
        <w:t>International Journal of Work-Integrated Learning</w:t>
      </w:r>
      <w:r w:rsidRPr="00913693">
        <w:rPr>
          <w:rFonts w:ascii="Arial" w:hAnsi="Arial" w:cs="Arial"/>
          <w:sz w:val="24"/>
          <w:szCs w:val="24"/>
        </w:rPr>
        <w:t>, Special Issue, 2018, 19(3), 311-320 [online] Available at: </w:t>
      </w:r>
      <w:r w:rsidRPr="00401AC5">
        <w:rPr>
          <w:rFonts w:ascii="Arial" w:hAnsi="Arial" w:cs="Arial"/>
          <w:sz w:val="24"/>
          <w:szCs w:val="24"/>
        </w:rPr>
        <w:t>https://files.eric.ed.gov/fulltext/EJ1196753.pdf [Accessed 12 Jun. 2025].</w:t>
      </w:r>
    </w:p>
    <w:p w14:paraId="4D992F0F" w14:textId="77777777" w:rsidR="00544E5D" w:rsidRDefault="00544E5D" w:rsidP="00544E5D">
      <w:pPr>
        <w:spacing w:after="240" w:line="360" w:lineRule="auto"/>
        <w:rPr>
          <w:rFonts w:ascii="Arial" w:hAnsi="Arial" w:cs="Arial"/>
          <w:sz w:val="24"/>
          <w:szCs w:val="24"/>
        </w:rPr>
      </w:pPr>
      <w:r w:rsidRPr="0099381F">
        <w:rPr>
          <w:rFonts w:ascii="Arial" w:hAnsi="Arial" w:cs="Arial"/>
          <w:sz w:val="24"/>
          <w:szCs w:val="24"/>
        </w:rPr>
        <w:t>Fraher</w:t>
      </w:r>
      <w:r>
        <w:rPr>
          <w:rFonts w:ascii="Arial" w:hAnsi="Arial" w:cs="Arial"/>
          <w:sz w:val="24"/>
          <w:szCs w:val="24"/>
        </w:rPr>
        <w:t>,</w:t>
      </w:r>
      <w:r w:rsidRPr="0099381F">
        <w:rPr>
          <w:rFonts w:ascii="Arial" w:hAnsi="Arial" w:cs="Arial"/>
          <w:sz w:val="24"/>
          <w:szCs w:val="24"/>
        </w:rPr>
        <w:t xml:space="preserve"> E</w:t>
      </w:r>
      <w:r>
        <w:rPr>
          <w:rFonts w:ascii="Arial" w:hAnsi="Arial" w:cs="Arial"/>
          <w:sz w:val="24"/>
          <w:szCs w:val="24"/>
        </w:rPr>
        <w:t>.</w:t>
      </w:r>
      <w:r w:rsidRPr="0099381F">
        <w:rPr>
          <w:rFonts w:ascii="Arial" w:hAnsi="Arial" w:cs="Arial"/>
          <w:sz w:val="24"/>
          <w:szCs w:val="24"/>
        </w:rPr>
        <w:t>P</w:t>
      </w:r>
      <w:r>
        <w:rPr>
          <w:rFonts w:ascii="Arial" w:hAnsi="Arial" w:cs="Arial"/>
          <w:sz w:val="24"/>
          <w:szCs w:val="24"/>
        </w:rPr>
        <w:t>.</w:t>
      </w:r>
      <w:r w:rsidRPr="0099381F">
        <w:rPr>
          <w:rFonts w:ascii="Arial" w:hAnsi="Arial" w:cs="Arial"/>
          <w:sz w:val="24"/>
          <w:szCs w:val="24"/>
        </w:rPr>
        <w:t>, Knapton</w:t>
      </w:r>
      <w:r>
        <w:rPr>
          <w:rFonts w:ascii="Arial" w:hAnsi="Arial" w:cs="Arial"/>
          <w:sz w:val="24"/>
          <w:szCs w:val="24"/>
        </w:rPr>
        <w:t>,</w:t>
      </w:r>
      <w:r w:rsidRPr="0099381F">
        <w:rPr>
          <w:rFonts w:ascii="Arial" w:hAnsi="Arial" w:cs="Arial"/>
          <w:sz w:val="24"/>
          <w:szCs w:val="24"/>
        </w:rPr>
        <w:t xml:space="preserve"> A</w:t>
      </w:r>
      <w:r>
        <w:rPr>
          <w:rFonts w:ascii="Arial" w:hAnsi="Arial" w:cs="Arial"/>
          <w:sz w:val="24"/>
          <w:szCs w:val="24"/>
        </w:rPr>
        <w:t>.</w:t>
      </w:r>
      <w:r w:rsidRPr="0099381F">
        <w:rPr>
          <w:rFonts w:ascii="Arial" w:hAnsi="Arial" w:cs="Arial"/>
          <w:sz w:val="24"/>
          <w:szCs w:val="24"/>
        </w:rPr>
        <w:t>, Sheldon</w:t>
      </w:r>
      <w:r>
        <w:rPr>
          <w:rFonts w:ascii="Arial" w:hAnsi="Arial" w:cs="Arial"/>
          <w:sz w:val="24"/>
          <w:szCs w:val="24"/>
        </w:rPr>
        <w:t>,</w:t>
      </w:r>
      <w:r w:rsidRPr="0099381F">
        <w:rPr>
          <w:rFonts w:ascii="Arial" w:hAnsi="Arial" w:cs="Arial"/>
          <w:sz w:val="24"/>
          <w:szCs w:val="24"/>
        </w:rPr>
        <w:t xml:space="preserve"> G</w:t>
      </w:r>
      <w:r>
        <w:rPr>
          <w:rFonts w:ascii="Arial" w:hAnsi="Arial" w:cs="Arial"/>
          <w:sz w:val="24"/>
          <w:szCs w:val="24"/>
        </w:rPr>
        <w:t>.</w:t>
      </w:r>
      <w:r w:rsidRPr="0099381F">
        <w:rPr>
          <w:rFonts w:ascii="Arial" w:hAnsi="Arial" w:cs="Arial"/>
          <w:sz w:val="24"/>
          <w:szCs w:val="24"/>
        </w:rPr>
        <w:t>F</w:t>
      </w:r>
      <w:r>
        <w:rPr>
          <w:rFonts w:ascii="Arial" w:hAnsi="Arial" w:cs="Arial"/>
          <w:sz w:val="24"/>
          <w:szCs w:val="24"/>
        </w:rPr>
        <w:t>.</w:t>
      </w:r>
      <w:r w:rsidRPr="0099381F">
        <w:rPr>
          <w:rFonts w:ascii="Arial" w:hAnsi="Arial" w:cs="Arial"/>
          <w:sz w:val="24"/>
          <w:szCs w:val="24"/>
        </w:rPr>
        <w:t>, Meyer</w:t>
      </w:r>
      <w:r>
        <w:rPr>
          <w:rFonts w:ascii="Arial" w:hAnsi="Arial" w:cs="Arial"/>
          <w:sz w:val="24"/>
          <w:szCs w:val="24"/>
        </w:rPr>
        <w:t>,</w:t>
      </w:r>
      <w:r w:rsidRPr="0099381F">
        <w:rPr>
          <w:rFonts w:ascii="Arial" w:hAnsi="Arial" w:cs="Arial"/>
          <w:sz w:val="24"/>
          <w:szCs w:val="24"/>
        </w:rPr>
        <w:t xml:space="preserve"> A</w:t>
      </w:r>
      <w:r>
        <w:rPr>
          <w:rFonts w:ascii="Arial" w:hAnsi="Arial" w:cs="Arial"/>
          <w:sz w:val="24"/>
          <w:szCs w:val="24"/>
        </w:rPr>
        <w:t>. and</w:t>
      </w:r>
      <w:r w:rsidRPr="0099381F">
        <w:rPr>
          <w:rFonts w:ascii="Arial" w:hAnsi="Arial" w:cs="Arial"/>
          <w:sz w:val="24"/>
          <w:szCs w:val="24"/>
        </w:rPr>
        <w:t xml:space="preserve"> Ricketts</w:t>
      </w:r>
      <w:r>
        <w:rPr>
          <w:rFonts w:ascii="Arial" w:hAnsi="Arial" w:cs="Arial"/>
          <w:sz w:val="24"/>
          <w:szCs w:val="24"/>
        </w:rPr>
        <w:t>,</w:t>
      </w:r>
      <w:r w:rsidRPr="0099381F">
        <w:rPr>
          <w:rFonts w:ascii="Arial" w:hAnsi="Arial" w:cs="Arial"/>
          <w:sz w:val="24"/>
          <w:szCs w:val="24"/>
        </w:rPr>
        <w:t xml:space="preserve"> T</w:t>
      </w:r>
      <w:r>
        <w:rPr>
          <w:rFonts w:ascii="Arial" w:hAnsi="Arial" w:cs="Arial"/>
          <w:sz w:val="24"/>
          <w:szCs w:val="24"/>
        </w:rPr>
        <w:t>.</w:t>
      </w:r>
      <w:r w:rsidRPr="0099381F">
        <w:rPr>
          <w:rFonts w:ascii="Arial" w:hAnsi="Arial" w:cs="Arial"/>
          <w:sz w:val="24"/>
          <w:szCs w:val="24"/>
        </w:rPr>
        <w:t>C.</w:t>
      </w:r>
      <w:r>
        <w:rPr>
          <w:rFonts w:ascii="Arial" w:hAnsi="Arial" w:cs="Arial"/>
          <w:sz w:val="24"/>
          <w:szCs w:val="24"/>
        </w:rPr>
        <w:t xml:space="preserve"> (2013).</w:t>
      </w:r>
      <w:r w:rsidRPr="0099381F">
        <w:rPr>
          <w:rFonts w:ascii="Arial" w:hAnsi="Arial" w:cs="Arial"/>
          <w:sz w:val="24"/>
          <w:szCs w:val="24"/>
        </w:rPr>
        <w:t xml:space="preserve"> Projecting surgeon supply using a dynamic model. </w:t>
      </w:r>
      <w:r w:rsidRPr="00554CED">
        <w:rPr>
          <w:rFonts w:ascii="Arial" w:hAnsi="Arial" w:cs="Arial"/>
          <w:i/>
          <w:iCs/>
          <w:sz w:val="24"/>
          <w:szCs w:val="24"/>
        </w:rPr>
        <w:t>Annals of Surgery</w:t>
      </w:r>
      <w:r w:rsidRPr="0099381F">
        <w:rPr>
          <w:rFonts w:ascii="Arial" w:hAnsi="Arial" w:cs="Arial"/>
          <w:sz w:val="24"/>
          <w:szCs w:val="24"/>
        </w:rPr>
        <w:t>. May</w:t>
      </w:r>
      <w:r>
        <w:rPr>
          <w:rFonts w:ascii="Arial" w:hAnsi="Arial" w:cs="Arial"/>
          <w:sz w:val="24"/>
          <w:szCs w:val="24"/>
        </w:rPr>
        <w:t xml:space="preserve"> 2013, </w:t>
      </w:r>
      <w:r w:rsidRPr="0099381F">
        <w:rPr>
          <w:rFonts w:ascii="Arial" w:hAnsi="Arial" w:cs="Arial"/>
          <w:sz w:val="24"/>
          <w:szCs w:val="24"/>
        </w:rPr>
        <w:t>257(5)</w:t>
      </w:r>
      <w:r>
        <w:rPr>
          <w:rFonts w:ascii="Arial" w:hAnsi="Arial" w:cs="Arial"/>
          <w:sz w:val="24"/>
          <w:szCs w:val="24"/>
        </w:rPr>
        <w:t xml:space="preserve">, </w:t>
      </w:r>
      <w:r w:rsidRPr="0099381F">
        <w:rPr>
          <w:rFonts w:ascii="Arial" w:hAnsi="Arial" w:cs="Arial"/>
          <w:sz w:val="24"/>
          <w:szCs w:val="24"/>
        </w:rPr>
        <w:t>867-72</w:t>
      </w:r>
      <w:r>
        <w:rPr>
          <w:rFonts w:ascii="Arial" w:hAnsi="Arial" w:cs="Arial"/>
          <w:sz w:val="24"/>
          <w:szCs w:val="24"/>
        </w:rPr>
        <w:t xml:space="preserve"> Available at: </w:t>
      </w:r>
      <w:r w:rsidRPr="00B005A8">
        <w:rPr>
          <w:rFonts w:ascii="Arial" w:hAnsi="Arial" w:cs="Arial"/>
          <w:sz w:val="24"/>
          <w:szCs w:val="24"/>
        </w:rPr>
        <w:t>https://journals.lww.com/annalsofsurgery/Abstract/2013/05000/Projecting_Surgeon_Supply_Using_a_Dynamic_Model.13.aspx</w:t>
      </w:r>
      <w:r>
        <w:rPr>
          <w:rFonts w:ascii="Arial" w:hAnsi="Arial" w:cs="Arial"/>
          <w:sz w:val="24"/>
          <w:szCs w:val="24"/>
        </w:rPr>
        <w:t xml:space="preserve"> </w:t>
      </w:r>
      <w:r w:rsidRPr="0099381F">
        <w:rPr>
          <w:rFonts w:ascii="Arial" w:hAnsi="Arial" w:cs="Arial"/>
          <w:sz w:val="24"/>
          <w:szCs w:val="24"/>
        </w:rPr>
        <w:t xml:space="preserve"> </w:t>
      </w:r>
      <w:r w:rsidRPr="00401AC5">
        <w:rPr>
          <w:rFonts w:ascii="Arial" w:hAnsi="Arial" w:cs="Arial"/>
          <w:sz w:val="24"/>
          <w:szCs w:val="24"/>
        </w:rPr>
        <w:t xml:space="preserve">[Accessed </w:t>
      </w:r>
      <w:r>
        <w:rPr>
          <w:rFonts w:ascii="Arial" w:hAnsi="Arial" w:cs="Arial"/>
          <w:sz w:val="24"/>
          <w:szCs w:val="24"/>
        </w:rPr>
        <w:t>5</w:t>
      </w:r>
      <w:r w:rsidRPr="00401AC5">
        <w:rPr>
          <w:rFonts w:ascii="Arial" w:hAnsi="Arial" w:cs="Arial"/>
          <w:sz w:val="24"/>
          <w:szCs w:val="24"/>
        </w:rPr>
        <w:t xml:space="preserve"> </w:t>
      </w:r>
      <w:r>
        <w:rPr>
          <w:rFonts w:ascii="Arial" w:hAnsi="Arial" w:cs="Arial"/>
          <w:sz w:val="24"/>
          <w:szCs w:val="24"/>
        </w:rPr>
        <w:t>March</w:t>
      </w:r>
      <w:r w:rsidRPr="00401AC5">
        <w:rPr>
          <w:rFonts w:ascii="Arial" w:hAnsi="Arial" w:cs="Arial"/>
          <w:sz w:val="24"/>
          <w:szCs w:val="24"/>
        </w:rPr>
        <w:t>. 202</w:t>
      </w:r>
      <w:r>
        <w:rPr>
          <w:rFonts w:ascii="Arial" w:hAnsi="Arial" w:cs="Arial"/>
          <w:sz w:val="24"/>
          <w:szCs w:val="24"/>
        </w:rPr>
        <w:t>6</w:t>
      </w:r>
      <w:r w:rsidRPr="00401AC5">
        <w:rPr>
          <w:rFonts w:ascii="Arial" w:hAnsi="Arial" w:cs="Arial"/>
          <w:sz w:val="24"/>
          <w:szCs w:val="24"/>
        </w:rPr>
        <w:t>].</w:t>
      </w:r>
    </w:p>
    <w:p w14:paraId="08AF209A" w14:textId="77777777" w:rsidR="00544E5D" w:rsidRDefault="00544E5D" w:rsidP="00544E5D">
      <w:pPr>
        <w:spacing w:after="240" w:line="360" w:lineRule="auto"/>
        <w:rPr>
          <w:rFonts w:ascii="Arial" w:hAnsi="Arial" w:cs="Arial"/>
          <w:sz w:val="24"/>
          <w:szCs w:val="24"/>
        </w:rPr>
      </w:pPr>
      <w:r w:rsidRPr="008F522C">
        <w:rPr>
          <w:rFonts w:ascii="Arial" w:hAnsi="Arial" w:cs="Arial"/>
          <w:sz w:val="24"/>
          <w:szCs w:val="24"/>
        </w:rPr>
        <w:t xml:space="preserve">Frenk, J. et al. (2010) ‘Health professionals for a new century: transforming education to strengthen health systems in an interdependent world’, </w:t>
      </w:r>
      <w:r w:rsidRPr="008F522C">
        <w:rPr>
          <w:rFonts w:ascii="Arial" w:hAnsi="Arial" w:cs="Arial"/>
          <w:i/>
          <w:iCs/>
          <w:sz w:val="24"/>
          <w:szCs w:val="24"/>
        </w:rPr>
        <w:t>The Lancet</w:t>
      </w:r>
      <w:r w:rsidRPr="008F522C">
        <w:rPr>
          <w:rFonts w:ascii="Arial" w:hAnsi="Arial" w:cs="Arial"/>
          <w:sz w:val="24"/>
          <w:szCs w:val="24"/>
        </w:rPr>
        <w:t>, 376(9756), pp. 1923–1958.</w:t>
      </w:r>
    </w:p>
    <w:p w14:paraId="418278BB" w14:textId="77777777" w:rsidR="00544E5D" w:rsidRPr="00971ED7" w:rsidRDefault="00544E5D" w:rsidP="00544E5D">
      <w:pPr>
        <w:spacing w:after="240" w:line="360" w:lineRule="auto"/>
        <w:rPr>
          <w:rFonts w:ascii="Arial" w:hAnsi="Arial" w:cs="Arial"/>
          <w:sz w:val="24"/>
          <w:szCs w:val="24"/>
        </w:rPr>
      </w:pPr>
      <w:r w:rsidRPr="00971ED7">
        <w:rPr>
          <w:rFonts w:ascii="Arial" w:hAnsi="Arial" w:cs="Arial"/>
          <w:sz w:val="24"/>
          <w:szCs w:val="24"/>
        </w:rPr>
        <w:t xml:space="preserve">Friedman, L.H. and Rogers, J.L. (2009) </w:t>
      </w:r>
      <w:r w:rsidRPr="00971ED7">
        <w:rPr>
          <w:rFonts w:ascii="Arial" w:hAnsi="Arial" w:cs="Arial"/>
          <w:i/>
          <w:iCs/>
          <w:sz w:val="24"/>
          <w:szCs w:val="24"/>
        </w:rPr>
        <w:t>There’s no such thing as a healthcare professional</w:t>
      </w:r>
      <w:r w:rsidRPr="00971ED7">
        <w:rPr>
          <w:rFonts w:ascii="Arial" w:hAnsi="Arial" w:cs="Arial"/>
          <w:sz w:val="24"/>
          <w:szCs w:val="24"/>
        </w:rPr>
        <w:t>. 2nd edn. Lanham, MD: Rowman &amp; Littlefield.</w:t>
      </w:r>
    </w:p>
    <w:p w14:paraId="455E6E08" w14:textId="77777777" w:rsidR="00544E5D" w:rsidRDefault="00544E5D" w:rsidP="00544E5D">
      <w:pPr>
        <w:spacing w:after="240" w:line="360" w:lineRule="auto"/>
        <w:rPr>
          <w:rFonts w:ascii="Arial" w:hAnsi="Arial" w:cs="Arial"/>
          <w:sz w:val="24"/>
          <w:szCs w:val="24"/>
        </w:rPr>
      </w:pPr>
      <w:r w:rsidRPr="00401AC5">
        <w:rPr>
          <w:rFonts w:ascii="Arial" w:hAnsi="Arial" w:cs="Arial"/>
          <w:sz w:val="24"/>
          <w:szCs w:val="24"/>
        </w:rPr>
        <w:lastRenderedPageBreak/>
        <w:t>Gondwe, G. (2023)</w:t>
      </w:r>
      <w:r>
        <w:rPr>
          <w:rFonts w:ascii="Arial" w:hAnsi="Arial" w:cs="Arial"/>
          <w:sz w:val="24"/>
          <w:szCs w:val="24"/>
        </w:rPr>
        <w:t>.</w:t>
      </w:r>
      <w:r w:rsidRPr="00401AC5">
        <w:rPr>
          <w:rFonts w:ascii="Arial" w:hAnsi="Arial" w:cs="Arial"/>
          <w:sz w:val="24"/>
          <w:szCs w:val="24"/>
        </w:rPr>
        <w:t xml:space="preserve"> How “Qualitable” is Qualitative Research in Media and Communication Studies? </w:t>
      </w:r>
      <w:r w:rsidRPr="00551DF7">
        <w:rPr>
          <w:rFonts w:ascii="Arial" w:hAnsi="Arial" w:cs="Arial"/>
          <w:i/>
          <w:iCs/>
          <w:sz w:val="24"/>
          <w:szCs w:val="24"/>
        </w:rPr>
        <w:t>Harvard Scholar Repository</w:t>
      </w:r>
      <w:r w:rsidRPr="00401AC5">
        <w:rPr>
          <w:rFonts w:ascii="Arial" w:hAnsi="Arial" w:cs="Arial"/>
          <w:sz w:val="24"/>
          <w:szCs w:val="24"/>
        </w:rPr>
        <w:t>. Available at: https://scholar.harvard.edu/sites/scholar.harvard.edu/files/ggondwezunda/files/how_qualitable_-_updated.pdf [Accessed 3 June 2025].</w:t>
      </w:r>
    </w:p>
    <w:p w14:paraId="52B0096A" w14:textId="77777777" w:rsidR="00544E5D" w:rsidRDefault="00544E5D" w:rsidP="00544E5D">
      <w:pPr>
        <w:spacing w:after="240" w:line="360" w:lineRule="auto"/>
        <w:rPr>
          <w:rFonts w:ascii="Arial" w:hAnsi="Arial" w:cs="Arial"/>
          <w:sz w:val="24"/>
          <w:szCs w:val="24"/>
        </w:rPr>
      </w:pPr>
      <w:r w:rsidRPr="00E516FC">
        <w:rPr>
          <w:rFonts w:ascii="Arial" w:hAnsi="Arial" w:cs="Arial"/>
          <w:sz w:val="24"/>
          <w:szCs w:val="24"/>
        </w:rPr>
        <w:t>Grant, A.M and Berg, J.M (2011)</w:t>
      </w:r>
      <w:r>
        <w:rPr>
          <w:rFonts w:ascii="Arial" w:hAnsi="Arial" w:cs="Arial"/>
          <w:sz w:val="24"/>
          <w:szCs w:val="24"/>
        </w:rPr>
        <w:t xml:space="preserve">. </w:t>
      </w:r>
      <w:r w:rsidRPr="00E516FC">
        <w:rPr>
          <w:rFonts w:ascii="Arial" w:hAnsi="Arial" w:cs="Arial"/>
          <w:sz w:val="24"/>
          <w:szCs w:val="24"/>
        </w:rPr>
        <w:t>Prosocial motivation at work: When, why, and how making a difference makes a difference</w:t>
      </w:r>
      <w:r>
        <w:rPr>
          <w:rFonts w:ascii="Arial" w:hAnsi="Arial" w:cs="Arial"/>
          <w:sz w:val="24"/>
          <w:szCs w:val="24"/>
        </w:rPr>
        <w:t>.</w:t>
      </w:r>
      <w:r w:rsidRPr="00E516FC">
        <w:rPr>
          <w:rFonts w:ascii="Arial" w:hAnsi="Arial" w:cs="Arial"/>
          <w:sz w:val="24"/>
          <w:szCs w:val="24"/>
        </w:rPr>
        <w:t xml:space="preserve"> </w:t>
      </w:r>
      <w:r w:rsidRPr="00E516FC">
        <w:rPr>
          <w:rFonts w:ascii="Arial" w:hAnsi="Arial" w:cs="Arial"/>
          <w:i/>
          <w:iCs/>
          <w:sz w:val="24"/>
          <w:szCs w:val="24"/>
        </w:rPr>
        <w:t>Research in Organizational Behavior</w:t>
      </w:r>
      <w:r w:rsidRPr="00E516FC">
        <w:rPr>
          <w:rFonts w:ascii="Arial" w:hAnsi="Arial" w:cs="Arial"/>
          <w:sz w:val="24"/>
          <w:szCs w:val="24"/>
        </w:rPr>
        <w:t>, 31 pp. 63-102.</w:t>
      </w:r>
    </w:p>
    <w:p w14:paraId="4665FF8C" w14:textId="77777777" w:rsidR="00544E5D" w:rsidRPr="00971ED7" w:rsidRDefault="00544E5D" w:rsidP="00544E5D">
      <w:pPr>
        <w:spacing w:after="240" w:line="360" w:lineRule="auto"/>
        <w:rPr>
          <w:rFonts w:ascii="Arial" w:hAnsi="Arial" w:cs="Arial"/>
          <w:sz w:val="24"/>
          <w:szCs w:val="24"/>
        </w:rPr>
      </w:pPr>
      <w:r w:rsidRPr="00971ED7">
        <w:rPr>
          <w:rFonts w:ascii="Arial" w:hAnsi="Arial" w:cs="Arial"/>
          <w:sz w:val="24"/>
          <w:szCs w:val="24"/>
        </w:rPr>
        <w:t xml:space="preserve">Greenhalgh, T., Wherton, J., Papoutsi, C., Lynch, J., Hughes, G., A’Court, C., Hinder, S., Fahy, N., Procter, R. and Shaw, S. (2017) ‘Beyond adoption: A new framework for theorizing and evaluating nonadoption, abandonment, and challenges to the scale-up, spread, and sustainability of health and care technologies’, </w:t>
      </w:r>
      <w:r w:rsidRPr="00971ED7">
        <w:rPr>
          <w:rFonts w:ascii="Arial" w:hAnsi="Arial" w:cs="Arial"/>
          <w:i/>
          <w:iCs/>
          <w:sz w:val="24"/>
          <w:szCs w:val="24"/>
        </w:rPr>
        <w:t>Journal of Medical Internet Research</w:t>
      </w:r>
      <w:r w:rsidRPr="00971ED7">
        <w:rPr>
          <w:rFonts w:ascii="Arial" w:hAnsi="Arial" w:cs="Arial"/>
          <w:sz w:val="24"/>
          <w:szCs w:val="24"/>
        </w:rPr>
        <w:t>, 19(11), e367. https://doi.org/10.2196/jmir.8775</w:t>
      </w:r>
    </w:p>
    <w:p w14:paraId="5209881B" w14:textId="77777777" w:rsidR="00544E5D" w:rsidRDefault="00544E5D" w:rsidP="00544E5D">
      <w:pPr>
        <w:spacing w:after="240" w:line="360" w:lineRule="auto"/>
        <w:rPr>
          <w:rFonts w:ascii="Arial" w:hAnsi="Arial" w:cs="Arial"/>
          <w:sz w:val="24"/>
          <w:szCs w:val="24"/>
        </w:rPr>
      </w:pPr>
      <w:r w:rsidRPr="00941FC3">
        <w:rPr>
          <w:rFonts w:ascii="Arial" w:hAnsi="Arial" w:cs="Arial"/>
          <w:sz w:val="24"/>
          <w:szCs w:val="24"/>
        </w:rPr>
        <w:t>Gugerty, M.K. (2023)</w:t>
      </w:r>
      <w:r>
        <w:rPr>
          <w:rFonts w:ascii="Arial" w:hAnsi="Arial" w:cs="Arial"/>
          <w:sz w:val="24"/>
          <w:szCs w:val="24"/>
        </w:rPr>
        <w:t xml:space="preserve">. </w:t>
      </w:r>
      <w:r w:rsidRPr="00941FC3">
        <w:rPr>
          <w:rFonts w:ascii="Arial" w:hAnsi="Arial" w:cs="Arial"/>
          <w:sz w:val="24"/>
          <w:szCs w:val="24"/>
        </w:rPr>
        <w:t>Theory of Change and Logic Models: Foundation for the Evaluation of Social Programs</w:t>
      </w:r>
      <w:r>
        <w:rPr>
          <w:rFonts w:ascii="Arial" w:hAnsi="Arial" w:cs="Arial"/>
          <w:sz w:val="24"/>
          <w:szCs w:val="24"/>
        </w:rPr>
        <w:t>.</w:t>
      </w:r>
      <w:r w:rsidRPr="00941FC3">
        <w:rPr>
          <w:rFonts w:ascii="Arial" w:hAnsi="Arial" w:cs="Arial"/>
          <w:sz w:val="24"/>
          <w:szCs w:val="24"/>
        </w:rPr>
        <w:t xml:space="preserve"> </w:t>
      </w:r>
      <w:r w:rsidRPr="00941FC3">
        <w:rPr>
          <w:rFonts w:ascii="Arial" w:hAnsi="Arial" w:cs="Arial"/>
          <w:i/>
          <w:iCs/>
          <w:sz w:val="24"/>
          <w:szCs w:val="24"/>
        </w:rPr>
        <w:t>The Oxford Handbook of Program Design and Implementation Evaluation</w:t>
      </w:r>
      <w:r w:rsidRPr="00941FC3">
        <w:rPr>
          <w:rFonts w:ascii="Arial" w:hAnsi="Arial" w:cs="Arial"/>
          <w:sz w:val="24"/>
          <w:szCs w:val="24"/>
        </w:rPr>
        <w:t>. Oxford University Press. Available at: https://academic.oup.com/edited-volume/49435/chapter/417442294 [Accessed 3 June 2025].</w:t>
      </w:r>
    </w:p>
    <w:p w14:paraId="52B76360" w14:textId="77777777" w:rsidR="00544E5D" w:rsidRDefault="00544E5D" w:rsidP="00544E5D">
      <w:pPr>
        <w:spacing w:after="240" w:line="360" w:lineRule="auto"/>
        <w:rPr>
          <w:rFonts w:ascii="Arial" w:hAnsi="Arial" w:cs="Arial"/>
          <w:sz w:val="24"/>
          <w:szCs w:val="24"/>
        </w:rPr>
      </w:pPr>
      <w:r w:rsidRPr="005F2C7C">
        <w:rPr>
          <w:rFonts w:ascii="Arial" w:hAnsi="Arial" w:cs="Arial"/>
          <w:sz w:val="24"/>
          <w:szCs w:val="24"/>
        </w:rPr>
        <w:t xml:space="preserve">Health Education England (2022) </w:t>
      </w:r>
      <w:r w:rsidRPr="005F2C7C">
        <w:rPr>
          <w:rFonts w:ascii="Arial" w:hAnsi="Arial" w:cs="Arial"/>
          <w:i/>
          <w:iCs/>
          <w:sz w:val="24"/>
          <w:szCs w:val="24"/>
        </w:rPr>
        <w:t>The Future Doctor Programme: A vision for the future clinical team</w:t>
      </w:r>
      <w:r w:rsidRPr="005F2C7C">
        <w:rPr>
          <w:rFonts w:ascii="Arial" w:hAnsi="Arial" w:cs="Arial"/>
          <w:sz w:val="24"/>
          <w:szCs w:val="24"/>
        </w:rPr>
        <w:t xml:space="preserve">. London: HEE. Available at: </w:t>
      </w:r>
      <w:hyperlink r:id="rId14" w:history="1">
        <w:r w:rsidRPr="005F2C7C">
          <w:rPr>
            <w:rStyle w:val="Hyperlink"/>
            <w:rFonts w:ascii="Arial" w:hAnsi="Arial" w:cs="Arial"/>
            <w:sz w:val="24"/>
            <w:szCs w:val="24"/>
          </w:rPr>
          <w:t>https://www.hee.nhs.uk/our-work/future-doctor</w:t>
        </w:r>
      </w:hyperlink>
      <w:r w:rsidRPr="005F2C7C">
        <w:rPr>
          <w:rFonts w:ascii="Arial" w:hAnsi="Arial" w:cs="Arial"/>
          <w:sz w:val="24"/>
          <w:szCs w:val="24"/>
        </w:rPr>
        <w:t xml:space="preserve"> </w:t>
      </w:r>
      <w:r>
        <w:rPr>
          <w:rFonts w:ascii="Arial" w:hAnsi="Arial" w:cs="Arial"/>
          <w:sz w:val="24"/>
          <w:szCs w:val="24"/>
        </w:rPr>
        <w:t>[</w:t>
      </w:r>
      <w:r w:rsidRPr="005F2C7C">
        <w:rPr>
          <w:rFonts w:ascii="Arial" w:hAnsi="Arial" w:cs="Arial"/>
          <w:sz w:val="24"/>
          <w:szCs w:val="24"/>
        </w:rPr>
        <w:t>Accessed 15 February 2026</w:t>
      </w:r>
      <w:r>
        <w:rPr>
          <w:rFonts w:ascii="Arial" w:hAnsi="Arial" w:cs="Arial"/>
          <w:sz w:val="24"/>
          <w:szCs w:val="24"/>
        </w:rPr>
        <w:t>]</w:t>
      </w:r>
      <w:r w:rsidRPr="005F2C7C">
        <w:rPr>
          <w:rFonts w:ascii="Arial" w:hAnsi="Arial" w:cs="Arial"/>
          <w:sz w:val="24"/>
          <w:szCs w:val="24"/>
        </w:rPr>
        <w:t>.</w:t>
      </w:r>
    </w:p>
    <w:p w14:paraId="606C4578" w14:textId="77777777" w:rsidR="00544E5D" w:rsidRPr="004700C2" w:rsidRDefault="00544E5D" w:rsidP="00544E5D">
      <w:pPr>
        <w:spacing w:after="240" w:line="360" w:lineRule="auto"/>
        <w:rPr>
          <w:rFonts w:ascii="Arial" w:hAnsi="Arial" w:cs="Arial"/>
          <w:sz w:val="24"/>
          <w:szCs w:val="24"/>
        </w:rPr>
      </w:pPr>
      <w:r w:rsidRPr="004700C2">
        <w:rPr>
          <w:rFonts w:ascii="Arial" w:hAnsi="Arial" w:cs="Arial"/>
          <w:sz w:val="24"/>
          <w:szCs w:val="24"/>
        </w:rPr>
        <w:t xml:space="preserve">Health Education and Improvement Wales (HEIW) and Social Care Wales (2020) </w:t>
      </w:r>
      <w:r w:rsidRPr="004700C2">
        <w:rPr>
          <w:rFonts w:ascii="Arial" w:hAnsi="Arial" w:cs="Arial"/>
          <w:i/>
          <w:iCs/>
          <w:sz w:val="24"/>
          <w:szCs w:val="24"/>
        </w:rPr>
        <w:t>Health and care workforce strategy for Wales</w:t>
      </w:r>
      <w:r w:rsidRPr="004700C2">
        <w:rPr>
          <w:rFonts w:ascii="Arial" w:hAnsi="Arial" w:cs="Arial"/>
          <w:sz w:val="24"/>
          <w:szCs w:val="24"/>
        </w:rPr>
        <w:t>. Cardiff: HEIW</w:t>
      </w:r>
      <w:r>
        <w:rPr>
          <w:rFonts w:ascii="Arial" w:hAnsi="Arial" w:cs="Arial"/>
          <w:i/>
          <w:iCs/>
          <w:sz w:val="24"/>
          <w:szCs w:val="24"/>
        </w:rPr>
        <w:t xml:space="preserve">. </w:t>
      </w:r>
      <w:r w:rsidRPr="00D756D0">
        <w:rPr>
          <w:rFonts w:ascii="Arial" w:hAnsi="Arial" w:cs="Arial"/>
          <w:sz w:val="24"/>
          <w:szCs w:val="24"/>
        </w:rPr>
        <w:t xml:space="preserve">Available at: </w:t>
      </w:r>
      <w:hyperlink r:id="rId15" w:history="1">
        <w:r w:rsidRPr="009641A3">
          <w:rPr>
            <w:rStyle w:val="Hyperlink"/>
            <w:rFonts w:ascii="Arial" w:hAnsi="Arial" w:cs="Arial"/>
            <w:sz w:val="24"/>
            <w:szCs w:val="24"/>
          </w:rPr>
          <w:t>https://socialcare.wales/cms-assets/documents/Workforce-strategy-ENG-March-2021.pdf</w:t>
        </w:r>
      </w:hyperlink>
      <w:r>
        <w:rPr>
          <w:rFonts w:ascii="Arial" w:hAnsi="Arial" w:cs="Arial"/>
          <w:sz w:val="24"/>
          <w:szCs w:val="24"/>
        </w:rPr>
        <w:t xml:space="preserve"> [Accessed 15 February 2026]</w:t>
      </w:r>
    </w:p>
    <w:p w14:paraId="34B20681" w14:textId="1A9E19E0" w:rsidR="00544E5D" w:rsidRDefault="00886268" w:rsidP="00544E5D">
      <w:pPr>
        <w:spacing w:after="240" w:line="360" w:lineRule="auto"/>
        <w:rPr>
          <w:rFonts w:ascii="Arial" w:hAnsi="Arial" w:cs="Arial"/>
          <w:sz w:val="24"/>
          <w:szCs w:val="24"/>
        </w:rPr>
      </w:pPr>
      <w:r w:rsidRPr="004700C2">
        <w:rPr>
          <w:rFonts w:ascii="Arial" w:hAnsi="Arial" w:cs="Arial"/>
          <w:sz w:val="24"/>
          <w:szCs w:val="24"/>
        </w:rPr>
        <w:t xml:space="preserve">Health Education and Improvement Wales (HEIW) </w:t>
      </w:r>
      <w:r w:rsidR="00681ADB">
        <w:rPr>
          <w:rFonts w:ascii="Arial" w:hAnsi="Arial" w:cs="Arial"/>
          <w:sz w:val="24"/>
          <w:szCs w:val="24"/>
        </w:rPr>
        <w:t xml:space="preserve">(2025) </w:t>
      </w:r>
      <w:r w:rsidR="00544E5D" w:rsidRPr="00FE2A2D">
        <w:rPr>
          <w:rFonts w:ascii="Arial" w:hAnsi="Arial" w:cs="Arial"/>
          <w:i/>
          <w:iCs/>
          <w:sz w:val="24"/>
          <w:szCs w:val="24"/>
        </w:rPr>
        <w:t>Integrated Medium Term Plan 2025-28</w:t>
      </w:r>
      <w:r w:rsidR="00544E5D" w:rsidRPr="00FE2A2D">
        <w:rPr>
          <w:rFonts w:ascii="Arial" w:hAnsi="Arial" w:cs="Arial"/>
          <w:sz w:val="24"/>
          <w:szCs w:val="24"/>
        </w:rPr>
        <w:t xml:space="preserve">. </w:t>
      </w:r>
      <w:r w:rsidR="00681ADB">
        <w:rPr>
          <w:rFonts w:ascii="Arial" w:hAnsi="Arial" w:cs="Arial"/>
          <w:sz w:val="24"/>
          <w:szCs w:val="24"/>
        </w:rPr>
        <w:t>Cardiff</w:t>
      </w:r>
      <w:r w:rsidR="00F34385">
        <w:rPr>
          <w:rFonts w:ascii="Arial" w:hAnsi="Arial" w:cs="Arial"/>
          <w:sz w:val="24"/>
          <w:szCs w:val="24"/>
        </w:rPr>
        <w:t xml:space="preserve">: HEIW. </w:t>
      </w:r>
      <w:r w:rsidR="00544E5D" w:rsidRPr="00FE2A2D">
        <w:rPr>
          <w:rFonts w:ascii="Arial" w:hAnsi="Arial" w:cs="Arial"/>
          <w:sz w:val="24"/>
          <w:szCs w:val="24"/>
        </w:rPr>
        <w:t>Available at: https://heiw.nhs.wales/files/heiw-impt-final-2025-28/ [Accessed 3rd J</w:t>
      </w:r>
      <w:r w:rsidR="00544E5D">
        <w:rPr>
          <w:rFonts w:ascii="Arial" w:hAnsi="Arial" w:cs="Arial"/>
          <w:sz w:val="24"/>
          <w:szCs w:val="24"/>
        </w:rPr>
        <w:t>anuary</w:t>
      </w:r>
      <w:r w:rsidR="00544E5D" w:rsidRPr="00FE2A2D">
        <w:rPr>
          <w:rFonts w:ascii="Arial" w:hAnsi="Arial" w:cs="Arial"/>
          <w:sz w:val="24"/>
          <w:szCs w:val="24"/>
        </w:rPr>
        <w:t xml:space="preserve"> 202</w:t>
      </w:r>
      <w:r w:rsidR="00544E5D">
        <w:rPr>
          <w:rFonts w:ascii="Arial" w:hAnsi="Arial" w:cs="Arial"/>
          <w:sz w:val="24"/>
          <w:szCs w:val="24"/>
        </w:rPr>
        <w:t>6</w:t>
      </w:r>
      <w:r w:rsidR="00544E5D" w:rsidRPr="00FE2A2D">
        <w:rPr>
          <w:rFonts w:ascii="Arial" w:hAnsi="Arial" w:cs="Arial"/>
          <w:sz w:val="24"/>
          <w:szCs w:val="24"/>
        </w:rPr>
        <w:t>]</w:t>
      </w:r>
    </w:p>
    <w:p w14:paraId="2CB04AA5" w14:textId="77777777" w:rsidR="00544E5D" w:rsidRDefault="00544E5D" w:rsidP="00544E5D">
      <w:pPr>
        <w:spacing w:after="240" w:line="360" w:lineRule="auto"/>
        <w:rPr>
          <w:rFonts w:ascii="Arial" w:hAnsi="Arial" w:cs="Arial"/>
          <w:sz w:val="24"/>
          <w:szCs w:val="24"/>
        </w:rPr>
      </w:pPr>
      <w:r w:rsidRPr="00D5686A">
        <w:rPr>
          <w:rFonts w:ascii="Arial" w:hAnsi="Arial" w:cs="Arial"/>
          <w:sz w:val="24"/>
          <w:szCs w:val="24"/>
        </w:rPr>
        <w:t xml:space="preserve">Health Research Authority (HRA) (2025) </w:t>
      </w:r>
      <w:r w:rsidRPr="00D5686A">
        <w:rPr>
          <w:rFonts w:ascii="Arial" w:hAnsi="Arial" w:cs="Arial"/>
          <w:i/>
          <w:iCs/>
          <w:sz w:val="24"/>
          <w:szCs w:val="24"/>
        </w:rPr>
        <w:t>UK Policy Framework for Health and Social Care Research</w:t>
      </w:r>
      <w:r w:rsidRPr="00D5686A">
        <w:rPr>
          <w:rFonts w:ascii="Arial" w:hAnsi="Arial" w:cs="Arial"/>
          <w:sz w:val="24"/>
          <w:szCs w:val="24"/>
        </w:rPr>
        <w:t>. Available at: https://www.hra.nhs.uk/planning-and-improving-</w:t>
      </w:r>
      <w:r w:rsidRPr="00D5686A">
        <w:rPr>
          <w:rFonts w:ascii="Arial" w:hAnsi="Arial" w:cs="Arial"/>
          <w:sz w:val="24"/>
          <w:szCs w:val="24"/>
        </w:rPr>
        <w:lastRenderedPageBreak/>
        <w:t>research/policies-standards-legislation/uk-policy-framework-health-social-care-research/ (Accessed: 2</w:t>
      </w:r>
      <w:r>
        <w:rPr>
          <w:rFonts w:ascii="Arial" w:hAnsi="Arial" w:cs="Arial"/>
          <w:sz w:val="24"/>
          <w:szCs w:val="24"/>
        </w:rPr>
        <w:t>2</w:t>
      </w:r>
      <w:r w:rsidRPr="00D5686A">
        <w:rPr>
          <w:rFonts w:ascii="Arial" w:hAnsi="Arial" w:cs="Arial"/>
          <w:sz w:val="24"/>
          <w:szCs w:val="24"/>
        </w:rPr>
        <w:t xml:space="preserve"> April 2026).</w:t>
      </w:r>
    </w:p>
    <w:p w14:paraId="7EC08A8C" w14:textId="77777777" w:rsidR="00544E5D" w:rsidRDefault="00544E5D" w:rsidP="00544E5D">
      <w:pPr>
        <w:spacing w:after="240" w:line="360" w:lineRule="auto"/>
        <w:rPr>
          <w:rFonts w:ascii="Arial" w:hAnsi="Arial" w:cs="Arial"/>
          <w:sz w:val="24"/>
          <w:szCs w:val="24"/>
        </w:rPr>
      </w:pPr>
      <w:r w:rsidRPr="00714E70">
        <w:rPr>
          <w:rFonts w:ascii="Arial" w:hAnsi="Arial" w:cs="Arial"/>
          <w:sz w:val="24"/>
          <w:szCs w:val="24"/>
        </w:rPr>
        <w:t xml:space="preserve">Holton III, E.F. (1996) ‘The flawed four-level evaluation model’, </w:t>
      </w:r>
      <w:r w:rsidRPr="00714E70">
        <w:rPr>
          <w:rFonts w:ascii="Arial" w:hAnsi="Arial" w:cs="Arial"/>
          <w:i/>
          <w:iCs/>
          <w:sz w:val="24"/>
          <w:szCs w:val="24"/>
        </w:rPr>
        <w:t>Human Resource Development Quarterly</w:t>
      </w:r>
      <w:r w:rsidRPr="00714E70">
        <w:rPr>
          <w:rFonts w:ascii="Arial" w:hAnsi="Arial" w:cs="Arial"/>
          <w:sz w:val="24"/>
          <w:szCs w:val="24"/>
        </w:rPr>
        <w:t xml:space="preserve">, 7(1), pp. 5–21. Available at: https://eric.ed.gov/?id=EJ521126 </w:t>
      </w:r>
      <w:r>
        <w:rPr>
          <w:rFonts w:ascii="Arial" w:hAnsi="Arial" w:cs="Arial"/>
          <w:sz w:val="24"/>
          <w:szCs w:val="24"/>
        </w:rPr>
        <w:t>[</w:t>
      </w:r>
      <w:r w:rsidRPr="00714E70">
        <w:rPr>
          <w:rFonts w:ascii="Arial" w:hAnsi="Arial" w:cs="Arial"/>
          <w:sz w:val="24"/>
          <w:szCs w:val="24"/>
        </w:rPr>
        <w:t>Accessed: 2</w:t>
      </w:r>
      <w:r>
        <w:rPr>
          <w:rFonts w:ascii="Arial" w:hAnsi="Arial" w:cs="Arial"/>
          <w:sz w:val="24"/>
          <w:szCs w:val="24"/>
        </w:rPr>
        <w:t xml:space="preserve">2 </w:t>
      </w:r>
      <w:r w:rsidRPr="00714E70">
        <w:rPr>
          <w:rFonts w:ascii="Arial" w:hAnsi="Arial" w:cs="Arial"/>
          <w:sz w:val="24"/>
          <w:szCs w:val="24"/>
        </w:rPr>
        <w:t>April 2026</w:t>
      </w:r>
      <w:r>
        <w:rPr>
          <w:rFonts w:ascii="Arial" w:hAnsi="Arial" w:cs="Arial"/>
          <w:sz w:val="24"/>
          <w:szCs w:val="24"/>
        </w:rPr>
        <w:t>].</w:t>
      </w:r>
    </w:p>
    <w:p w14:paraId="3B902A41" w14:textId="77777777" w:rsidR="00544E5D" w:rsidRDefault="00544E5D" w:rsidP="00544E5D">
      <w:pPr>
        <w:spacing w:after="240" w:line="360" w:lineRule="auto"/>
        <w:rPr>
          <w:rFonts w:ascii="Arial" w:hAnsi="Arial" w:cs="Arial"/>
          <w:sz w:val="24"/>
          <w:szCs w:val="24"/>
        </w:rPr>
      </w:pPr>
      <w:r w:rsidRPr="000E6A8A">
        <w:rPr>
          <w:rFonts w:ascii="Arial" w:hAnsi="Arial" w:cs="Arial"/>
          <w:sz w:val="24"/>
          <w:szCs w:val="24"/>
        </w:rPr>
        <w:t>Howe, K.R. (1988)</w:t>
      </w:r>
      <w:r>
        <w:rPr>
          <w:rFonts w:ascii="Arial" w:hAnsi="Arial" w:cs="Arial"/>
          <w:sz w:val="24"/>
          <w:szCs w:val="24"/>
        </w:rPr>
        <w:t xml:space="preserve">. </w:t>
      </w:r>
      <w:r w:rsidRPr="000E6A8A">
        <w:rPr>
          <w:rFonts w:ascii="Arial" w:hAnsi="Arial" w:cs="Arial"/>
          <w:sz w:val="24"/>
          <w:szCs w:val="24"/>
        </w:rPr>
        <w:t>Against the quantitative-qualitative incompatibility thesis</w:t>
      </w:r>
      <w:r>
        <w:rPr>
          <w:rFonts w:ascii="Arial" w:hAnsi="Arial" w:cs="Arial"/>
          <w:sz w:val="24"/>
          <w:szCs w:val="24"/>
        </w:rPr>
        <w:t xml:space="preserve">. </w:t>
      </w:r>
      <w:r w:rsidRPr="000E6A8A">
        <w:rPr>
          <w:rFonts w:ascii="Arial" w:hAnsi="Arial" w:cs="Arial"/>
          <w:i/>
          <w:iCs/>
          <w:sz w:val="24"/>
          <w:szCs w:val="24"/>
        </w:rPr>
        <w:t>Educational Researcher</w:t>
      </w:r>
      <w:r w:rsidRPr="000E6A8A">
        <w:rPr>
          <w:rFonts w:ascii="Arial" w:hAnsi="Arial" w:cs="Arial"/>
          <w:sz w:val="24"/>
          <w:szCs w:val="24"/>
        </w:rPr>
        <w:t>, 17(8), pp. 10–16.</w:t>
      </w:r>
    </w:p>
    <w:p w14:paraId="24B1C0BA" w14:textId="77777777" w:rsidR="00544E5D" w:rsidRDefault="00544E5D" w:rsidP="00544E5D">
      <w:pPr>
        <w:spacing w:after="240" w:line="360" w:lineRule="auto"/>
        <w:rPr>
          <w:rFonts w:ascii="Arial" w:hAnsi="Arial" w:cs="Arial"/>
          <w:sz w:val="24"/>
          <w:szCs w:val="24"/>
        </w:rPr>
      </w:pPr>
      <w:r>
        <w:rPr>
          <w:rFonts w:ascii="Arial" w:hAnsi="Arial" w:cs="Arial"/>
          <w:sz w:val="24"/>
          <w:szCs w:val="24"/>
        </w:rPr>
        <w:t xml:space="preserve">Imison, C., Castle-Clarke, S. and Watson, R. (2016). </w:t>
      </w:r>
      <w:r w:rsidRPr="000E4969">
        <w:rPr>
          <w:rFonts w:ascii="Arial" w:hAnsi="Arial" w:cs="Arial"/>
          <w:i/>
          <w:iCs/>
          <w:sz w:val="24"/>
          <w:szCs w:val="24"/>
        </w:rPr>
        <w:t>Reshaping the workforce to deliver the care patients nee</w:t>
      </w:r>
      <w:r>
        <w:rPr>
          <w:rFonts w:ascii="Arial" w:hAnsi="Arial" w:cs="Arial"/>
          <w:i/>
          <w:iCs/>
          <w:sz w:val="24"/>
          <w:szCs w:val="24"/>
        </w:rPr>
        <w:t xml:space="preserve">d. </w:t>
      </w:r>
      <w:r w:rsidRPr="00CA33CA">
        <w:rPr>
          <w:rFonts w:ascii="Arial" w:hAnsi="Arial" w:cs="Arial"/>
          <w:sz w:val="24"/>
          <w:szCs w:val="24"/>
        </w:rPr>
        <w:t>Research Report Nuffield Trust</w:t>
      </w:r>
      <w:r>
        <w:rPr>
          <w:rFonts w:ascii="Arial" w:hAnsi="Arial" w:cs="Arial"/>
          <w:i/>
          <w:iCs/>
          <w:sz w:val="24"/>
          <w:szCs w:val="24"/>
        </w:rPr>
        <w:t xml:space="preserve"> Available at: </w:t>
      </w:r>
      <w:hyperlink r:id="rId16" w:history="1">
        <w:r w:rsidRPr="00CB364A">
          <w:rPr>
            <w:rStyle w:val="Hyperlink"/>
            <w:rFonts w:ascii="Arial" w:hAnsi="Arial" w:cs="Arial"/>
            <w:sz w:val="24"/>
            <w:szCs w:val="24"/>
          </w:rPr>
          <w:t>https://www.nuffieldtrust.org.uk/research/reshaping-the-workforce-to-deliver-the-care-patients-need</w:t>
        </w:r>
      </w:hyperlink>
      <w:r w:rsidRPr="00CB364A">
        <w:rPr>
          <w:rFonts w:ascii="Arial" w:hAnsi="Arial" w:cs="Arial"/>
          <w:sz w:val="24"/>
          <w:szCs w:val="24"/>
        </w:rPr>
        <w:t xml:space="preserve"> [Accessed 5th March 2026]</w:t>
      </w:r>
    </w:p>
    <w:p w14:paraId="523B737D" w14:textId="77777777" w:rsidR="00544E5D" w:rsidRDefault="00544E5D" w:rsidP="00544E5D">
      <w:pPr>
        <w:spacing w:after="240" w:line="360" w:lineRule="auto"/>
        <w:rPr>
          <w:rFonts w:ascii="Arial" w:hAnsi="Arial" w:cs="Arial"/>
          <w:sz w:val="24"/>
          <w:szCs w:val="24"/>
        </w:rPr>
      </w:pPr>
      <w:r w:rsidRPr="00EC60F5">
        <w:rPr>
          <w:rFonts w:ascii="Arial" w:hAnsi="Arial" w:cs="Arial"/>
          <w:sz w:val="24"/>
          <w:szCs w:val="24"/>
        </w:rPr>
        <w:t>Ivankova, N.V., Creswell, J.W. and Stick, S.L</w:t>
      </w:r>
      <w:r w:rsidRPr="00EC60F5">
        <w:rPr>
          <w:rFonts w:ascii="Arial" w:hAnsi="Arial" w:cs="Arial"/>
          <w:b/>
          <w:bCs/>
          <w:sz w:val="24"/>
          <w:szCs w:val="24"/>
        </w:rPr>
        <w:t>.</w:t>
      </w:r>
      <w:r w:rsidRPr="00EC60F5">
        <w:rPr>
          <w:rFonts w:ascii="Arial" w:hAnsi="Arial" w:cs="Arial"/>
          <w:sz w:val="24"/>
          <w:szCs w:val="24"/>
        </w:rPr>
        <w:t xml:space="preserve"> (2006) ‘Using mixed</w:t>
      </w:r>
      <w:r w:rsidRPr="00EC60F5">
        <w:rPr>
          <w:rFonts w:ascii="Arial" w:hAnsi="Arial" w:cs="Arial"/>
          <w:sz w:val="24"/>
          <w:szCs w:val="24"/>
        </w:rPr>
        <w:noBreakHyphen/>
        <w:t xml:space="preserve">methods sequential explanatory design: from theory to practice’, </w:t>
      </w:r>
      <w:r w:rsidRPr="00EC60F5">
        <w:rPr>
          <w:rFonts w:ascii="Arial" w:hAnsi="Arial" w:cs="Arial"/>
          <w:i/>
          <w:iCs/>
          <w:sz w:val="24"/>
          <w:szCs w:val="24"/>
        </w:rPr>
        <w:t>Field Methods</w:t>
      </w:r>
      <w:r w:rsidRPr="00EC60F5">
        <w:rPr>
          <w:rFonts w:ascii="Arial" w:hAnsi="Arial" w:cs="Arial"/>
          <w:sz w:val="24"/>
          <w:szCs w:val="24"/>
        </w:rPr>
        <w:t>, 18(1), pp. 3–20. https://doi.org/10.1177/1525822X05282260.</w:t>
      </w:r>
    </w:p>
    <w:p w14:paraId="4DCA6D08" w14:textId="1336106C" w:rsidR="00544E5D" w:rsidRPr="004C14E2" w:rsidRDefault="00544E5D" w:rsidP="00544E5D">
      <w:pPr>
        <w:spacing w:after="240" w:line="360" w:lineRule="auto"/>
        <w:rPr>
          <w:rFonts w:ascii="Arial" w:hAnsi="Arial" w:cs="Arial"/>
          <w:sz w:val="24"/>
          <w:szCs w:val="24"/>
        </w:rPr>
      </w:pPr>
      <w:r w:rsidRPr="007675E0">
        <w:rPr>
          <w:rFonts w:ascii="Arial" w:hAnsi="Arial" w:cs="Arial"/>
          <w:sz w:val="24"/>
          <w:szCs w:val="24"/>
        </w:rPr>
        <w:t>Jackson, C.B., Brabson, L.A., Quetsch, L.B. and Herschell, A.D</w:t>
      </w:r>
      <w:r w:rsidRPr="007675E0">
        <w:rPr>
          <w:rFonts w:ascii="Arial" w:hAnsi="Arial" w:cs="Arial"/>
          <w:i/>
          <w:iCs/>
          <w:sz w:val="24"/>
          <w:szCs w:val="24"/>
        </w:rPr>
        <w:t>.</w:t>
      </w:r>
      <w:r w:rsidR="00C92401">
        <w:rPr>
          <w:rFonts w:ascii="Arial" w:hAnsi="Arial" w:cs="Arial"/>
          <w:i/>
          <w:iCs/>
          <w:sz w:val="24"/>
          <w:szCs w:val="24"/>
        </w:rPr>
        <w:t xml:space="preserve"> </w:t>
      </w:r>
      <w:r w:rsidRPr="007675E0">
        <w:rPr>
          <w:rFonts w:ascii="Arial" w:hAnsi="Arial" w:cs="Arial"/>
          <w:sz w:val="24"/>
          <w:szCs w:val="24"/>
        </w:rPr>
        <w:t>(2019)</w:t>
      </w:r>
      <w:r w:rsidRPr="007675E0">
        <w:rPr>
          <w:rFonts w:ascii="Arial" w:hAnsi="Arial" w:cs="Arial"/>
          <w:i/>
          <w:iCs/>
          <w:sz w:val="24"/>
          <w:szCs w:val="24"/>
        </w:rPr>
        <w:t xml:space="preserve"> ‘Training transfer: a systematic review of the impact of inner setting factors’, </w:t>
      </w:r>
      <w:r w:rsidRPr="007675E0">
        <w:rPr>
          <w:rFonts w:ascii="Arial" w:hAnsi="Arial" w:cs="Arial"/>
          <w:sz w:val="24"/>
          <w:szCs w:val="24"/>
        </w:rPr>
        <w:t xml:space="preserve">Advances </w:t>
      </w:r>
      <w:r w:rsidR="00C92401">
        <w:rPr>
          <w:rFonts w:ascii="Arial" w:hAnsi="Arial" w:cs="Arial"/>
          <w:sz w:val="24"/>
          <w:szCs w:val="24"/>
        </w:rPr>
        <w:t>I</w:t>
      </w:r>
      <w:r w:rsidRPr="007675E0">
        <w:rPr>
          <w:rFonts w:ascii="Arial" w:hAnsi="Arial" w:cs="Arial"/>
          <w:sz w:val="24"/>
          <w:szCs w:val="24"/>
        </w:rPr>
        <w:t xml:space="preserve">n Health Sciences Education, 24(1), pp. 167–183. Available at: https://pubmed.ncbi.nlm.nih.gov/29922872/ </w:t>
      </w:r>
      <w:r>
        <w:rPr>
          <w:rFonts w:ascii="Arial" w:hAnsi="Arial" w:cs="Arial"/>
          <w:sz w:val="24"/>
          <w:szCs w:val="24"/>
        </w:rPr>
        <w:t>[</w:t>
      </w:r>
      <w:r w:rsidRPr="007675E0">
        <w:rPr>
          <w:rFonts w:ascii="Arial" w:hAnsi="Arial" w:cs="Arial"/>
          <w:sz w:val="24"/>
          <w:szCs w:val="24"/>
        </w:rPr>
        <w:t>Accessed: 2</w:t>
      </w:r>
      <w:r>
        <w:rPr>
          <w:rFonts w:ascii="Arial" w:hAnsi="Arial" w:cs="Arial"/>
          <w:sz w:val="24"/>
          <w:szCs w:val="24"/>
        </w:rPr>
        <w:t>2</w:t>
      </w:r>
      <w:r w:rsidRPr="007675E0">
        <w:rPr>
          <w:rFonts w:ascii="Arial" w:hAnsi="Arial" w:cs="Arial"/>
          <w:sz w:val="24"/>
          <w:szCs w:val="24"/>
        </w:rPr>
        <w:t xml:space="preserve"> April 2026</w:t>
      </w:r>
      <w:r>
        <w:rPr>
          <w:rFonts w:ascii="Arial" w:hAnsi="Arial" w:cs="Arial"/>
          <w:sz w:val="24"/>
          <w:szCs w:val="24"/>
        </w:rPr>
        <w:t>]</w:t>
      </w:r>
    </w:p>
    <w:p w14:paraId="69C5B7F3" w14:textId="1EE46F65" w:rsidR="00544E5D" w:rsidRDefault="00544E5D" w:rsidP="00544E5D">
      <w:pPr>
        <w:spacing w:after="240" w:line="360" w:lineRule="auto"/>
        <w:rPr>
          <w:rFonts w:ascii="Arial" w:hAnsi="Arial" w:cs="Arial"/>
          <w:sz w:val="24"/>
          <w:szCs w:val="24"/>
        </w:rPr>
      </w:pPr>
      <w:r w:rsidRPr="000E6A8A">
        <w:rPr>
          <w:rFonts w:ascii="Arial" w:hAnsi="Arial" w:cs="Arial"/>
          <w:sz w:val="24"/>
          <w:szCs w:val="24"/>
        </w:rPr>
        <w:t xml:space="preserve">Kirkpatrick, J.D. and Kirkpatrick, W.K. (2016). </w:t>
      </w:r>
      <w:r w:rsidRPr="000E6A8A">
        <w:rPr>
          <w:rFonts w:ascii="Arial" w:hAnsi="Arial" w:cs="Arial"/>
          <w:i/>
          <w:iCs/>
          <w:sz w:val="24"/>
          <w:szCs w:val="24"/>
        </w:rPr>
        <w:t>Kirkpatrick's Four Levels of Training Evaluation</w:t>
      </w:r>
      <w:r w:rsidRPr="000E6A8A">
        <w:rPr>
          <w:rFonts w:ascii="Arial" w:hAnsi="Arial" w:cs="Arial"/>
          <w:sz w:val="24"/>
          <w:szCs w:val="24"/>
        </w:rPr>
        <w:t>. Virginia: ATD Press</w:t>
      </w:r>
      <w:r w:rsidR="00C8319D">
        <w:rPr>
          <w:rFonts w:ascii="Arial" w:hAnsi="Arial" w:cs="Arial"/>
          <w:sz w:val="24"/>
          <w:szCs w:val="24"/>
        </w:rPr>
        <w:t>.</w:t>
      </w:r>
    </w:p>
    <w:p w14:paraId="612EE2A1" w14:textId="77777777" w:rsidR="00544E5D" w:rsidRDefault="00544E5D" w:rsidP="00544E5D">
      <w:pPr>
        <w:spacing w:after="240" w:line="360" w:lineRule="auto"/>
        <w:rPr>
          <w:rFonts w:ascii="Arial" w:hAnsi="Arial" w:cs="Arial"/>
          <w:sz w:val="24"/>
          <w:szCs w:val="24"/>
        </w:rPr>
      </w:pPr>
      <w:r w:rsidRPr="00D56E6F">
        <w:rPr>
          <w:rFonts w:ascii="Arial" w:hAnsi="Arial" w:cs="Arial"/>
          <w:sz w:val="24"/>
          <w:szCs w:val="24"/>
        </w:rPr>
        <w:t>Kivunja, C. &amp; Kuyini, A.B. (2017). Understanding and Applying Research Paradigms in Educational Contexts</w:t>
      </w:r>
      <w:r w:rsidRPr="00D56E6F">
        <w:rPr>
          <w:rFonts w:ascii="Arial" w:hAnsi="Arial" w:cs="Arial"/>
          <w:i/>
          <w:iCs/>
          <w:sz w:val="24"/>
          <w:szCs w:val="24"/>
        </w:rPr>
        <w:t>. International Journal of Higher Education</w:t>
      </w:r>
      <w:r w:rsidRPr="00D56E6F">
        <w:rPr>
          <w:rFonts w:ascii="Arial" w:hAnsi="Arial" w:cs="Arial"/>
          <w:sz w:val="24"/>
          <w:szCs w:val="24"/>
        </w:rPr>
        <w:t>, 6(5), pp.26-41. Available at: http://ijhe.sciedupress.com [Accessed 3 June 2025].</w:t>
      </w:r>
    </w:p>
    <w:p w14:paraId="5EB93645" w14:textId="77777777" w:rsidR="00544E5D" w:rsidRDefault="00544E5D" w:rsidP="00544E5D">
      <w:pPr>
        <w:spacing w:after="240" w:line="360" w:lineRule="auto"/>
        <w:rPr>
          <w:rFonts w:ascii="Arial" w:hAnsi="Arial" w:cs="Arial"/>
          <w:sz w:val="24"/>
          <w:szCs w:val="24"/>
        </w:rPr>
      </w:pPr>
      <w:r w:rsidRPr="002A0405">
        <w:rPr>
          <w:rFonts w:ascii="Arial" w:hAnsi="Arial" w:cs="Arial"/>
          <w:sz w:val="24"/>
          <w:szCs w:val="24"/>
        </w:rPr>
        <w:t xml:space="preserve">Kolukısa Tarhan, A. et al. (2020) ‘Maturity assessment and maturity models in health care: A multivocal literature review’, </w:t>
      </w:r>
      <w:r w:rsidRPr="002A0405">
        <w:rPr>
          <w:rFonts w:ascii="Arial" w:hAnsi="Arial" w:cs="Arial"/>
          <w:i/>
          <w:iCs/>
          <w:sz w:val="24"/>
          <w:szCs w:val="24"/>
        </w:rPr>
        <w:t>Digital Health</w:t>
      </w:r>
      <w:r w:rsidRPr="002A0405">
        <w:rPr>
          <w:rFonts w:ascii="Arial" w:hAnsi="Arial" w:cs="Arial"/>
          <w:sz w:val="24"/>
          <w:szCs w:val="24"/>
        </w:rPr>
        <w:t>, 6, 2055207620914772.</w:t>
      </w:r>
    </w:p>
    <w:p w14:paraId="0263D19B" w14:textId="77777777" w:rsidR="00544E5D" w:rsidRDefault="00544E5D" w:rsidP="00544E5D">
      <w:pPr>
        <w:spacing w:after="240" w:line="360" w:lineRule="auto"/>
        <w:rPr>
          <w:rStyle w:val="Hyperlink"/>
          <w:rFonts w:ascii="Arial" w:hAnsi="Arial" w:cs="Arial"/>
          <w:sz w:val="24"/>
          <w:szCs w:val="24"/>
        </w:rPr>
      </w:pPr>
      <w:r w:rsidRPr="00D56E6F">
        <w:rPr>
          <w:rFonts w:ascii="Arial" w:hAnsi="Arial" w:cs="Arial"/>
          <w:sz w:val="24"/>
          <w:szCs w:val="24"/>
        </w:rPr>
        <w:t>Lee, J.T., Crettenden, I., Tran, M. et al. (2024)</w:t>
      </w:r>
      <w:r>
        <w:rPr>
          <w:rFonts w:ascii="Arial" w:hAnsi="Arial" w:cs="Arial"/>
          <w:sz w:val="24"/>
          <w:szCs w:val="24"/>
        </w:rPr>
        <w:t>.</w:t>
      </w:r>
      <w:r w:rsidRPr="00D56E6F">
        <w:rPr>
          <w:rFonts w:ascii="Arial" w:hAnsi="Arial" w:cs="Arial"/>
          <w:sz w:val="24"/>
          <w:szCs w:val="24"/>
        </w:rPr>
        <w:t xml:space="preserve"> Methods for health workforce projection model: systematic review and recommended good practice reporting guideline. </w:t>
      </w:r>
      <w:r w:rsidRPr="00D56E6F">
        <w:rPr>
          <w:rFonts w:ascii="Arial" w:hAnsi="Arial" w:cs="Arial"/>
          <w:i/>
          <w:iCs/>
          <w:sz w:val="24"/>
          <w:szCs w:val="24"/>
        </w:rPr>
        <w:t>Hum</w:t>
      </w:r>
      <w:r>
        <w:rPr>
          <w:rFonts w:ascii="Arial" w:hAnsi="Arial" w:cs="Arial"/>
          <w:i/>
          <w:iCs/>
          <w:sz w:val="24"/>
          <w:szCs w:val="24"/>
        </w:rPr>
        <w:t>an</w:t>
      </w:r>
      <w:r w:rsidRPr="00D56E6F">
        <w:rPr>
          <w:rFonts w:ascii="Arial" w:hAnsi="Arial" w:cs="Arial"/>
          <w:i/>
          <w:iCs/>
          <w:sz w:val="24"/>
          <w:szCs w:val="24"/>
        </w:rPr>
        <w:t xml:space="preserve"> Resour</w:t>
      </w:r>
      <w:r>
        <w:rPr>
          <w:rFonts w:ascii="Arial" w:hAnsi="Arial" w:cs="Arial"/>
          <w:i/>
          <w:iCs/>
          <w:sz w:val="24"/>
          <w:szCs w:val="24"/>
        </w:rPr>
        <w:t>ce for</w:t>
      </w:r>
      <w:r w:rsidRPr="00D56E6F">
        <w:rPr>
          <w:rFonts w:ascii="Arial" w:hAnsi="Arial" w:cs="Arial"/>
          <w:i/>
          <w:iCs/>
          <w:sz w:val="24"/>
          <w:szCs w:val="24"/>
        </w:rPr>
        <w:t xml:space="preserve"> Health</w:t>
      </w:r>
      <w:r w:rsidRPr="00D56E6F">
        <w:rPr>
          <w:rFonts w:ascii="Arial" w:hAnsi="Arial" w:cs="Arial"/>
          <w:sz w:val="24"/>
          <w:szCs w:val="24"/>
        </w:rPr>
        <w:t xml:space="preserve"> 22, 25 (2024). </w:t>
      </w:r>
      <w:hyperlink r:id="rId17" w:history="1">
        <w:r w:rsidRPr="00B22AA3">
          <w:rPr>
            <w:rStyle w:val="Hyperlink"/>
            <w:rFonts w:ascii="Arial" w:hAnsi="Arial" w:cs="Arial"/>
            <w:sz w:val="24"/>
            <w:szCs w:val="24"/>
          </w:rPr>
          <w:t>https://doi.org/10.1186/s12960-024-00895-z</w:t>
        </w:r>
      </w:hyperlink>
    </w:p>
    <w:p w14:paraId="4EF22D19" w14:textId="3C755FD5" w:rsidR="00544E5D" w:rsidRDefault="00544E5D" w:rsidP="00544E5D">
      <w:pPr>
        <w:spacing w:after="240" w:line="360" w:lineRule="auto"/>
        <w:rPr>
          <w:rFonts w:ascii="Arial" w:hAnsi="Arial" w:cs="Arial"/>
          <w:sz w:val="24"/>
          <w:szCs w:val="24"/>
        </w:rPr>
      </w:pPr>
      <w:r w:rsidRPr="008A1FEA">
        <w:rPr>
          <w:rFonts w:ascii="Arial" w:hAnsi="Arial" w:cs="Arial"/>
          <w:sz w:val="24"/>
          <w:szCs w:val="24"/>
        </w:rPr>
        <w:lastRenderedPageBreak/>
        <w:t xml:space="preserve">Leung, L. (2015) ‘Validity, reliability, and generalizability in qualitative research’, </w:t>
      </w:r>
      <w:r w:rsidRPr="008A1FEA">
        <w:rPr>
          <w:rFonts w:ascii="Arial" w:hAnsi="Arial" w:cs="Arial"/>
          <w:i/>
          <w:iCs/>
          <w:sz w:val="24"/>
          <w:szCs w:val="24"/>
        </w:rPr>
        <w:t>Journal of Family Medicine and Primary Care</w:t>
      </w:r>
      <w:r w:rsidRPr="008A1FEA">
        <w:rPr>
          <w:rFonts w:ascii="Arial" w:hAnsi="Arial" w:cs="Arial"/>
          <w:sz w:val="24"/>
          <w:szCs w:val="24"/>
        </w:rPr>
        <w:t xml:space="preserve">, 4(3), pp. 324–327. doi:10.4103/2249-4863.161306. Available at: https://pmc.ncbi.nlm.nih.gov/articles/PMC4535087/ </w:t>
      </w:r>
      <w:r>
        <w:rPr>
          <w:rFonts w:ascii="Arial" w:hAnsi="Arial" w:cs="Arial"/>
          <w:sz w:val="24"/>
          <w:szCs w:val="24"/>
        </w:rPr>
        <w:t>[</w:t>
      </w:r>
      <w:r w:rsidRPr="008A1FEA">
        <w:rPr>
          <w:rFonts w:ascii="Arial" w:hAnsi="Arial" w:cs="Arial"/>
          <w:sz w:val="24"/>
          <w:szCs w:val="24"/>
        </w:rPr>
        <w:t>Accessed: 2</w:t>
      </w:r>
      <w:r>
        <w:rPr>
          <w:rFonts w:ascii="Arial" w:hAnsi="Arial" w:cs="Arial"/>
          <w:sz w:val="24"/>
          <w:szCs w:val="24"/>
        </w:rPr>
        <w:t>2</w:t>
      </w:r>
      <w:r w:rsidRPr="008A1FEA">
        <w:rPr>
          <w:rFonts w:ascii="Arial" w:hAnsi="Arial" w:cs="Arial"/>
          <w:sz w:val="24"/>
          <w:szCs w:val="24"/>
        </w:rPr>
        <w:t xml:space="preserve"> April 2026</w:t>
      </w:r>
      <w:r>
        <w:rPr>
          <w:rFonts w:ascii="Arial" w:hAnsi="Arial" w:cs="Arial"/>
          <w:sz w:val="24"/>
          <w:szCs w:val="24"/>
        </w:rPr>
        <w:t>].</w:t>
      </w:r>
    </w:p>
    <w:p w14:paraId="3BB8E46F" w14:textId="77777777" w:rsidR="00544E5D" w:rsidRDefault="00544E5D" w:rsidP="00544E5D">
      <w:pPr>
        <w:spacing w:after="240" w:line="360" w:lineRule="auto"/>
        <w:rPr>
          <w:rFonts w:ascii="Arial" w:hAnsi="Arial" w:cs="Arial"/>
          <w:sz w:val="24"/>
          <w:szCs w:val="24"/>
        </w:rPr>
      </w:pPr>
      <w:r w:rsidRPr="00D162EE">
        <w:rPr>
          <w:rFonts w:ascii="Arial" w:hAnsi="Arial" w:cs="Arial"/>
          <w:sz w:val="24"/>
          <w:szCs w:val="24"/>
        </w:rPr>
        <w:t>Lincoln, Y.S. and Guba, E.G. (1985)</w:t>
      </w:r>
      <w:r>
        <w:rPr>
          <w:rFonts w:ascii="Arial" w:hAnsi="Arial" w:cs="Arial"/>
          <w:sz w:val="24"/>
          <w:szCs w:val="24"/>
        </w:rPr>
        <w:t>.</w:t>
      </w:r>
      <w:r w:rsidRPr="00D162EE">
        <w:rPr>
          <w:rFonts w:ascii="Arial" w:hAnsi="Arial" w:cs="Arial"/>
          <w:sz w:val="24"/>
          <w:szCs w:val="24"/>
        </w:rPr>
        <w:t> </w:t>
      </w:r>
      <w:r w:rsidRPr="00A5351F">
        <w:rPr>
          <w:rFonts w:ascii="Arial" w:hAnsi="Arial" w:cs="Arial"/>
          <w:i/>
          <w:iCs/>
          <w:sz w:val="24"/>
          <w:szCs w:val="24"/>
        </w:rPr>
        <w:t>Naturalistic Inquiry</w:t>
      </w:r>
      <w:r w:rsidRPr="00D162EE">
        <w:rPr>
          <w:rFonts w:ascii="Arial" w:hAnsi="Arial" w:cs="Arial"/>
          <w:sz w:val="24"/>
          <w:szCs w:val="24"/>
        </w:rPr>
        <w:t>. Beverly Hills, CA: Sage Publications.</w:t>
      </w:r>
    </w:p>
    <w:p w14:paraId="3F2053AF" w14:textId="77777777" w:rsidR="00544E5D" w:rsidRDefault="00544E5D" w:rsidP="00544E5D">
      <w:pPr>
        <w:spacing w:after="240" w:line="360" w:lineRule="auto"/>
        <w:rPr>
          <w:rFonts w:ascii="Arial" w:hAnsi="Arial" w:cs="Arial"/>
          <w:sz w:val="24"/>
          <w:szCs w:val="24"/>
        </w:rPr>
      </w:pPr>
      <w:r w:rsidRPr="00A5351F">
        <w:rPr>
          <w:rFonts w:ascii="Arial" w:hAnsi="Arial" w:cs="Arial"/>
          <w:sz w:val="24"/>
          <w:szCs w:val="24"/>
        </w:rPr>
        <w:t>Lindlof, T.R. and Taylor, B.C. (2002)</w:t>
      </w:r>
      <w:r>
        <w:rPr>
          <w:rFonts w:ascii="Arial" w:hAnsi="Arial" w:cs="Arial"/>
          <w:sz w:val="24"/>
          <w:szCs w:val="24"/>
        </w:rPr>
        <w:t>.</w:t>
      </w:r>
      <w:r w:rsidRPr="00A5351F">
        <w:rPr>
          <w:rFonts w:ascii="Arial" w:hAnsi="Arial" w:cs="Arial"/>
          <w:sz w:val="24"/>
          <w:szCs w:val="24"/>
        </w:rPr>
        <w:t> </w:t>
      </w:r>
      <w:r w:rsidRPr="00A5351F">
        <w:rPr>
          <w:rFonts w:ascii="Arial" w:hAnsi="Arial" w:cs="Arial"/>
          <w:i/>
          <w:iCs/>
          <w:sz w:val="24"/>
          <w:szCs w:val="24"/>
        </w:rPr>
        <w:t>Qualitative Communication Research Methods</w:t>
      </w:r>
      <w:r w:rsidRPr="00A5351F">
        <w:rPr>
          <w:rFonts w:ascii="Arial" w:hAnsi="Arial" w:cs="Arial"/>
          <w:sz w:val="24"/>
          <w:szCs w:val="24"/>
        </w:rPr>
        <w:t>. 2nd edn. Thousand Oaks, CA: Sage Publications.</w:t>
      </w:r>
    </w:p>
    <w:p w14:paraId="563746DA" w14:textId="77777777" w:rsidR="00544E5D" w:rsidRPr="0007343A" w:rsidRDefault="00544E5D" w:rsidP="00544E5D">
      <w:pPr>
        <w:spacing w:after="240" w:line="360" w:lineRule="auto"/>
        <w:rPr>
          <w:rFonts w:ascii="Arial" w:hAnsi="Arial" w:cs="Arial"/>
          <w:sz w:val="24"/>
          <w:szCs w:val="24"/>
        </w:rPr>
      </w:pPr>
      <w:r w:rsidRPr="0007343A">
        <w:rPr>
          <w:rFonts w:ascii="Arial" w:hAnsi="Arial" w:cs="Arial"/>
          <w:sz w:val="24"/>
          <w:szCs w:val="24"/>
        </w:rPr>
        <w:t>Marc, M., Bartosiewicz, A., Burzyńska, J., Chmiel, Z. and Januszewicz, P. (2019)</w:t>
      </w:r>
      <w:r>
        <w:rPr>
          <w:rFonts w:ascii="Arial" w:hAnsi="Arial" w:cs="Arial"/>
          <w:sz w:val="24"/>
          <w:szCs w:val="24"/>
        </w:rPr>
        <w:t>.</w:t>
      </w:r>
      <w:r w:rsidRPr="0007343A">
        <w:rPr>
          <w:rFonts w:ascii="Arial" w:hAnsi="Arial" w:cs="Arial"/>
          <w:sz w:val="24"/>
          <w:szCs w:val="24"/>
        </w:rPr>
        <w:t xml:space="preserve"> ‘A nursing shortage – A prospect of global and local policies’, </w:t>
      </w:r>
      <w:r w:rsidRPr="0007343A">
        <w:rPr>
          <w:rFonts w:ascii="Arial" w:hAnsi="Arial" w:cs="Arial"/>
          <w:i/>
          <w:iCs/>
          <w:sz w:val="24"/>
          <w:szCs w:val="24"/>
        </w:rPr>
        <w:t>International Nursing Review</w:t>
      </w:r>
      <w:r w:rsidRPr="0007343A">
        <w:rPr>
          <w:rFonts w:ascii="Arial" w:hAnsi="Arial" w:cs="Arial"/>
          <w:sz w:val="24"/>
          <w:szCs w:val="24"/>
        </w:rPr>
        <w:t>, 66(1), pp. 9–16. https://doi.org/10.1111/inr.12473</w:t>
      </w:r>
    </w:p>
    <w:p w14:paraId="21A5F0B7" w14:textId="77777777" w:rsidR="00544E5D" w:rsidRDefault="00544E5D" w:rsidP="00544E5D">
      <w:pPr>
        <w:spacing w:after="240" w:line="360" w:lineRule="auto"/>
        <w:rPr>
          <w:rFonts w:ascii="Arial" w:hAnsi="Arial" w:cs="Arial"/>
          <w:sz w:val="24"/>
          <w:szCs w:val="24"/>
        </w:rPr>
      </w:pPr>
      <w:r w:rsidRPr="00D37047">
        <w:rPr>
          <w:rFonts w:ascii="Arial" w:hAnsi="Arial" w:cs="Arial"/>
          <w:sz w:val="24"/>
          <w:szCs w:val="24"/>
        </w:rPr>
        <w:t>McNiff, J. and Whitehead, J. (2006)</w:t>
      </w:r>
      <w:r>
        <w:rPr>
          <w:rFonts w:ascii="Arial" w:hAnsi="Arial" w:cs="Arial"/>
          <w:sz w:val="24"/>
          <w:szCs w:val="24"/>
        </w:rPr>
        <w:t>.</w:t>
      </w:r>
      <w:r w:rsidRPr="00D37047">
        <w:rPr>
          <w:rFonts w:ascii="Arial" w:hAnsi="Arial" w:cs="Arial"/>
          <w:sz w:val="24"/>
          <w:szCs w:val="24"/>
        </w:rPr>
        <w:t xml:space="preserve"> </w:t>
      </w:r>
      <w:r w:rsidRPr="00D37047">
        <w:rPr>
          <w:rFonts w:ascii="Arial" w:hAnsi="Arial" w:cs="Arial"/>
          <w:i/>
          <w:iCs/>
          <w:sz w:val="24"/>
          <w:szCs w:val="24"/>
        </w:rPr>
        <w:t>All you need to know about Action Research</w:t>
      </w:r>
      <w:r>
        <w:rPr>
          <w:rFonts w:ascii="Arial" w:hAnsi="Arial" w:cs="Arial"/>
          <w:i/>
          <w:iCs/>
          <w:sz w:val="24"/>
          <w:szCs w:val="24"/>
        </w:rPr>
        <w:t>.</w:t>
      </w:r>
      <w:r w:rsidRPr="00D37047">
        <w:rPr>
          <w:rFonts w:ascii="Arial" w:hAnsi="Arial" w:cs="Arial"/>
          <w:sz w:val="24"/>
          <w:szCs w:val="24"/>
        </w:rPr>
        <w:t xml:space="preserve"> London: Thousand Oaks, New Delhi: Sage Publications</w:t>
      </w:r>
    </w:p>
    <w:p w14:paraId="761055F3" w14:textId="77777777" w:rsidR="00544E5D" w:rsidRDefault="00544E5D" w:rsidP="00544E5D">
      <w:pPr>
        <w:spacing w:after="240" w:line="360" w:lineRule="auto"/>
        <w:rPr>
          <w:rFonts w:ascii="Arial" w:hAnsi="Arial" w:cs="Arial"/>
          <w:sz w:val="24"/>
          <w:szCs w:val="24"/>
        </w:rPr>
      </w:pPr>
      <w:r w:rsidRPr="00DB56C1">
        <w:rPr>
          <w:rFonts w:ascii="Arial" w:hAnsi="Arial" w:cs="Arial"/>
          <w:sz w:val="24"/>
          <w:szCs w:val="24"/>
        </w:rPr>
        <w:t>Mercer, J. (2007)</w:t>
      </w:r>
      <w:r>
        <w:rPr>
          <w:rFonts w:ascii="Arial" w:hAnsi="Arial" w:cs="Arial"/>
          <w:sz w:val="24"/>
          <w:szCs w:val="24"/>
        </w:rPr>
        <w:t>.</w:t>
      </w:r>
      <w:r w:rsidRPr="00DB56C1">
        <w:rPr>
          <w:rFonts w:ascii="Arial" w:hAnsi="Arial" w:cs="Arial"/>
          <w:sz w:val="24"/>
          <w:szCs w:val="24"/>
        </w:rPr>
        <w:t xml:space="preserve"> ‘The challenges of insider research in educational institutions: wielding a double-edged sword and resolving delicate dilemmas’, </w:t>
      </w:r>
      <w:r w:rsidRPr="00DB56C1">
        <w:rPr>
          <w:rFonts w:ascii="Arial" w:hAnsi="Arial" w:cs="Arial"/>
          <w:i/>
          <w:iCs/>
          <w:sz w:val="24"/>
          <w:szCs w:val="24"/>
        </w:rPr>
        <w:t>Oxford Review of Education</w:t>
      </w:r>
      <w:r w:rsidRPr="00DB56C1">
        <w:rPr>
          <w:rFonts w:ascii="Arial" w:hAnsi="Arial" w:cs="Arial"/>
          <w:sz w:val="24"/>
          <w:szCs w:val="24"/>
        </w:rPr>
        <w:t>, 33(1), pp. 1–17. doi:10.1080/03054980601094651</w:t>
      </w:r>
    </w:p>
    <w:p w14:paraId="6BBE3154" w14:textId="77777777" w:rsidR="00544E5D" w:rsidRDefault="00544E5D" w:rsidP="00544E5D">
      <w:pPr>
        <w:spacing w:after="240" w:line="360" w:lineRule="auto"/>
        <w:rPr>
          <w:rFonts w:ascii="Arial" w:hAnsi="Arial" w:cs="Arial"/>
          <w:sz w:val="24"/>
          <w:szCs w:val="24"/>
        </w:rPr>
      </w:pPr>
      <w:r w:rsidRPr="00D37047">
        <w:rPr>
          <w:rFonts w:ascii="Arial" w:hAnsi="Arial" w:cs="Arial"/>
          <w:sz w:val="24"/>
          <w:szCs w:val="24"/>
        </w:rPr>
        <w:t>Myers, L.P. (2019). </w:t>
      </w:r>
      <w:r w:rsidRPr="00D37047">
        <w:rPr>
          <w:rFonts w:ascii="Arial" w:hAnsi="Arial" w:cs="Arial"/>
          <w:i/>
          <w:iCs/>
          <w:sz w:val="24"/>
          <w:szCs w:val="24"/>
        </w:rPr>
        <w:t>Insider Research: Ethics, Professionalism and Positionality</w:t>
      </w:r>
      <w:r w:rsidRPr="00D37047">
        <w:rPr>
          <w:rFonts w:ascii="Arial" w:hAnsi="Arial" w:cs="Arial"/>
          <w:sz w:val="24"/>
          <w:szCs w:val="24"/>
        </w:rPr>
        <w:t>. [online] Available at: https://www.researchgate.net/profile/L-Peta-Myers/publication/333775938_Insider_Research_Ethics_Professionalism_and_Positionality/links/5d037d10299bf12e7bdc7219/Insider-Research-Ethics-Professionalism-and-Positionality.pdf [Accessed 12 Jun. 2025].</w:t>
      </w:r>
    </w:p>
    <w:p w14:paraId="7A774CA3" w14:textId="77777777" w:rsidR="00544E5D" w:rsidRDefault="00544E5D" w:rsidP="00544E5D">
      <w:pPr>
        <w:spacing w:after="240" w:line="360" w:lineRule="auto"/>
        <w:rPr>
          <w:rFonts w:ascii="Arial" w:hAnsi="Arial" w:cs="Arial"/>
          <w:sz w:val="24"/>
          <w:szCs w:val="24"/>
        </w:rPr>
      </w:pPr>
      <w:r w:rsidRPr="009D6619">
        <w:rPr>
          <w:rFonts w:ascii="Arial" w:hAnsi="Arial" w:cs="Arial"/>
          <w:sz w:val="24"/>
          <w:szCs w:val="24"/>
        </w:rPr>
        <w:t xml:space="preserve">NHS Confederation (2023) </w:t>
      </w:r>
      <w:r w:rsidRPr="009D6619">
        <w:rPr>
          <w:rFonts w:ascii="Arial" w:hAnsi="Arial" w:cs="Arial"/>
          <w:i/>
          <w:iCs/>
          <w:sz w:val="24"/>
          <w:szCs w:val="24"/>
        </w:rPr>
        <w:t>The NHS Workforce Plan: Delivering the Long-Term Workforce Strategy</w:t>
      </w:r>
      <w:r w:rsidRPr="009D6619">
        <w:rPr>
          <w:rFonts w:ascii="Arial" w:hAnsi="Arial" w:cs="Arial"/>
          <w:sz w:val="24"/>
          <w:szCs w:val="24"/>
        </w:rPr>
        <w:t xml:space="preserve">. London: NHS Confederation. Available at: </w:t>
      </w:r>
      <w:hyperlink r:id="rId18" w:history="1">
        <w:r w:rsidRPr="009D6619">
          <w:rPr>
            <w:rStyle w:val="Hyperlink"/>
            <w:rFonts w:ascii="Arial" w:hAnsi="Arial" w:cs="Arial"/>
            <w:sz w:val="24"/>
            <w:szCs w:val="24"/>
          </w:rPr>
          <w:t>https://www.nhsconfed.org/publications/nhs-workforce-plan</w:t>
        </w:r>
      </w:hyperlink>
      <w:r w:rsidRPr="009D6619">
        <w:rPr>
          <w:rFonts w:ascii="Arial" w:hAnsi="Arial" w:cs="Arial"/>
          <w:sz w:val="24"/>
          <w:szCs w:val="24"/>
        </w:rPr>
        <w:t xml:space="preserve"> (Accessed 10 February 2026).</w:t>
      </w:r>
    </w:p>
    <w:p w14:paraId="6C324416" w14:textId="55F660FD" w:rsidR="00B67FD6" w:rsidRDefault="00A951B3" w:rsidP="00544E5D">
      <w:pPr>
        <w:spacing w:after="240" w:line="360" w:lineRule="auto"/>
        <w:rPr>
          <w:rFonts w:ascii="Arial" w:hAnsi="Arial" w:cs="Arial"/>
          <w:sz w:val="24"/>
          <w:szCs w:val="24"/>
        </w:rPr>
      </w:pPr>
      <w:r>
        <w:rPr>
          <w:rFonts w:ascii="Arial" w:hAnsi="Arial" w:cs="Arial"/>
          <w:sz w:val="24"/>
          <w:szCs w:val="24"/>
        </w:rPr>
        <w:t xml:space="preserve">Patton, M.Q. (2015) </w:t>
      </w:r>
      <w:r w:rsidRPr="00592A88">
        <w:rPr>
          <w:rFonts w:ascii="Arial" w:hAnsi="Arial" w:cs="Arial"/>
          <w:i/>
          <w:iCs/>
          <w:sz w:val="24"/>
          <w:szCs w:val="24"/>
        </w:rPr>
        <w:t>Qualitative research and evaluation methods.</w:t>
      </w:r>
      <w:r>
        <w:rPr>
          <w:rFonts w:ascii="Arial" w:hAnsi="Arial" w:cs="Arial"/>
          <w:sz w:val="24"/>
          <w:szCs w:val="24"/>
        </w:rPr>
        <w:t xml:space="preserve"> 4</w:t>
      </w:r>
      <w:r w:rsidRPr="00A951B3">
        <w:rPr>
          <w:rFonts w:ascii="Arial" w:hAnsi="Arial" w:cs="Arial"/>
          <w:sz w:val="24"/>
          <w:szCs w:val="24"/>
          <w:vertAlign w:val="superscript"/>
        </w:rPr>
        <w:t>th</w:t>
      </w:r>
      <w:r>
        <w:rPr>
          <w:rFonts w:ascii="Arial" w:hAnsi="Arial" w:cs="Arial"/>
          <w:sz w:val="24"/>
          <w:szCs w:val="24"/>
        </w:rPr>
        <w:t xml:space="preserve"> Edn. Thousand Oaks, </w:t>
      </w:r>
      <w:r w:rsidR="003F7CB6">
        <w:rPr>
          <w:rFonts w:ascii="Arial" w:hAnsi="Arial" w:cs="Arial"/>
          <w:sz w:val="24"/>
          <w:szCs w:val="24"/>
        </w:rPr>
        <w:t>CA: Sage</w:t>
      </w:r>
      <w:r>
        <w:rPr>
          <w:rFonts w:ascii="Arial" w:hAnsi="Arial" w:cs="Arial"/>
          <w:sz w:val="24"/>
          <w:szCs w:val="24"/>
        </w:rPr>
        <w:t>.</w:t>
      </w:r>
    </w:p>
    <w:p w14:paraId="4DC4036C" w14:textId="77777777" w:rsidR="00544E5D" w:rsidRDefault="00544E5D" w:rsidP="00544E5D">
      <w:pPr>
        <w:spacing w:after="240" w:line="360" w:lineRule="auto"/>
        <w:rPr>
          <w:rFonts w:ascii="Arial" w:hAnsi="Arial" w:cs="Arial"/>
          <w:sz w:val="24"/>
          <w:szCs w:val="24"/>
        </w:rPr>
      </w:pPr>
      <w:r w:rsidRPr="006B305A">
        <w:rPr>
          <w:rFonts w:ascii="Arial" w:hAnsi="Arial" w:cs="Arial"/>
          <w:sz w:val="24"/>
          <w:szCs w:val="24"/>
        </w:rPr>
        <w:t>Pears, R. and Shields, G. (2022)</w:t>
      </w:r>
      <w:r>
        <w:rPr>
          <w:rFonts w:ascii="Arial" w:hAnsi="Arial" w:cs="Arial"/>
          <w:sz w:val="24"/>
          <w:szCs w:val="24"/>
        </w:rPr>
        <w:t>.</w:t>
      </w:r>
      <w:r w:rsidRPr="006B305A">
        <w:rPr>
          <w:rFonts w:ascii="Arial" w:hAnsi="Arial" w:cs="Arial"/>
          <w:sz w:val="24"/>
          <w:szCs w:val="24"/>
        </w:rPr>
        <w:t xml:space="preserve"> </w:t>
      </w:r>
      <w:r w:rsidRPr="006B305A">
        <w:rPr>
          <w:rFonts w:ascii="Arial" w:hAnsi="Arial" w:cs="Arial"/>
          <w:i/>
          <w:iCs/>
          <w:sz w:val="24"/>
          <w:szCs w:val="24"/>
        </w:rPr>
        <w:t>Cite them right: the essential referencing guide</w:t>
      </w:r>
      <w:r w:rsidRPr="006B305A">
        <w:rPr>
          <w:rFonts w:ascii="Arial" w:hAnsi="Arial" w:cs="Arial"/>
          <w:sz w:val="24"/>
          <w:szCs w:val="24"/>
        </w:rPr>
        <w:t>. 12th edition. London: Bloomsbury.</w:t>
      </w:r>
    </w:p>
    <w:p w14:paraId="73C429F6" w14:textId="77777777" w:rsidR="00544E5D" w:rsidRDefault="00544E5D" w:rsidP="00544E5D">
      <w:pPr>
        <w:spacing w:after="240" w:line="360" w:lineRule="auto"/>
        <w:rPr>
          <w:rStyle w:val="Hyperlink"/>
          <w:rFonts w:ascii="Arial" w:hAnsi="Arial" w:cs="Arial"/>
          <w:sz w:val="24"/>
          <w:szCs w:val="24"/>
        </w:rPr>
      </w:pPr>
      <w:r w:rsidRPr="006B305A">
        <w:rPr>
          <w:rFonts w:ascii="Arial" w:hAnsi="Arial" w:cs="Arial"/>
          <w:sz w:val="24"/>
          <w:szCs w:val="24"/>
        </w:rPr>
        <w:lastRenderedPageBreak/>
        <w:t xml:space="preserve">Pretorius, L. (2024). Demystifying research paradigms: Navigating ontology, epistemology, and axiology in research. </w:t>
      </w:r>
      <w:r w:rsidRPr="006B305A">
        <w:rPr>
          <w:rFonts w:ascii="Arial" w:hAnsi="Arial" w:cs="Arial"/>
          <w:i/>
          <w:iCs/>
          <w:sz w:val="24"/>
          <w:szCs w:val="24"/>
        </w:rPr>
        <w:t>The Qualitative Report</w:t>
      </w:r>
      <w:r w:rsidRPr="006B305A">
        <w:rPr>
          <w:rFonts w:ascii="Arial" w:hAnsi="Arial" w:cs="Arial"/>
          <w:sz w:val="24"/>
          <w:szCs w:val="24"/>
        </w:rPr>
        <w:t xml:space="preserve">, 29(10), 2698-2715. </w:t>
      </w:r>
      <w:hyperlink r:id="rId19" w:history="1">
        <w:r w:rsidRPr="00B22AA3">
          <w:rPr>
            <w:rStyle w:val="Hyperlink"/>
            <w:rFonts w:ascii="Arial" w:hAnsi="Arial" w:cs="Arial"/>
            <w:sz w:val="24"/>
            <w:szCs w:val="24"/>
          </w:rPr>
          <w:t>https://doi.org/10.46743/2160-3715/2024.7632</w:t>
        </w:r>
      </w:hyperlink>
    </w:p>
    <w:p w14:paraId="478AB981" w14:textId="77777777" w:rsidR="00544E5D" w:rsidRDefault="00544E5D" w:rsidP="00544E5D">
      <w:pPr>
        <w:spacing w:after="240" w:line="360" w:lineRule="auto"/>
        <w:rPr>
          <w:rFonts w:ascii="Arial" w:hAnsi="Arial" w:cs="Arial"/>
          <w:sz w:val="24"/>
          <w:szCs w:val="24"/>
        </w:rPr>
      </w:pPr>
      <w:r w:rsidRPr="009D3587">
        <w:rPr>
          <w:rFonts w:ascii="Arial" w:hAnsi="Arial" w:cs="Arial"/>
          <w:sz w:val="24"/>
          <w:szCs w:val="24"/>
        </w:rPr>
        <w:t>Simkin, S., Chamberland</w:t>
      </w:r>
      <w:r w:rsidRPr="009D3587">
        <w:rPr>
          <w:rFonts w:ascii="Arial" w:hAnsi="Arial" w:cs="Arial"/>
          <w:sz w:val="24"/>
          <w:szCs w:val="24"/>
        </w:rPr>
        <w:noBreakHyphen/>
        <w:t xml:space="preserve">Rowe, C. and Bourgeault, I.L. (2024) ‘Key considerations in health workforce planning’, in </w:t>
      </w:r>
      <w:r w:rsidRPr="009D3587">
        <w:rPr>
          <w:rFonts w:ascii="Arial" w:hAnsi="Arial" w:cs="Arial"/>
          <w:i/>
          <w:iCs/>
          <w:sz w:val="24"/>
          <w:szCs w:val="24"/>
        </w:rPr>
        <w:t>Research Handbook on Contemporary Human Resource Management for Health Care</w:t>
      </w:r>
      <w:r w:rsidRPr="009D3587">
        <w:rPr>
          <w:rFonts w:ascii="Arial" w:hAnsi="Arial" w:cs="Arial"/>
          <w:sz w:val="24"/>
          <w:szCs w:val="24"/>
        </w:rPr>
        <w:t>. Cheltenham: Edward Elgar.</w:t>
      </w:r>
    </w:p>
    <w:p w14:paraId="2FFB5C83" w14:textId="77777777" w:rsidR="00544E5D" w:rsidRPr="00C92401" w:rsidRDefault="00544E5D" w:rsidP="00544E5D">
      <w:pPr>
        <w:pStyle w:val="Bibliography"/>
        <w:spacing w:line="360" w:lineRule="auto"/>
        <w:rPr>
          <w:rFonts w:ascii="Arial" w:hAnsi="Arial" w:cs="Arial"/>
          <w:sz w:val="24"/>
          <w:szCs w:val="24"/>
        </w:rPr>
      </w:pPr>
      <w:r w:rsidRPr="00C92401">
        <w:rPr>
          <w:rFonts w:ascii="Arial" w:hAnsi="Arial" w:cs="Arial"/>
          <w:sz w:val="24"/>
          <w:szCs w:val="24"/>
        </w:rPr>
        <w:t xml:space="preserve">Skills 4 Health. (2023). </w:t>
      </w:r>
      <w:r w:rsidRPr="00C92401">
        <w:rPr>
          <w:rFonts w:ascii="Arial" w:hAnsi="Arial" w:cs="Arial"/>
          <w:i/>
          <w:iCs/>
          <w:sz w:val="24"/>
          <w:szCs w:val="24"/>
        </w:rPr>
        <w:t>Six Steps Methodology to Integrated Workforce Planning</w:t>
      </w:r>
      <w:r w:rsidRPr="00C92401">
        <w:rPr>
          <w:rFonts w:ascii="Arial" w:hAnsi="Arial" w:cs="Arial"/>
          <w:sz w:val="24"/>
          <w:szCs w:val="24"/>
        </w:rPr>
        <w:t xml:space="preserve">. Available at: </w:t>
      </w:r>
      <w:hyperlink r:id="rId20" w:anchor=":~:text=The%20Six%20Steps%20Methodology%20offers%3A%201%20a%20systematic,care%2C%20where%20the%20same%20approach%20has%20been%20adopted" w:history="1">
        <w:r w:rsidRPr="00C92401">
          <w:rPr>
            <w:rStyle w:val="Hyperlink"/>
            <w:rFonts w:ascii="Arial" w:hAnsi="Arial" w:cs="Arial"/>
            <w:sz w:val="24"/>
            <w:szCs w:val="24"/>
          </w:rPr>
          <w:t>https://www.skillsforhealth.org.uk/resources/six-steps-methodology-to-integrated-workforce planning/#:~:text=The%20Six%20Steps%20Methodology%20offers%3A%201%20a%20systematic,care%2C%20where%20the%20same%20approach%20has%20been%20adopted</w:t>
        </w:r>
      </w:hyperlink>
      <w:r w:rsidRPr="00C92401">
        <w:rPr>
          <w:rFonts w:ascii="Arial" w:hAnsi="Arial" w:cs="Arial"/>
          <w:sz w:val="24"/>
          <w:szCs w:val="24"/>
        </w:rPr>
        <w:t>. [Accessed on 4</w:t>
      </w:r>
      <w:r w:rsidRPr="00C92401">
        <w:rPr>
          <w:rFonts w:ascii="Arial" w:hAnsi="Arial" w:cs="Arial"/>
          <w:sz w:val="24"/>
          <w:szCs w:val="24"/>
          <w:vertAlign w:val="superscript"/>
        </w:rPr>
        <w:t>th</w:t>
      </w:r>
      <w:r w:rsidRPr="00C92401">
        <w:rPr>
          <w:rFonts w:ascii="Arial" w:hAnsi="Arial" w:cs="Arial"/>
          <w:sz w:val="24"/>
          <w:szCs w:val="24"/>
        </w:rPr>
        <w:t xml:space="preserve"> April 2026].</w:t>
      </w:r>
    </w:p>
    <w:p w14:paraId="27B603B3" w14:textId="77777777" w:rsidR="00544E5D" w:rsidRDefault="00544E5D" w:rsidP="00544E5D">
      <w:pPr>
        <w:spacing w:after="240" w:line="360" w:lineRule="auto"/>
        <w:rPr>
          <w:rFonts w:ascii="Arial" w:hAnsi="Arial" w:cs="Arial"/>
          <w:sz w:val="24"/>
          <w:szCs w:val="24"/>
        </w:rPr>
      </w:pPr>
      <w:r w:rsidRPr="000D2A54">
        <w:rPr>
          <w:rFonts w:ascii="Arial" w:hAnsi="Arial" w:cs="Arial"/>
          <w:sz w:val="24"/>
          <w:szCs w:val="24"/>
        </w:rPr>
        <w:t>Sparkman, R. (2018)</w:t>
      </w:r>
      <w:r>
        <w:rPr>
          <w:rFonts w:ascii="Arial" w:hAnsi="Arial" w:cs="Arial"/>
          <w:sz w:val="24"/>
          <w:szCs w:val="24"/>
        </w:rPr>
        <w:t>.</w:t>
      </w:r>
      <w:r w:rsidRPr="000D2A54">
        <w:rPr>
          <w:rFonts w:ascii="Arial" w:hAnsi="Arial" w:cs="Arial"/>
          <w:sz w:val="24"/>
          <w:szCs w:val="24"/>
        </w:rPr>
        <w:t xml:space="preserve"> </w:t>
      </w:r>
      <w:r w:rsidRPr="000D2A54">
        <w:rPr>
          <w:rFonts w:ascii="Arial" w:hAnsi="Arial" w:cs="Arial"/>
          <w:i/>
          <w:iCs/>
          <w:sz w:val="24"/>
          <w:szCs w:val="24"/>
        </w:rPr>
        <w:t>Strategic Workforce Planning: Developing optimized talent strategies for future growth</w:t>
      </w:r>
      <w:r w:rsidRPr="000D2A54">
        <w:rPr>
          <w:rFonts w:ascii="Arial" w:hAnsi="Arial" w:cs="Arial"/>
          <w:sz w:val="24"/>
          <w:szCs w:val="24"/>
        </w:rPr>
        <w:t>. London: Kogan Page.</w:t>
      </w:r>
    </w:p>
    <w:p w14:paraId="0CB8BAA7" w14:textId="77777777" w:rsidR="00544E5D" w:rsidRDefault="00544E5D" w:rsidP="00544E5D">
      <w:pPr>
        <w:spacing w:after="240" w:line="360" w:lineRule="auto"/>
        <w:rPr>
          <w:rFonts w:ascii="Arial" w:hAnsi="Arial" w:cs="Arial"/>
          <w:sz w:val="24"/>
          <w:szCs w:val="24"/>
        </w:rPr>
      </w:pPr>
      <w:r w:rsidRPr="000D2A54">
        <w:rPr>
          <w:rFonts w:ascii="Arial" w:hAnsi="Arial" w:cs="Arial"/>
          <w:sz w:val="24"/>
          <w:szCs w:val="24"/>
        </w:rPr>
        <w:t>Stake, R.E. (1995)</w:t>
      </w:r>
      <w:r>
        <w:rPr>
          <w:rFonts w:ascii="Arial" w:hAnsi="Arial" w:cs="Arial"/>
          <w:sz w:val="24"/>
          <w:szCs w:val="24"/>
        </w:rPr>
        <w:t>.</w:t>
      </w:r>
      <w:r w:rsidRPr="000D2A54">
        <w:rPr>
          <w:rFonts w:ascii="Arial" w:hAnsi="Arial" w:cs="Arial"/>
          <w:sz w:val="24"/>
          <w:szCs w:val="24"/>
        </w:rPr>
        <w:t> </w:t>
      </w:r>
      <w:r w:rsidRPr="000D2A54">
        <w:rPr>
          <w:rFonts w:ascii="Arial" w:hAnsi="Arial" w:cs="Arial"/>
          <w:i/>
          <w:iCs/>
          <w:sz w:val="24"/>
          <w:szCs w:val="24"/>
        </w:rPr>
        <w:t>The Art of Case Study Research</w:t>
      </w:r>
      <w:r w:rsidRPr="000D2A54">
        <w:rPr>
          <w:rFonts w:ascii="Arial" w:hAnsi="Arial" w:cs="Arial"/>
          <w:sz w:val="24"/>
          <w:szCs w:val="24"/>
        </w:rPr>
        <w:t>. Thousand Oaks, CA: Sage Publications.</w:t>
      </w:r>
    </w:p>
    <w:p w14:paraId="311DF5FF" w14:textId="77777777" w:rsidR="00544E5D" w:rsidRDefault="00544E5D" w:rsidP="00544E5D">
      <w:pPr>
        <w:spacing w:after="240" w:line="360" w:lineRule="auto"/>
        <w:rPr>
          <w:rFonts w:ascii="Arial" w:hAnsi="Arial" w:cs="Arial"/>
          <w:sz w:val="24"/>
          <w:szCs w:val="24"/>
        </w:rPr>
      </w:pPr>
      <w:r w:rsidRPr="009450AC">
        <w:rPr>
          <w:rFonts w:ascii="Arial" w:hAnsi="Arial" w:cs="Arial"/>
          <w:sz w:val="24"/>
          <w:szCs w:val="24"/>
        </w:rPr>
        <w:t>Tomblin Murphy</w:t>
      </w:r>
      <w:r>
        <w:rPr>
          <w:rFonts w:ascii="Arial" w:hAnsi="Arial" w:cs="Arial"/>
          <w:sz w:val="24"/>
          <w:szCs w:val="24"/>
        </w:rPr>
        <w:t>,</w:t>
      </w:r>
      <w:r w:rsidRPr="009450AC">
        <w:rPr>
          <w:rFonts w:ascii="Arial" w:hAnsi="Arial" w:cs="Arial"/>
          <w:sz w:val="24"/>
          <w:szCs w:val="24"/>
        </w:rPr>
        <w:t xml:space="preserve"> G</w:t>
      </w:r>
      <w:r>
        <w:rPr>
          <w:rFonts w:ascii="Arial" w:hAnsi="Arial" w:cs="Arial"/>
          <w:sz w:val="24"/>
          <w:szCs w:val="24"/>
        </w:rPr>
        <w:t>.</w:t>
      </w:r>
      <w:r w:rsidRPr="009450AC">
        <w:rPr>
          <w:rFonts w:ascii="Arial" w:hAnsi="Arial" w:cs="Arial"/>
          <w:sz w:val="24"/>
          <w:szCs w:val="24"/>
        </w:rPr>
        <w:t>, Birch</w:t>
      </w:r>
      <w:r>
        <w:rPr>
          <w:rFonts w:ascii="Arial" w:hAnsi="Arial" w:cs="Arial"/>
          <w:sz w:val="24"/>
          <w:szCs w:val="24"/>
        </w:rPr>
        <w:t>,</w:t>
      </w:r>
      <w:r w:rsidRPr="009450AC">
        <w:rPr>
          <w:rFonts w:ascii="Arial" w:hAnsi="Arial" w:cs="Arial"/>
          <w:sz w:val="24"/>
          <w:szCs w:val="24"/>
        </w:rPr>
        <w:t xml:space="preserve"> S</w:t>
      </w:r>
      <w:r>
        <w:rPr>
          <w:rFonts w:ascii="Arial" w:hAnsi="Arial" w:cs="Arial"/>
          <w:sz w:val="24"/>
          <w:szCs w:val="24"/>
        </w:rPr>
        <w:t>.</w:t>
      </w:r>
      <w:r w:rsidRPr="009450AC">
        <w:rPr>
          <w:rFonts w:ascii="Arial" w:hAnsi="Arial" w:cs="Arial"/>
          <w:sz w:val="24"/>
          <w:szCs w:val="24"/>
        </w:rPr>
        <w:t>, MacKenzie</w:t>
      </w:r>
      <w:r>
        <w:rPr>
          <w:rFonts w:ascii="Arial" w:hAnsi="Arial" w:cs="Arial"/>
          <w:sz w:val="24"/>
          <w:szCs w:val="24"/>
        </w:rPr>
        <w:t>,</w:t>
      </w:r>
      <w:r w:rsidRPr="009450AC">
        <w:rPr>
          <w:rFonts w:ascii="Arial" w:hAnsi="Arial" w:cs="Arial"/>
          <w:sz w:val="24"/>
          <w:szCs w:val="24"/>
        </w:rPr>
        <w:t xml:space="preserve"> A</w:t>
      </w:r>
      <w:r>
        <w:rPr>
          <w:rFonts w:ascii="Arial" w:hAnsi="Arial" w:cs="Arial"/>
          <w:sz w:val="24"/>
          <w:szCs w:val="24"/>
        </w:rPr>
        <w:t>.</w:t>
      </w:r>
      <w:r w:rsidRPr="009450AC">
        <w:rPr>
          <w:rFonts w:ascii="Arial" w:hAnsi="Arial" w:cs="Arial"/>
          <w:sz w:val="24"/>
          <w:szCs w:val="24"/>
        </w:rPr>
        <w:t>, Bradish</w:t>
      </w:r>
      <w:r>
        <w:rPr>
          <w:rFonts w:ascii="Arial" w:hAnsi="Arial" w:cs="Arial"/>
          <w:sz w:val="24"/>
          <w:szCs w:val="24"/>
        </w:rPr>
        <w:t>,</w:t>
      </w:r>
      <w:r w:rsidRPr="009450AC">
        <w:rPr>
          <w:rFonts w:ascii="Arial" w:hAnsi="Arial" w:cs="Arial"/>
          <w:sz w:val="24"/>
          <w:szCs w:val="24"/>
        </w:rPr>
        <w:t xml:space="preserve"> S</w:t>
      </w:r>
      <w:r>
        <w:rPr>
          <w:rFonts w:ascii="Arial" w:hAnsi="Arial" w:cs="Arial"/>
          <w:sz w:val="24"/>
          <w:szCs w:val="24"/>
        </w:rPr>
        <w:t>. and</w:t>
      </w:r>
      <w:r w:rsidRPr="009450AC">
        <w:rPr>
          <w:rFonts w:ascii="Arial" w:hAnsi="Arial" w:cs="Arial"/>
          <w:sz w:val="24"/>
          <w:szCs w:val="24"/>
        </w:rPr>
        <w:t xml:space="preserve"> Elliott Rose</w:t>
      </w:r>
      <w:r>
        <w:rPr>
          <w:rFonts w:ascii="Arial" w:hAnsi="Arial" w:cs="Arial"/>
          <w:sz w:val="24"/>
          <w:szCs w:val="24"/>
        </w:rPr>
        <w:t>,</w:t>
      </w:r>
      <w:r w:rsidRPr="009450AC">
        <w:rPr>
          <w:rFonts w:ascii="Arial" w:hAnsi="Arial" w:cs="Arial"/>
          <w:sz w:val="24"/>
          <w:szCs w:val="24"/>
        </w:rPr>
        <w:t xml:space="preserve"> A. </w:t>
      </w:r>
      <w:r w:rsidRPr="000D1EC5">
        <w:rPr>
          <w:rFonts w:ascii="Arial" w:hAnsi="Arial" w:cs="Arial"/>
          <w:i/>
          <w:iCs/>
          <w:sz w:val="24"/>
          <w:szCs w:val="24"/>
        </w:rPr>
        <w:t>A synthesis of recent analyses of human resources for health requirements and labour market dynamics in high-income OECD countries</w:t>
      </w:r>
      <w:r w:rsidRPr="009450AC">
        <w:rPr>
          <w:rFonts w:ascii="Arial" w:hAnsi="Arial" w:cs="Arial"/>
          <w:sz w:val="24"/>
          <w:szCs w:val="24"/>
        </w:rPr>
        <w:t xml:space="preserve">. Hum Resour Health. 2016 Sep 29;14(1):59. </w:t>
      </w:r>
      <w:hyperlink r:id="rId21" w:history="1">
        <w:r w:rsidRPr="009641A3">
          <w:rPr>
            <w:rStyle w:val="Hyperlink"/>
            <w:rFonts w:ascii="Arial" w:hAnsi="Arial" w:cs="Arial"/>
            <w:sz w:val="24"/>
            <w:szCs w:val="24"/>
          </w:rPr>
          <w:t>https://doi.org/10.1186/s12960-016-0155-2</w:t>
        </w:r>
      </w:hyperlink>
    </w:p>
    <w:p w14:paraId="65730E8D" w14:textId="77777777" w:rsidR="00544E5D" w:rsidRDefault="00544E5D" w:rsidP="00544E5D">
      <w:pPr>
        <w:spacing w:after="240" w:line="360" w:lineRule="auto"/>
        <w:rPr>
          <w:rFonts w:ascii="Arial" w:hAnsi="Arial" w:cs="Arial"/>
          <w:sz w:val="24"/>
          <w:szCs w:val="24"/>
        </w:rPr>
      </w:pPr>
      <w:r w:rsidRPr="00BF188E">
        <w:rPr>
          <w:rFonts w:ascii="Arial" w:hAnsi="Arial" w:cs="Arial"/>
          <w:sz w:val="24"/>
          <w:szCs w:val="24"/>
        </w:rPr>
        <w:t>Vas, V., Gyambibi, L., Eftychiou, L., Al-Omari, H., Glass, J., Smith, M. and Matthew, D. (2023)</w:t>
      </w:r>
      <w:r>
        <w:rPr>
          <w:rFonts w:ascii="Arial" w:hAnsi="Arial" w:cs="Arial"/>
          <w:sz w:val="24"/>
          <w:szCs w:val="24"/>
        </w:rPr>
        <w:t xml:space="preserve">. </w:t>
      </w:r>
      <w:r w:rsidRPr="00BF188E">
        <w:rPr>
          <w:rFonts w:ascii="Arial" w:hAnsi="Arial" w:cs="Arial"/>
          <w:sz w:val="24"/>
          <w:szCs w:val="24"/>
        </w:rPr>
        <w:t>Identifying value in healthcare transformation initiatives: an evaluation of an approach to benefits realisation</w:t>
      </w:r>
      <w:r>
        <w:rPr>
          <w:rFonts w:ascii="Arial" w:hAnsi="Arial" w:cs="Arial"/>
          <w:sz w:val="24"/>
          <w:szCs w:val="24"/>
        </w:rPr>
        <w:t>.</w:t>
      </w:r>
      <w:r w:rsidRPr="00BF188E">
        <w:rPr>
          <w:rFonts w:ascii="Arial" w:hAnsi="Arial" w:cs="Arial"/>
          <w:sz w:val="24"/>
          <w:szCs w:val="24"/>
        </w:rPr>
        <w:t> </w:t>
      </w:r>
      <w:r w:rsidRPr="00BF188E">
        <w:rPr>
          <w:rFonts w:ascii="Arial" w:hAnsi="Arial" w:cs="Arial"/>
          <w:i/>
          <w:iCs/>
          <w:sz w:val="24"/>
          <w:szCs w:val="24"/>
        </w:rPr>
        <w:t>BMJ Open Quality</w:t>
      </w:r>
      <w:r w:rsidRPr="00BF188E">
        <w:rPr>
          <w:rFonts w:ascii="Arial" w:hAnsi="Arial" w:cs="Arial"/>
          <w:sz w:val="24"/>
          <w:szCs w:val="24"/>
        </w:rPr>
        <w:t>, 12(4), e002349. Available at: https://bmjopenquality.bmj.com/content/12/4/e002349 [Accessed 3 June 2025].</w:t>
      </w:r>
    </w:p>
    <w:p w14:paraId="106035EE" w14:textId="0CE2E020" w:rsidR="00544E5D" w:rsidRDefault="00544E5D" w:rsidP="00544E5D">
      <w:pPr>
        <w:spacing w:after="240" w:line="360" w:lineRule="auto"/>
        <w:rPr>
          <w:rFonts w:ascii="Arial" w:hAnsi="Arial" w:cs="Arial"/>
          <w:sz w:val="24"/>
          <w:szCs w:val="24"/>
        </w:rPr>
      </w:pPr>
      <w:r w:rsidRPr="00115744">
        <w:rPr>
          <w:rFonts w:ascii="Arial" w:hAnsi="Arial" w:cs="Arial"/>
          <w:sz w:val="24"/>
          <w:szCs w:val="24"/>
        </w:rPr>
        <w:t>Walt, G., Shiffman, J., Schneider, H.</w:t>
      </w:r>
      <w:r w:rsidR="003F7CB6" w:rsidRPr="00115744">
        <w:rPr>
          <w:rFonts w:ascii="Arial" w:hAnsi="Arial" w:cs="Arial"/>
          <w:sz w:val="24"/>
          <w:szCs w:val="24"/>
        </w:rPr>
        <w:t>, Murray</w:t>
      </w:r>
      <w:r w:rsidRPr="00115744">
        <w:rPr>
          <w:rFonts w:ascii="Arial" w:hAnsi="Arial" w:cs="Arial"/>
          <w:sz w:val="24"/>
          <w:szCs w:val="24"/>
        </w:rPr>
        <w:t xml:space="preserve">, S.F., Brugha, R &amp; Gilson, L. </w:t>
      </w:r>
      <w:r>
        <w:rPr>
          <w:rFonts w:ascii="Arial" w:hAnsi="Arial" w:cs="Arial"/>
          <w:sz w:val="24"/>
          <w:szCs w:val="24"/>
        </w:rPr>
        <w:t xml:space="preserve">(2008). </w:t>
      </w:r>
      <w:r w:rsidRPr="00115744">
        <w:rPr>
          <w:rFonts w:ascii="Arial" w:hAnsi="Arial" w:cs="Arial"/>
          <w:sz w:val="24"/>
          <w:szCs w:val="24"/>
        </w:rPr>
        <w:t>Doing</w:t>
      </w:r>
      <w:r>
        <w:rPr>
          <w:rFonts w:ascii="Arial" w:hAnsi="Arial" w:cs="Arial"/>
          <w:sz w:val="24"/>
          <w:szCs w:val="24"/>
        </w:rPr>
        <w:t xml:space="preserve"> </w:t>
      </w:r>
      <w:r w:rsidRPr="00115744">
        <w:rPr>
          <w:rFonts w:ascii="Arial" w:hAnsi="Arial" w:cs="Arial"/>
          <w:sz w:val="24"/>
          <w:szCs w:val="24"/>
        </w:rPr>
        <w:t>health policy analysis: methodological and conceptual reflections and challenges</w:t>
      </w:r>
      <w:r>
        <w:rPr>
          <w:rFonts w:ascii="Arial" w:hAnsi="Arial" w:cs="Arial"/>
          <w:sz w:val="24"/>
          <w:szCs w:val="24"/>
        </w:rPr>
        <w:t xml:space="preserve">. </w:t>
      </w:r>
      <w:r w:rsidRPr="00115744">
        <w:rPr>
          <w:rFonts w:ascii="Arial" w:hAnsi="Arial" w:cs="Arial"/>
          <w:i/>
          <w:iCs/>
          <w:sz w:val="24"/>
          <w:szCs w:val="24"/>
        </w:rPr>
        <w:t>Health Policy and Planning,</w:t>
      </w:r>
      <w:r w:rsidRPr="00115744">
        <w:rPr>
          <w:rFonts w:ascii="Arial" w:hAnsi="Arial" w:cs="Arial"/>
          <w:sz w:val="24"/>
          <w:szCs w:val="24"/>
        </w:rPr>
        <w:t xml:space="preserve"> Volume 23, Issue 5, September 2008, Pages 308–317, </w:t>
      </w:r>
      <w:hyperlink r:id="rId22" w:history="1">
        <w:r w:rsidRPr="00B22AA3">
          <w:rPr>
            <w:rStyle w:val="Hyperlink"/>
            <w:rFonts w:ascii="Arial" w:hAnsi="Arial" w:cs="Arial"/>
            <w:sz w:val="24"/>
            <w:szCs w:val="24"/>
          </w:rPr>
          <w:t>https://doi.org/10.1093/heapol/czn024</w:t>
        </w:r>
      </w:hyperlink>
      <w:r w:rsidRPr="00115744">
        <w:rPr>
          <w:rFonts w:ascii="Arial" w:hAnsi="Arial" w:cs="Arial"/>
          <w:sz w:val="24"/>
          <w:szCs w:val="24"/>
        </w:rPr>
        <w:t>.</w:t>
      </w:r>
    </w:p>
    <w:p w14:paraId="5601AB13" w14:textId="77777777" w:rsidR="00544E5D" w:rsidRDefault="00544E5D" w:rsidP="00544E5D">
      <w:pPr>
        <w:spacing w:after="240" w:line="360" w:lineRule="auto"/>
        <w:rPr>
          <w:rFonts w:ascii="Arial" w:hAnsi="Arial" w:cs="Arial"/>
          <w:sz w:val="24"/>
          <w:szCs w:val="24"/>
        </w:rPr>
      </w:pPr>
      <w:r>
        <w:rPr>
          <w:rFonts w:ascii="Arial" w:hAnsi="Arial" w:cs="Arial"/>
          <w:sz w:val="24"/>
          <w:szCs w:val="24"/>
        </w:rPr>
        <w:t xml:space="preserve">Welsh Government (2021) </w:t>
      </w:r>
      <w:r w:rsidRPr="001B22B3">
        <w:rPr>
          <w:rFonts w:ascii="Arial" w:hAnsi="Arial" w:cs="Arial"/>
          <w:i/>
          <w:iCs/>
          <w:sz w:val="24"/>
          <w:szCs w:val="24"/>
        </w:rPr>
        <w:t>A Healthier Wales: Our plan for Health and Social Care</w:t>
      </w:r>
      <w:r>
        <w:rPr>
          <w:rFonts w:ascii="Arial" w:hAnsi="Arial" w:cs="Arial"/>
          <w:sz w:val="24"/>
          <w:szCs w:val="24"/>
        </w:rPr>
        <w:t xml:space="preserve">. Cardiff: Welsh Government. Available at: </w:t>
      </w:r>
      <w:hyperlink r:id="rId23" w:history="1">
        <w:r w:rsidRPr="009641A3">
          <w:rPr>
            <w:rStyle w:val="Hyperlink"/>
            <w:rFonts w:ascii="Arial" w:hAnsi="Arial" w:cs="Arial"/>
            <w:sz w:val="24"/>
            <w:szCs w:val="24"/>
          </w:rPr>
          <w:t>https://www.gov.wales/sites/default/files/publications/2021-09/a-healthier-wales-our-plan-for-health-and-social-care.pdf</w:t>
        </w:r>
      </w:hyperlink>
      <w:r>
        <w:rPr>
          <w:rFonts w:ascii="Arial" w:hAnsi="Arial" w:cs="Arial"/>
          <w:sz w:val="24"/>
          <w:szCs w:val="24"/>
        </w:rPr>
        <w:t xml:space="preserve"> [Accessed 27 September 2025]</w:t>
      </w:r>
    </w:p>
    <w:p w14:paraId="190CD9E9" w14:textId="77777777" w:rsidR="00544E5D" w:rsidRDefault="00544E5D" w:rsidP="00544E5D">
      <w:pPr>
        <w:spacing w:after="240" w:line="360" w:lineRule="auto"/>
        <w:rPr>
          <w:rFonts w:ascii="Arial" w:hAnsi="Arial" w:cs="Arial"/>
          <w:sz w:val="24"/>
          <w:szCs w:val="24"/>
        </w:rPr>
      </w:pPr>
      <w:r>
        <w:rPr>
          <w:rFonts w:ascii="Arial" w:hAnsi="Arial" w:cs="Arial"/>
          <w:sz w:val="24"/>
          <w:szCs w:val="24"/>
        </w:rPr>
        <w:t xml:space="preserve">Welsh Government (2024) </w:t>
      </w:r>
      <w:r w:rsidRPr="004F0CF8">
        <w:rPr>
          <w:rFonts w:ascii="Arial" w:hAnsi="Arial" w:cs="Arial"/>
          <w:i/>
          <w:iCs/>
          <w:sz w:val="24"/>
          <w:szCs w:val="24"/>
        </w:rPr>
        <w:t>A Healthier Wales: Our plan for Health and Social Care Refreshed Actions</w:t>
      </w:r>
      <w:r>
        <w:rPr>
          <w:rFonts w:ascii="Arial" w:hAnsi="Arial" w:cs="Arial"/>
          <w:sz w:val="24"/>
          <w:szCs w:val="24"/>
        </w:rPr>
        <w:t xml:space="preserve">. Cardiff: Welsh Government. Available at: </w:t>
      </w:r>
      <w:r w:rsidRPr="004F0CF8">
        <w:rPr>
          <w:rFonts w:ascii="Arial" w:hAnsi="Arial" w:cs="Arial"/>
          <w:sz w:val="24"/>
          <w:szCs w:val="24"/>
        </w:rPr>
        <w:t>https://www.gov.wales/sites/default/files/publications/2024-11/2024-plan-for-health-and-social-care.pdf</w:t>
      </w:r>
      <w:r>
        <w:rPr>
          <w:rFonts w:ascii="Arial" w:hAnsi="Arial" w:cs="Arial"/>
          <w:sz w:val="24"/>
          <w:szCs w:val="24"/>
        </w:rPr>
        <w:t xml:space="preserve"> [Accessed 27 September 2025]</w:t>
      </w:r>
    </w:p>
    <w:p w14:paraId="1D10899A" w14:textId="77777777" w:rsidR="00544E5D" w:rsidRDefault="00544E5D" w:rsidP="00544E5D">
      <w:pPr>
        <w:spacing w:after="240" w:line="360" w:lineRule="auto"/>
        <w:rPr>
          <w:rFonts w:ascii="Arial" w:hAnsi="Arial" w:cs="Arial"/>
          <w:sz w:val="24"/>
          <w:szCs w:val="24"/>
        </w:rPr>
      </w:pPr>
      <w:r w:rsidRPr="006158DF">
        <w:rPr>
          <w:rFonts w:ascii="Arial" w:hAnsi="Arial" w:cs="Arial"/>
          <w:sz w:val="24"/>
          <w:szCs w:val="24"/>
        </w:rPr>
        <w:t xml:space="preserve">Welsh Government (2022) </w:t>
      </w:r>
      <w:r w:rsidRPr="006158DF">
        <w:rPr>
          <w:rFonts w:ascii="Arial" w:hAnsi="Arial" w:cs="Arial"/>
          <w:i/>
          <w:iCs/>
          <w:sz w:val="24"/>
          <w:szCs w:val="24"/>
        </w:rPr>
        <w:t>More than just words: Five-year plan 2022–2027</w:t>
      </w:r>
      <w:r w:rsidRPr="006158DF">
        <w:rPr>
          <w:rFonts w:ascii="Arial" w:hAnsi="Arial" w:cs="Arial"/>
          <w:sz w:val="24"/>
          <w:szCs w:val="24"/>
        </w:rPr>
        <w:t xml:space="preserve">. Cardiff: Welsh Government. Available at: </w:t>
      </w:r>
      <w:hyperlink r:id="rId24" w:history="1">
        <w:r w:rsidRPr="006158DF">
          <w:rPr>
            <w:rStyle w:val="Hyperlink"/>
            <w:rFonts w:ascii="Arial" w:hAnsi="Arial" w:cs="Arial"/>
            <w:sz w:val="24"/>
            <w:szCs w:val="24"/>
          </w:rPr>
          <w:t>https://www.gov.wales/sites/default/files/publications/2022-07/more-than-just-words-action-plan-2022-2027.pdf</w:t>
        </w:r>
      </w:hyperlink>
      <w:r w:rsidRPr="006158DF">
        <w:rPr>
          <w:rFonts w:ascii="Arial" w:hAnsi="Arial" w:cs="Arial"/>
          <w:sz w:val="24"/>
          <w:szCs w:val="24"/>
        </w:rPr>
        <w:t xml:space="preserve"> </w:t>
      </w:r>
      <w:r>
        <w:rPr>
          <w:rFonts w:ascii="Arial" w:hAnsi="Arial" w:cs="Arial"/>
          <w:sz w:val="24"/>
          <w:szCs w:val="24"/>
        </w:rPr>
        <w:t>[</w:t>
      </w:r>
      <w:r w:rsidRPr="006158DF">
        <w:rPr>
          <w:rFonts w:ascii="Arial" w:hAnsi="Arial" w:cs="Arial"/>
          <w:sz w:val="24"/>
          <w:szCs w:val="24"/>
        </w:rPr>
        <w:t>Accessed 27 September 2025</w:t>
      </w:r>
      <w:r>
        <w:rPr>
          <w:rFonts w:ascii="Arial" w:hAnsi="Arial" w:cs="Arial"/>
          <w:sz w:val="24"/>
          <w:szCs w:val="24"/>
        </w:rPr>
        <w:t>]</w:t>
      </w:r>
      <w:r w:rsidRPr="006158DF">
        <w:rPr>
          <w:rFonts w:ascii="Arial" w:hAnsi="Arial" w:cs="Arial"/>
          <w:sz w:val="24"/>
          <w:szCs w:val="24"/>
        </w:rPr>
        <w:t>.</w:t>
      </w:r>
    </w:p>
    <w:p w14:paraId="1E7B9723" w14:textId="77777777" w:rsidR="00544E5D" w:rsidRPr="00474B30" w:rsidRDefault="00544E5D" w:rsidP="00544E5D">
      <w:pPr>
        <w:spacing w:after="240" w:line="360" w:lineRule="auto"/>
        <w:rPr>
          <w:rFonts w:ascii="Arial" w:hAnsi="Arial" w:cs="Arial"/>
          <w:sz w:val="24"/>
          <w:szCs w:val="24"/>
        </w:rPr>
      </w:pPr>
      <w:r w:rsidRPr="00474B30">
        <w:rPr>
          <w:rFonts w:ascii="Arial" w:hAnsi="Arial" w:cs="Arial"/>
          <w:sz w:val="24"/>
          <w:szCs w:val="24"/>
        </w:rPr>
        <w:t xml:space="preserve">Welsh Government (2022) </w:t>
      </w:r>
      <w:r w:rsidRPr="00474B30">
        <w:rPr>
          <w:rFonts w:ascii="Arial" w:hAnsi="Arial" w:cs="Arial"/>
          <w:i/>
          <w:iCs/>
          <w:sz w:val="24"/>
          <w:szCs w:val="24"/>
        </w:rPr>
        <w:t>More than just words: Action plan 2022–2027</w:t>
      </w:r>
      <w:r w:rsidRPr="00474B30">
        <w:rPr>
          <w:rFonts w:ascii="Arial" w:hAnsi="Arial" w:cs="Arial"/>
          <w:sz w:val="24"/>
          <w:szCs w:val="24"/>
        </w:rPr>
        <w:t xml:space="preserve"> (PDF). Available at: https://www.gov.wales/sites/default/files/publications/2022-07/more-than-just-words-action-plan-2022-2027.pdf </w:t>
      </w:r>
      <w:r>
        <w:rPr>
          <w:rFonts w:ascii="Arial" w:hAnsi="Arial" w:cs="Arial"/>
          <w:sz w:val="24"/>
          <w:szCs w:val="24"/>
        </w:rPr>
        <w:t>[</w:t>
      </w:r>
      <w:r w:rsidRPr="00474B30">
        <w:rPr>
          <w:rFonts w:ascii="Arial" w:hAnsi="Arial" w:cs="Arial"/>
          <w:sz w:val="24"/>
          <w:szCs w:val="24"/>
        </w:rPr>
        <w:t>Accessed: 2</w:t>
      </w:r>
      <w:r>
        <w:rPr>
          <w:rFonts w:ascii="Arial" w:hAnsi="Arial" w:cs="Arial"/>
          <w:sz w:val="24"/>
          <w:szCs w:val="24"/>
        </w:rPr>
        <w:t>2</w:t>
      </w:r>
      <w:r w:rsidRPr="00474B30">
        <w:rPr>
          <w:rFonts w:ascii="Arial" w:hAnsi="Arial" w:cs="Arial"/>
          <w:sz w:val="24"/>
          <w:szCs w:val="24"/>
        </w:rPr>
        <w:t xml:space="preserve"> April 2026</w:t>
      </w:r>
      <w:r>
        <w:rPr>
          <w:rFonts w:ascii="Arial" w:hAnsi="Arial" w:cs="Arial"/>
          <w:sz w:val="24"/>
          <w:szCs w:val="24"/>
        </w:rPr>
        <w:t>]</w:t>
      </w:r>
      <w:r w:rsidRPr="00474B30">
        <w:rPr>
          <w:rFonts w:ascii="Arial" w:hAnsi="Arial" w:cs="Arial"/>
          <w:sz w:val="24"/>
          <w:szCs w:val="24"/>
        </w:rPr>
        <w:t>.</w:t>
      </w:r>
    </w:p>
    <w:p w14:paraId="0661EA6B" w14:textId="77777777" w:rsidR="00544E5D" w:rsidRDefault="00544E5D" w:rsidP="00544E5D">
      <w:pPr>
        <w:spacing w:after="240" w:line="360" w:lineRule="auto"/>
        <w:rPr>
          <w:rFonts w:ascii="Arial" w:hAnsi="Arial" w:cs="Arial"/>
          <w:sz w:val="24"/>
          <w:szCs w:val="24"/>
        </w:rPr>
      </w:pPr>
      <w:r w:rsidRPr="009457B3">
        <w:rPr>
          <w:rFonts w:ascii="Arial" w:hAnsi="Arial" w:cs="Arial"/>
          <w:sz w:val="24"/>
          <w:szCs w:val="24"/>
        </w:rPr>
        <w:t xml:space="preserve">Welsh Government (2015) </w:t>
      </w:r>
      <w:r w:rsidRPr="009457B3">
        <w:rPr>
          <w:rFonts w:ascii="Arial" w:hAnsi="Arial" w:cs="Arial"/>
          <w:i/>
          <w:iCs/>
          <w:sz w:val="24"/>
          <w:szCs w:val="24"/>
        </w:rPr>
        <w:t>Well-being of Future Generations (Wales) Act 2015</w:t>
      </w:r>
      <w:r w:rsidRPr="009457B3">
        <w:rPr>
          <w:rFonts w:ascii="Arial" w:hAnsi="Arial" w:cs="Arial"/>
          <w:sz w:val="24"/>
          <w:szCs w:val="24"/>
        </w:rPr>
        <w:t xml:space="preserve">. Available at: https://www.legislation.gov.uk/anaw/2015/2/contents </w:t>
      </w:r>
      <w:r>
        <w:rPr>
          <w:rFonts w:ascii="Arial" w:hAnsi="Arial" w:cs="Arial"/>
          <w:sz w:val="24"/>
          <w:szCs w:val="24"/>
        </w:rPr>
        <w:t>[</w:t>
      </w:r>
      <w:r w:rsidRPr="009457B3">
        <w:rPr>
          <w:rFonts w:ascii="Arial" w:hAnsi="Arial" w:cs="Arial"/>
          <w:sz w:val="24"/>
          <w:szCs w:val="24"/>
        </w:rPr>
        <w:t>Accessed: 27 April 2026</w:t>
      </w:r>
      <w:r>
        <w:rPr>
          <w:rFonts w:ascii="Arial" w:hAnsi="Arial" w:cs="Arial"/>
          <w:sz w:val="24"/>
          <w:szCs w:val="24"/>
        </w:rPr>
        <w:t>].</w:t>
      </w:r>
    </w:p>
    <w:p w14:paraId="756AB008" w14:textId="77777777" w:rsidR="00544E5D" w:rsidRPr="00A71B86" w:rsidRDefault="00544E5D" w:rsidP="00544E5D">
      <w:pPr>
        <w:spacing w:after="240" w:line="360" w:lineRule="auto"/>
        <w:rPr>
          <w:rFonts w:ascii="Arial" w:hAnsi="Arial" w:cs="Arial"/>
          <w:sz w:val="24"/>
          <w:szCs w:val="24"/>
        </w:rPr>
      </w:pPr>
      <w:r w:rsidRPr="00A71B86">
        <w:rPr>
          <w:rFonts w:ascii="Arial" w:hAnsi="Arial" w:cs="Arial"/>
          <w:sz w:val="24"/>
          <w:szCs w:val="24"/>
        </w:rPr>
        <w:t xml:space="preserve">Wenger, E., Trayner, B. and de Laat, M. (2011) </w:t>
      </w:r>
      <w:r w:rsidRPr="00A71B86">
        <w:rPr>
          <w:rFonts w:ascii="Arial" w:hAnsi="Arial" w:cs="Arial"/>
          <w:i/>
          <w:iCs/>
          <w:sz w:val="24"/>
          <w:szCs w:val="24"/>
        </w:rPr>
        <w:t>Promoting and assessing value creation in communities and networks: A conceptual framework</w:t>
      </w:r>
      <w:r w:rsidRPr="00A71B86">
        <w:rPr>
          <w:rFonts w:ascii="Arial" w:hAnsi="Arial" w:cs="Arial"/>
          <w:sz w:val="24"/>
          <w:szCs w:val="24"/>
        </w:rPr>
        <w:t>. Heerlen: Open University of the Netherlands.</w:t>
      </w:r>
    </w:p>
    <w:p w14:paraId="18F026B5" w14:textId="77777777" w:rsidR="00544E5D" w:rsidRDefault="00544E5D" w:rsidP="00544E5D">
      <w:pPr>
        <w:spacing w:after="240" w:line="360" w:lineRule="auto"/>
        <w:rPr>
          <w:rFonts w:ascii="Arial" w:hAnsi="Arial" w:cs="Arial"/>
          <w:sz w:val="24"/>
          <w:szCs w:val="24"/>
        </w:rPr>
      </w:pPr>
      <w:r w:rsidRPr="002500DC">
        <w:rPr>
          <w:rFonts w:ascii="Arial" w:hAnsi="Arial" w:cs="Arial"/>
          <w:sz w:val="24"/>
          <w:szCs w:val="24"/>
        </w:rPr>
        <w:t xml:space="preserve">West, M.A. et al. (2017) </w:t>
      </w:r>
      <w:r w:rsidRPr="002500DC">
        <w:rPr>
          <w:rFonts w:ascii="Arial" w:hAnsi="Arial" w:cs="Arial"/>
          <w:i/>
          <w:iCs/>
          <w:sz w:val="24"/>
          <w:szCs w:val="24"/>
        </w:rPr>
        <w:t>Caring to change: How compassionate leadership can stimulate innovation in health care</w:t>
      </w:r>
      <w:r w:rsidRPr="002500DC">
        <w:rPr>
          <w:rFonts w:ascii="Arial" w:hAnsi="Arial" w:cs="Arial"/>
          <w:sz w:val="24"/>
          <w:szCs w:val="24"/>
        </w:rPr>
        <w:t>. London: The King’s Fund.</w:t>
      </w:r>
    </w:p>
    <w:p w14:paraId="5009B4B6" w14:textId="77777777" w:rsidR="00544E5D" w:rsidRDefault="00544E5D" w:rsidP="00544E5D">
      <w:pPr>
        <w:spacing w:after="240" w:line="360" w:lineRule="auto"/>
        <w:rPr>
          <w:rFonts w:ascii="Arial" w:hAnsi="Arial" w:cs="Arial"/>
          <w:sz w:val="24"/>
          <w:szCs w:val="24"/>
        </w:rPr>
      </w:pPr>
      <w:r w:rsidRPr="007711A9">
        <w:rPr>
          <w:rFonts w:ascii="Arial" w:hAnsi="Arial" w:cs="Arial"/>
          <w:sz w:val="24"/>
          <w:szCs w:val="24"/>
        </w:rPr>
        <w:t xml:space="preserve">Willis, G. (2015) </w:t>
      </w:r>
      <w:r w:rsidRPr="007711A9">
        <w:rPr>
          <w:rFonts w:ascii="Arial" w:hAnsi="Arial" w:cs="Arial"/>
          <w:i/>
          <w:iCs/>
          <w:sz w:val="24"/>
          <w:szCs w:val="24"/>
        </w:rPr>
        <w:t>Raising the Bar: Shape of Caring Review</w:t>
      </w:r>
      <w:r w:rsidRPr="007711A9">
        <w:rPr>
          <w:rFonts w:ascii="Arial" w:hAnsi="Arial" w:cs="Arial"/>
          <w:sz w:val="24"/>
          <w:szCs w:val="24"/>
        </w:rPr>
        <w:t>. London: Health Education England.</w:t>
      </w:r>
    </w:p>
    <w:p w14:paraId="1F66847C" w14:textId="4FC3E530" w:rsidR="00544E5D" w:rsidRDefault="00544E5D" w:rsidP="00544E5D">
      <w:pPr>
        <w:spacing w:after="240" w:line="360" w:lineRule="auto"/>
        <w:rPr>
          <w:rFonts w:ascii="Arial" w:hAnsi="Arial" w:cs="Arial"/>
          <w:sz w:val="24"/>
          <w:szCs w:val="24"/>
        </w:rPr>
      </w:pPr>
      <w:r w:rsidRPr="00B83B54">
        <w:rPr>
          <w:rFonts w:ascii="Arial" w:hAnsi="Arial" w:cs="Arial"/>
          <w:sz w:val="24"/>
          <w:szCs w:val="24"/>
        </w:rPr>
        <w:t>World Health Organi</w:t>
      </w:r>
      <w:r w:rsidR="00833445">
        <w:rPr>
          <w:rFonts w:ascii="Arial" w:hAnsi="Arial" w:cs="Arial"/>
          <w:sz w:val="24"/>
          <w:szCs w:val="24"/>
        </w:rPr>
        <w:t>z</w:t>
      </w:r>
      <w:r w:rsidRPr="00B83B54">
        <w:rPr>
          <w:rFonts w:ascii="Arial" w:hAnsi="Arial" w:cs="Arial"/>
          <w:sz w:val="24"/>
          <w:szCs w:val="24"/>
        </w:rPr>
        <w:t xml:space="preserve">ation (2016) </w:t>
      </w:r>
      <w:r w:rsidRPr="00B83B54">
        <w:rPr>
          <w:rFonts w:ascii="Arial" w:hAnsi="Arial" w:cs="Arial"/>
          <w:i/>
          <w:iCs/>
          <w:sz w:val="24"/>
          <w:szCs w:val="24"/>
        </w:rPr>
        <w:t>Global strategy on human resources for health: Workforce 2030</w:t>
      </w:r>
      <w:r w:rsidRPr="00B83B54">
        <w:rPr>
          <w:rFonts w:ascii="Arial" w:hAnsi="Arial" w:cs="Arial"/>
          <w:sz w:val="24"/>
          <w:szCs w:val="24"/>
        </w:rPr>
        <w:t xml:space="preserve">. Geneva: WHO. Available at: </w:t>
      </w:r>
      <w:hyperlink r:id="rId25" w:history="1">
        <w:r w:rsidRPr="00B83B54">
          <w:rPr>
            <w:rStyle w:val="Hyperlink"/>
            <w:rFonts w:ascii="Arial" w:hAnsi="Arial" w:cs="Arial"/>
            <w:sz w:val="24"/>
            <w:szCs w:val="24"/>
          </w:rPr>
          <w:t>https://www.who.int/hrh/resources/globstrathrh-2030/en/</w:t>
        </w:r>
      </w:hyperlink>
      <w:r w:rsidRPr="00B83B54">
        <w:rPr>
          <w:rFonts w:ascii="Arial" w:hAnsi="Arial" w:cs="Arial"/>
          <w:sz w:val="24"/>
          <w:szCs w:val="24"/>
        </w:rPr>
        <w:t xml:space="preserve"> (Accessed 10 February 2026).</w:t>
      </w:r>
    </w:p>
    <w:p w14:paraId="3AF53EC5" w14:textId="0759FC09" w:rsidR="00544E5D" w:rsidRPr="00366D7B" w:rsidRDefault="00544E5D" w:rsidP="00544E5D">
      <w:pPr>
        <w:spacing w:after="240" w:line="360" w:lineRule="auto"/>
        <w:rPr>
          <w:rFonts w:ascii="Arial" w:hAnsi="Arial" w:cs="Arial"/>
          <w:sz w:val="24"/>
          <w:szCs w:val="24"/>
        </w:rPr>
      </w:pPr>
      <w:r w:rsidRPr="00366D7B">
        <w:rPr>
          <w:rFonts w:ascii="Arial" w:hAnsi="Arial" w:cs="Arial"/>
          <w:sz w:val="24"/>
          <w:szCs w:val="24"/>
        </w:rPr>
        <w:t>World Health Organi</w:t>
      </w:r>
      <w:r w:rsidR="00833445">
        <w:rPr>
          <w:rFonts w:ascii="Arial" w:hAnsi="Arial" w:cs="Arial"/>
          <w:sz w:val="24"/>
          <w:szCs w:val="24"/>
        </w:rPr>
        <w:t>z</w:t>
      </w:r>
      <w:r w:rsidRPr="00366D7B">
        <w:rPr>
          <w:rFonts w:ascii="Arial" w:hAnsi="Arial" w:cs="Arial"/>
          <w:sz w:val="24"/>
          <w:szCs w:val="24"/>
        </w:rPr>
        <w:t xml:space="preserve">ation (WHO) (2010) </w:t>
      </w:r>
      <w:r w:rsidRPr="00366D7B">
        <w:rPr>
          <w:rFonts w:ascii="Arial" w:hAnsi="Arial" w:cs="Arial"/>
          <w:i/>
          <w:iCs/>
          <w:sz w:val="24"/>
          <w:szCs w:val="24"/>
        </w:rPr>
        <w:t>Models and tools for health workforce planning and projections</w:t>
      </w:r>
      <w:r w:rsidRPr="00366D7B">
        <w:rPr>
          <w:rFonts w:ascii="Arial" w:hAnsi="Arial" w:cs="Arial"/>
          <w:sz w:val="24"/>
          <w:szCs w:val="24"/>
        </w:rPr>
        <w:t>. Geneva: WHO</w:t>
      </w:r>
    </w:p>
    <w:p w14:paraId="6D75EE78" w14:textId="77777777" w:rsidR="00544E5D" w:rsidRDefault="00544E5D" w:rsidP="00544E5D">
      <w:pPr>
        <w:spacing w:after="240" w:line="360" w:lineRule="auto"/>
        <w:rPr>
          <w:rFonts w:ascii="Arial" w:hAnsi="Arial" w:cs="Arial"/>
          <w:sz w:val="24"/>
          <w:szCs w:val="24"/>
        </w:rPr>
      </w:pPr>
      <w:r w:rsidRPr="0003665A">
        <w:rPr>
          <w:rFonts w:ascii="Arial" w:hAnsi="Arial" w:cs="Arial"/>
          <w:sz w:val="24"/>
          <w:szCs w:val="24"/>
        </w:rPr>
        <w:lastRenderedPageBreak/>
        <w:t>Yilmaz, K. (2013)</w:t>
      </w:r>
      <w:r>
        <w:rPr>
          <w:rFonts w:ascii="Arial" w:hAnsi="Arial" w:cs="Arial"/>
          <w:sz w:val="24"/>
          <w:szCs w:val="24"/>
        </w:rPr>
        <w:t xml:space="preserve">. </w:t>
      </w:r>
      <w:r w:rsidRPr="0003665A">
        <w:rPr>
          <w:rFonts w:ascii="Arial" w:hAnsi="Arial" w:cs="Arial"/>
          <w:sz w:val="24"/>
          <w:szCs w:val="24"/>
        </w:rPr>
        <w:t>Comparison of quantitative and qualitative research traditions: epistemological, theoretical, and methodological differences</w:t>
      </w:r>
      <w:r>
        <w:rPr>
          <w:rFonts w:ascii="Arial" w:hAnsi="Arial" w:cs="Arial"/>
          <w:sz w:val="24"/>
          <w:szCs w:val="24"/>
        </w:rPr>
        <w:t xml:space="preserve">. </w:t>
      </w:r>
      <w:r w:rsidRPr="0003665A">
        <w:rPr>
          <w:rFonts w:ascii="Arial" w:hAnsi="Arial" w:cs="Arial"/>
          <w:i/>
          <w:iCs/>
          <w:sz w:val="24"/>
          <w:szCs w:val="24"/>
        </w:rPr>
        <w:t>European Journal of Education</w:t>
      </w:r>
      <w:r w:rsidRPr="0003665A">
        <w:rPr>
          <w:rFonts w:ascii="Arial" w:hAnsi="Arial" w:cs="Arial"/>
          <w:sz w:val="24"/>
          <w:szCs w:val="24"/>
        </w:rPr>
        <w:t>, 48(2), pp. 311–325.</w:t>
      </w:r>
    </w:p>
    <w:p w14:paraId="604A68CE" w14:textId="77777777" w:rsidR="00544E5D" w:rsidRDefault="00544E5D" w:rsidP="00544E5D">
      <w:pPr>
        <w:spacing w:after="240" w:line="360" w:lineRule="auto"/>
        <w:rPr>
          <w:rFonts w:ascii="Arial" w:hAnsi="Arial" w:cs="Arial"/>
          <w:sz w:val="24"/>
          <w:szCs w:val="24"/>
        </w:rPr>
      </w:pPr>
      <w:r w:rsidRPr="0003665A">
        <w:rPr>
          <w:rFonts w:ascii="Arial" w:hAnsi="Arial" w:cs="Arial"/>
          <w:sz w:val="24"/>
          <w:szCs w:val="24"/>
        </w:rPr>
        <w:t>Yin, R.K. (2018)</w:t>
      </w:r>
      <w:r>
        <w:rPr>
          <w:rFonts w:ascii="Arial" w:hAnsi="Arial" w:cs="Arial"/>
          <w:sz w:val="24"/>
          <w:szCs w:val="24"/>
        </w:rPr>
        <w:t>.</w:t>
      </w:r>
      <w:r w:rsidRPr="0003665A">
        <w:rPr>
          <w:rFonts w:ascii="Arial" w:hAnsi="Arial" w:cs="Arial"/>
          <w:sz w:val="24"/>
          <w:szCs w:val="24"/>
        </w:rPr>
        <w:t> </w:t>
      </w:r>
      <w:r w:rsidRPr="0003665A">
        <w:rPr>
          <w:rFonts w:ascii="Arial" w:hAnsi="Arial" w:cs="Arial"/>
          <w:i/>
          <w:iCs/>
          <w:sz w:val="24"/>
          <w:szCs w:val="24"/>
        </w:rPr>
        <w:t>Case Study Research and Applications: Design and Methods</w:t>
      </w:r>
      <w:r w:rsidRPr="0003665A">
        <w:rPr>
          <w:rFonts w:ascii="Arial" w:hAnsi="Arial" w:cs="Arial"/>
          <w:sz w:val="24"/>
          <w:szCs w:val="24"/>
        </w:rPr>
        <w:t>. 6th edn. Thousand Oaks, CA: Sage Publications.</w:t>
      </w:r>
    </w:p>
    <w:p w14:paraId="24FDAEBC" w14:textId="77777777" w:rsidR="00B83B54" w:rsidRDefault="00B83B54" w:rsidP="00401AC5">
      <w:pPr>
        <w:spacing w:after="240" w:line="360" w:lineRule="auto"/>
        <w:rPr>
          <w:rFonts w:ascii="Arial" w:hAnsi="Arial" w:cs="Arial"/>
          <w:sz w:val="24"/>
          <w:szCs w:val="24"/>
        </w:rPr>
      </w:pPr>
    </w:p>
    <w:p w14:paraId="18020857" w14:textId="7F7B4833" w:rsidR="00B83B54" w:rsidRDefault="00B83B54" w:rsidP="00401AC5">
      <w:pPr>
        <w:spacing w:after="240" w:line="360" w:lineRule="auto"/>
        <w:rPr>
          <w:rFonts w:ascii="Arial" w:hAnsi="Arial" w:cs="Arial"/>
          <w:sz w:val="24"/>
          <w:szCs w:val="24"/>
        </w:rPr>
      </w:pPr>
      <w:r w:rsidRPr="00737BB3">
        <w:br/>
      </w:r>
      <w:r w:rsidRPr="00737BB3">
        <w:br/>
      </w:r>
    </w:p>
    <w:p w14:paraId="62E960DF" w14:textId="77777777" w:rsidR="007B033A" w:rsidRDefault="007B033A" w:rsidP="00027880">
      <w:pPr>
        <w:spacing w:line="360" w:lineRule="auto"/>
        <w:jc w:val="both"/>
        <w:rPr>
          <w:rFonts w:ascii="Arial" w:hAnsi="Arial" w:cs="Arial"/>
          <w:b/>
          <w:bCs/>
          <w:sz w:val="28"/>
          <w:szCs w:val="28"/>
        </w:rPr>
      </w:pPr>
    </w:p>
    <w:p w14:paraId="582BFAC8" w14:textId="77777777" w:rsidR="00FD1B7D" w:rsidRDefault="00FD1B7D" w:rsidP="00027880">
      <w:pPr>
        <w:spacing w:line="360" w:lineRule="auto"/>
        <w:jc w:val="both"/>
        <w:rPr>
          <w:rFonts w:ascii="Arial" w:hAnsi="Arial" w:cs="Arial"/>
          <w:sz w:val="24"/>
          <w:szCs w:val="24"/>
        </w:rPr>
        <w:sectPr w:rsidR="00FD1B7D" w:rsidSect="008C1E9E">
          <w:footerReference w:type="default" r:id="rId26"/>
          <w:pgSz w:w="11906" w:h="16838"/>
          <w:pgMar w:top="1135" w:right="1558" w:bottom="1440" w:left="1418" w:header="708" w:footer="403" w:gutter="0"/>
          <w:pgNumType w:start="0"/>
          <w:cols w:space="708"/>
          <w:titlePg/>
          <w:docGrid w:linePitch="360"/>
        </w:sectPr>
      </w:pPr>
    </w:p>
    <w:p w14:paraId="5E2C4475" w14:textId="77777777" w:rsidR="00834427" w:rsidRDefault="00834427" w:rsidP="00027880">
      <w:pPr>
        <w:spacing w:line="360" w:lineRule="auto"/>
        <w:jc w:val="both"/>
        <w:rPr>
          <w:rFonts w:ascii="Arial" w:hAnsi="Arial" w:cs="Arial"/>
          <w:b/>
          <w:bCs/>
          <w:sz w:val="28"/>
          <w:szCs w:val="28"/>
          <w:u w:val="single"/>
        </w:rPr>
      </w:pPr>
    </w:p>
    <w:p w14:paraId="525D22DF" w14:textId="77777777" w:rsidR="00834427" w:rsidRDefault="00834427" w:rsidP="00027880">
      <w:pPr>
        <w:spacing w:line="360" w:lineRule="auto"/>
        <w:jc w:val="both"/>
        <w:rPr>
          <w:rFonts w:ascii="Arial" w:hAnsi="Arial" w:cs="Arial"/>
          <w:b/>
          <w:bCs/>
          <w:sz w:val="28"/>
          <w:szCs w:val="28"/>
          <w:u w:val="single"/>
        </w:rPr>
      </w:pPr>
    </w:p>
    <w:p w14:paraId="04F1CD85" w14:textId="634B1478" w:rsidR="00300576" w:rsidRDefault="00F423FF" w:rsidP="00027880">
      <w:pPr>
        <w:spacing w:line="360" w:lineRule="auto"/>
        <w:jc w:val="both"/>
        <w:rPr>
          <w:rFonts w:ascii="Arial" w:hAnsi="Arial" w:cs="Arial"/>
          <w:sz w:val="28"/>
          <w:szCs w:val="28"/>
        </w:rPr>
      </w:pPr>
      <w:r w:rsidRPr="00F423FF">
        <w:rPr>
          <w:rFonts w:ascii="Arial" w:hAnsi="Arial" w:cs="Arial"/>
          <w:b/>
          <w:bCs/>
          <w:sz w:val="28"/>
          <w:szCs w:val="28"/>
          <w:u w:val="single"/>
        </w:rPr>
        <w:t>Appendices</w:t>
      </w:r>
      <w:r w:rsidR="00681173">
        <w:rPr>
          <w:rFonts w:ascii="Arial" w:hAnsi="Arial" w:cs="Arial"/>
          <w:b/>
          <w:bCs/>
          <w:sz w:val="28"/>
          <w:szCs w:val="28"/>
          <w:u w:val="single"/>
        </w:rPr>
        <w:br/>
      </w:r>
      <w:r w:rsidR="00300576" w:rsidRPr="006D6728">
        <w:rPr>
          <w:rFonts w:ascii="Arial" w:hAnsi="Arial" w:cs="Arial"/>
          <w:sz w:val="28"/>
          <w:szCs w:val="28"/>
        </w:rPr>
        <w:t>Appendix A</w:t>
      </w:r>
      <w:r w:rsidR="00525316" w:rsidRPr="006D6728">
        <w:rPr>
          <w:rFonts w:ascii="Arial" w:hAnsi="Arial" w:cs="Arial"/>
          <w:sz w:val="28"/>
          <w:szCs w:val="28"/>
        </w:rPr>
        <w:t xml:space="preserve">: Strategic Workforce Planning </w:t>
      </w:r>
      <w:r w:rsidR="00ED55AA">
        <w:rPr>
          <w:rFonts w:ascii="Arial" w:hAnsi="Arial" w:cs="Arial"/>
          <w:sz w:val="28"/>
          <w:szCs w:val="28"/>
        </w:rPr>
        <w:t>Training</w:t>
      </w:r>
      <w:r w:rsidR="00525316" w:rsidRPr="006D6728">
        <w:rPr>
          <w:rFonts w:ascii="Arial" w:hAnsi="Arial" w:cs="Arial"/>
          <w:sz w:val="28"/>
          <w:szCs w:val="28"/>
        </w:rPr>
        <w:t xml:space="preserve"> List</w:t>
      </w:r>
    </w:p>
    <w:p w14:paraId="282D9640" w14:textId="77777777" w:rsidR="00834427" w:rsidRPr="00681173" w:rsidRDefault="00834427" w:rsidP="00027880">
      <w:pPr>
        <w:spacing w:line="360" w:lineRule="auto"/>
        <w:jc w:val="both"/>
        <w:rPr>
          <w:rFonts w:ascii="Arial" w:hAnsi="Arial" w:cs="Arial"/>
          <w:b/>
          <w:bCs/>
          <w:sz w:val="28"/>
          <w:szCs w:val="28"/>
          <w:u w:val="single"/>
        </w:rPr>
      </w:pPr>
    </w:p>
    <w:tbl>
      <w:tblPr>
        <w:tblW w:w="14743" w:type="dxa"/>
        <w:tblInd w:w="-431" w:type="dxa"/>
        <w:tblLook w:val="04A0" w:firstRow="1" w:lastRow="0" w:firstColumn="1" w:lastColumn="0" w:noHBand="0" w:noVBand="1"/>
      </w:tblPr>
      <w:tblGrid>
        <w:gridCol w:w="4220"/>
        <w:gridCol w:w="3620"/>
        <w:gridCol w:w="2520"/>
        <w:gridCol w:w="4383"/>
      </w:tblGrid>
      <w:tr w:rsidR="00B82E44" w:rsidRPr="00FC4C41" w14:paraId="7B4F5609" w14:textId="77777777" w:rsidTr="00252D79">
        <w:trPr>
          <w:trHeight w:val="740"/>
        </w:trPr>
        <w:tc>
          <w:tcPr>
            <w:tcW w:w="4220" w:type="dxa"/>
            <w:tcBorders>
              <w:top w:val="single" w:sz="4" w:space="0" w:color="auto"/>
              <w:left w:val="single" w:sz="4" w:space="0" w:color="auto"/>
              <w:bottom w:val="single" w:sz="4" w:space="0" w:color="auto"/>
              <w:right w:val="single" w:sz="4" w:space="0" w:color="auto"/>
            </w:tcBorders>
            <w:shd w:val="clear" w:color="000000" w:fill="DAE9F8"/>
            <w:noWrap/>
            <w:vAlign w:val="center"/>
            <w:hideMark/>
          </w:tcPr>
          <w:p w14:paraId="70D3D720" w14:textId="06147B59" w:rsidR="00252D79" w:rsidRPr="00FC4C41" w:rsidRDefault="00ED55AA">
            <w:pPr>
              <w:spacing w:after="0" w:line="240" w:lineRule="auto"/>
              <w:rPr>
                <w:rFonts w:ascii="Aptos Narrow" w:eastAsia="Times New Roman" w:hAnsi="Aptos Narrow" w:cs="Times New Roman"/>
                <w:b/>
                <w:bCs/>
                <w:color w:val="000000"/>
                <w:kern w:val="0"/>
                <w:sz w:val="28"/>
                <w:szCs w:val="28"/>
                <w:lang w:eastAsia="en-GB"/>
                <w14:ligatures w14:val="none"/>
              </w:rPr>
            </w:pPr>
            <w:r>
              <w:rPr>
                <w:rFonts w:ascii="Aptos Narrow" w:eastAsia="Times New Roman" w:hAnsi="Aptos Narrow" w:cs="Times New Roman"/>
                <w:b/>
                <w:bCs/>
                <w:color w:val="000000"/>
                <w:kern w:val="0"/>
                <w:sz w:val="28"/>
                <w:szCs w:val="28"/>
                <w:lang w:eastAsia="en-GB"/>
                <w14:ligatures w14:val="none"/>
              </w:rPr>
              <w:t xml:space="preserve">Training </w:t>
            </w:r>
            <w:r w:rsidR="00252D79" w:rsidRPr="00FC4C41">
              <w:rPr>
                <w:rFonts w:ascii="Aptos Narrow" w:eastAsia="Times New Roman" w:hAnsi="Aptos Narrow" w:cs="Times New Roman"/>
                <w:b/>
                <w:bCs/>
                <w:color w:val="000000"/>
                <w:kern w:val="0"/>
                <w:sz w:val="28"/>
                <w:szCs w:val="28"/>
                <w:lang w:eastAsia="en-GB"/>
                <w14:ligatures w14:val="none"/>
              </w:rPr>
              <w:t>Resource</w:t>
            </w:r>
          </w:p>
        </w:tc>
        <w:tc>
          <w:tcPr>
            <w:tcW w:w="3620" w:type="dxa"/>
            <w:tcBorders>
              <w:top w:val="single" w:sz="4" w:space="0" w:color="auto"/>
              <w:left w:val="nil"/>
              <w:bottom w:val="single" w:sz="4" w:space="0" w:color="auto"/>
              <w:right w:val="single" w:sz="4" w:space="0" w:color="auto"/>
            </w:tcBorders>
            <w:shd w:val="clear" w:color="000000" w:fill="DAE9F8"/>
            <w:noWrap/>
            <w:vAlign w:val="center"/>
            <w:hideMark/>
          </w:tcPr>
          <w:p w14:paraId="09F0CAE2" w14:textId="7189220A" w:rsidR="00252D79" w:rsidRPr="00FC4C41" w:rsidRDefault="00C378CA">
            <w:pPr>
              <w:spacing w:after="0" w:line="240" w:lineRule="auto"/>
              <w:rPr>
                <w:rFonts w:ascii="Aptos Narrow" w:eastAsia="Times New Roman" w:hAnsi="Aptos Narrow" w:cs="Times New Roman"/>
                <w:b/>
                <w:bCs/>
                <w:color w:val="000000"/>
                <w:kern w:val="0"/>
                <w:sz w:val="28"/>
                <w:szCs w:val="28"/>
                <w:lang w:eastAsia="en-GB"/>
                <w14:ligatures w14:val="none"/>
              </w:rPr>
            </w:pPr>
            <w:r>
              <w:rPr>
                <w:rFonts w:ascii="Aptos Narrow" w:eastAsia="Times New Roman" w:hAnsi="Aptos Narrow" w:cs="Times New Roman"/>
                <w:b/>
                <w:bCs/>
                <w:color w:val="000000"/>
                <w:kern w:val="0"/>
                <w:sz w:val="28"/>
                <w:szCs w:val="28"/>
                <w:lang w:eastAsia="en-GB"/>
                <w14:ligatures w14:val="none"/>
              </w:rPr>
              <w:t xml:space="preserve">Target </w:t>
            </w:r>
            <w:r w:rsidR="000E2EBD">
              <w:rPr>
                <w:rFonts w:ascii="Aptos Narrow" w:eastAsia="Times New Roman" w:hAnsi="Aptos Narrow" w:cs="Times New Roman"/>
                <w:b/>
                <w:bCs/>
                <w:color w:val="000000"/>
                <w:kern w:val="0"/>
                <w:sz w:val="28"/>
                <w:szCs w:val="28"/>
                <w:lang w:eastAsia="en-GB"/>
                <w14:ligatures w14:val="none"/>
              </w:rPr>
              <w:t>Participant</w:t>
            </w:r>
          </w:p>
        </w:tc>
        <w:tc>
          <w:tcPr>
            <w:tcW w:w="2520" w:type="dxa"/>
            <w:tcBorders>
              <w:top w:val="single" w:sz="4" w:space="0" w:color="auto"/>
              <w:left w:val="nil"/>
              <w:bottom w:val="single" w:sz="4" w:space="0" w:color="auto"/>
              <w:right w:val="single" w:sz="4" w:space="0" w:color="auto"/>
            </w:tcBorders>
            <w:shd w:val="clear" w:color="000000" w:fill="DAE9F8"/>
            <w:noWrap/>
            <w:vAlign w:val="center"/>
            <w:hideMark/>
          </w:tcPr>
          <w:p w14:paraId="75A3F513" w14:textId="6E332CB8" w:rsidR="00252D79" w:rsidRPr="00FC4C41" w:rsidRDefault="00252D79">
            <w:pPr>
              <w:spacing w:after="0" w:line="240" w:lineRule="auto"/>
              <w:rPr>
                <w:rFonts w:ascii="Aptos Narrow" w:eastAsia="Times New Roman" w:hAnsi="Aptos Narrow" w:cs="Times New Roman"/>
                <w:b/>
                <w:bCs/>
                <w:color w:val="000000"/>
                <w:kern w:val="0"/>
                <w:sz w:val="28"/>
                <w:szCs w:val="28"/>
                <w:lang w:eastAsia="en-GB"/>
                <w14:ligatures w14:val="none"/>
              </w:rPr>
            </w:pPr>
            <w:r w:rsidRPr="00FC4C41">
              <w:rPr>
                <w:rFonts w:ascii="Aptos Narrow" w:eastAsia="Times New Roman" w:hAnsi="Aptos Narrow" w:cs="Times New Roman"/>
                <w:b/>
                <w:bCs/>
                <w:color w:val="000000"/>
                <w:kern w:val="0"/>
                <w:sz w:val="28"/>
                <w:szCs w:val="28"/>
                <w:lang w:eastAsia="en-GB"/>
                <w14:ligatures w14:val="none"/>
              </w:rPr>
              <w:t>Location</w:t>
            </w:r>
            <w:r w:rsidR="00620A37">
              <w:rPr>
                <w:rFonts w:ascii="Aptos Narrow" w:eastAsia="Times New Roman" w:hAnsi="Aptos Narrow" w:cs="Times New Roman"/>
                <w:b/>
                <w:bCs/>
                <w:color w:val="000000"/>
                <w:kern w:val="0"/>
                <w:sz w:val="28"/>
                <w:szCs w:val="28"/>
                <w:lang w:eastAsia="en-GB"/>
                <w14:ligatures w14:val="none"/>
              </w:rPr>
              <w:t xml:space="preserve"> of training</w:t>
            </w:r>
          </w:p>
        </w:tc>
        <w:tc>
          <w:tcPr>
            <w:tcW w:w="4383" w:type="dxa"/>
            <w:tcBorders>
              <w:top w:val="single" w:sz="4" w:space="0" w:color="auto"/>
              <w:left w:val="nil"/>
              <w:bottom w:val="single" w:sz="4" w:space="0" w:color="auto"/>
              <w:right w:val="single" w:sz="4" w:space="0" w:color="auto"/>
            </w:tcBorders>
            <w:shd w:val="clear" w:color="000000" w:fill="DAE9F8"/>
            <w:vAlign w:val="center"/>
            <w:hideMark/>
          </w:tcPr>
          <w:p w14:paraId="2DFDC3DA" w14:textId="2E7F96F7" w:rsidR="00252D79" w:rsidRPr="00FC4C41" w:rsidRDefault="00252D79">
            <w:pPr>
              <w:spacing w:after="0" w:line="240" w:lineRule="auto"/>
              <w:rPr>
                <w:rFonts w:ascii="Aptos Narrow" w:eastAsia="Times New Roman" w:hAnsi="Aptos Narrow" w:cs="Times New Roman"/>
                <w:b/>
                <w:bCs/>
                <w:color w:val="000000"/>
                <w:kern w:val="0"/>
                <w:sz w:val="28"/>
                <w:szCs w:val="28"/>
                <w:lang w:eastAsia="en-GB"/>
                <w14:ligatures w14:val="none"/>
              </w:rPr>
            </w:pPr>
            <w:r w:rsidRPr="00FC4C41">
              <w:rPr>
                <w:rFonts w:ascii="Aptos Narrow" w:eastAsia="Times New Roman" w:hAnsi="Aptos Narrow" w:cs="Times New Roman"/>
                <w:b/>
                <w:bCs/>
                <w:color w:val="000000"/>
                <w:kern w:val="0"/>
                <w:sz w:val="28"/>
                <w:szCs w:val="28"/>
                <w:lang w:eastAsia="en-GB"/>
                <w14:ligatures w14:val="none"/>
              </w:rPr>
              <w:t xml:space="preserve">Data </w:t>
            </w:r>
            <w:r w:rsidR="00620A37">
              <w:rPr>
                <w:rFonts w:ascii="Aptos Narrow" w:eastAsia="Times New Roman" w:hAnsi="Aptos Narrow" w:cs="Times New Roman"/>
                <w:b/>
                <w:bCs/>
                <w:color w:val="000000"/>
                <w:kern w:val="0"/>
                <w:sz w:val="28"/>
                <w:szCs w:val="28"/>
                <w:lang w:eastAsia="en-GB"/>
                <w14:ligatures w14:val="none"/>
              </w:rPr>
              <w:t>collection</w:t>
            </w:r>
            <w:r w:rsidRPr="00FC4C41">
              <w:rPr>
                <w:rFonts w:ascii="Aptos Narrow" w:eastAsia="Times New Roman" w:hAnsi="Aptos Narrow" w:cs="Times New Roman"/>
                <w:b/>
                <w:bCs/>
                <w:color w:val="000000"/>
                <w:kern w:val="0"/>
                <w:sz w:val="28"/>
                <w:szCs w:val="28"/>
                <w:lang w:eastAsia="en-GB"/>
                <w14:ligatures w14:val="none"/>
              </w:rPr>
              <w:t xml:space="preserve"> available</w:t>
            </w:r>
          </w:p>
        </w:tc>
      </w:tr>
      <w:tr w:rsidR="008D27B4" w:rsidRPr="00FC4C41" w14:paraId="0B2C7D4E" w14:textId="77777777" w:rsidTr="00252D79">
        <w:trPr>
          <w:trHeight w:val="290"/>
        </w:trPr>
        <w:tc>
          <w:tcPr>
            <w:tcW w:w="4220" w:type="dxa"/>
            <w:tcBorders>
              <w:top w:val="nil"/>
              <w:left w:val="single" w:sz="4" w:space="0" w:color="auto"/>
              <w:bottom w:val="single" w:sz="4" w:space="0" w:color="auto"/>
              <w:right w:val="single" w:sz="4" w:space="0" w:color="auto"/>
            </w:tcBorders>
            <w:noWrap/>
            <w:hideMark/>
          </w:tcPr>
          <w:p w14:paraId="2DA4A14A" w14:textId="436EEE73" w:rsidR="00252D79" w:rsidRPr="00FC4C41" w:rsidRDefault="00630F85">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Introduction to </w:t>
            </w:r>
            <w:r w:rsidR="00252D79" w:rsidRPr="00FC4C41">
              <w:rPr>
                <w:rFonts w:ascii="Aptos Narrow" w:eastAsia="Times New Roman" w:hAnsi="Aptos Narrow" w:cs="Times New Roman"/>
                <w:color w:val="000000"/>
                <w:kern w:val="0"/>
                <w:lang w:eastAsia="en-GB"/>
                <w14:ligatures w14:val="none"/>
              </w:rPr>
              <w:t>Workforce Planning</w:t>
            </w:r>
          </w:p>
        </w:tc>
        <w:tc>
          <w:tcPr>
            <w:tcW w:w="3620" w:type="dxa"/>
            <w:tcBorders>
              <w:top w:val="nil"/>
              <w:left w:val="nil"/>
              <w:bottom w:val="single" w:sz="4" w:space="0" w:color="auto"/>
              <w:right w:val="single" w:sz="4" w:space="0" w:color="auto"/>
            </w:tcBorders>
            <w:noWrap/>
            <w:hideMark/>
          </w:tcPr>
          <w:p w14:paraId="1FCC5DD7" w14:textId="10FA665C" w:rsidR="00252D79" w:rsidRPr="00FC4C41" w:rsidRDefault="000E2EBD">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All NHS Wales </w:t>
            </w:r>
            <w:r w:rsidR="00776E39">
              <w:rPr>
                <w:rFonts w:ascii="Aptos Narrow" w:eastAsia="Times New Roman" w:hAnsi="Aptos Narrow" w:cs="Times New Roman"/>
                <w:color w:val="000000"/>
                <w:kern w:val="0"/>
                <w:lang w:eastAsia="en-GB"/>
                <w14:ligatures w14:val="none"/>
              </w:rPr>
              <w:t>plus those who can access the Y Ty Dysgu online portal</w:t>
            </w:r>
          </w:p>
        </w:tc>
        <w:tc>
          <w:tcPr>
            <w:tcW w:w="2520" w:type="dxa"/>
            <w:tcBorders>
              <w:top w:val="nil"/>
              <w:left w:val="nil"/>
              <w:bottom w:val="single" w:sz="4" w:space="0" w:color="auto"/>
              <w:right w:val="single" w:sz="4" w:space="0" w:color="auto"/>
            </w:tcBorders>
            <w:hideMark/>
          </w:tcPr>
          <w:p w14:paraId="7E38BF4B" w14:textId="5268608F" w:rsidR="00252D79" w:rsidRPr="00FC4C41" w:rsidRDefault="00A935C3">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Y Ty Dysgu website</w:t>
            </w:r>
          </w:p>
        </w:tc>
        <w:tc>
          <w:tcPr>
            <w:tcW w:w="4383" w:type="dxa"/>
            <w:tcBorders>
              <w:top w:val="nil"/>
              <w:left w:val="nil"/>
              <w:bottom w:val="single" w:sz="4" w:space="0" w:color="auto"/>
              <w:right w:val="single" w:sz="4" w:space="0" w:color="auto"/>
            </w:tcBorders>
            <w:hideMark/>
          </w:tcPr>
          <w:p w14:paraId="620F974E" w14:textId="673A9836" w:rsidR="00252D79" w:rsidRPr="00FC4C41" w:rsidRDefault="00835161">
            <w:pPr>
              <w:spacing w:after="0" w:line="240" w:lineRule="auto"/>
              <w:rPr>
                <w:rFonts w:ascii="Aptos Narrow" w:eastAsia="Times New Roman" w:hAnsi="Aptos Narrow" w:cs="Times New Roman"/>
                <w:color w:val="000000"/>
                <w:kern w:val="0"/>
                <w:lang w:eastAsia="en-GB"/>
                <w14:ligatures w14:val="none"/>
              </w:rPr>
            </w:pPr>
            <w:r w:rsidRPr="00FC4C41">
              <w:rPr>
                <w:rFonts w:ascii="Aptos Narrow" w:eastAsia="Times New Roman" w:hAnsi="Aptos Narrow" w:cs="Times New Roman"/>
                <w:color w:val="000000"/>
                <w:kern w:val="0"/>
                <w:lang w:eastAsia="en-GB"/>
                <w14:ligatures w14:val="none"/>
              </w:rPr>
              <w:t>Number enrolled, Views</w:t>
            </w:r>
            <w:r>
              <w:rPr>
                <w:rFonts w:ascii="Aptos Narrow" w:eastAsia="Times New Roman" w:hAnsi="Aptos Narrow" w:cs="Times New Roman"/>
                <w:color w:val="000000"/>
                <w:kern w:val="0"/>
                <w:lang w:eastAsia="en-GB"/>
                <w14:ligatures w14:val="none"/>
              </w:rPr>
              <w:t>, evaluation</w:t>
            </w:r>
          </w:p>
        </w:tc>
      </w:tr>
      <w:tr w:rsidR="008D27B4" w:rsidRPr="00FC4C41" w14:paraId="1859F595" w14:textId="77777777" w:rsidTr="00252D79">
        <w:trPr>
          <w:trHeight w:val="290"/>
        </w:trPr>
        <w:tc>
          <w:tcPr>
            <w:tcW w:w="4220" w:type="dxa"/>
            <w:tcBorders>
              <w:top w:val="nil"/>
              <w:left w:val="single" w:sz="4" w:space="0" w:color="auto"/>
              <w:bottom w:val="single" w:sz="4" w:space="0" w:color="auto"/>
              <w:right w:val="single" w:sz="4" w:space="0" w:color="auto"/>
            </w:tcBorders>
            <w:noWrap/>
            <w:hideMark/>
          </w:tcPr>
          <w:p w14:paraId="6E64FF27" w14:textId="77777777" w:rsidR="00252D79" w:rsidRPr="00FC4C41" w:rsidRDefault="00252D79">
            <w:pPr>
              <w:spacing w:after="0" w:line="240" w:lineRule="auto"/>
              <w:rPr>
                <w:rFonts w:ascii="Aptos Narrow" w:eastAsia="Times New Roman" w:hAnsi="Aptos Narrow" w:cs="Times New Roman"/>
                <w:color w:val="000000"/>
                <w:kern w:val="0"/>
                <w:lang w:eastAsia="en-GB"/>
                <w14:ligatures w14:val="none"/>
              </w:rPr>
            </w:pPr>
            <w:r w:rsidRPr="00FC4C41">
              <w:rPr>
                <w:rFonts w:ascii="Aptos Narrow" w:eastAsia="Times New Roman" w:hAnsi="Aptos Narrow" w:cs="Times New Roman"/>
                <w:color w:val="000000"/>
                <w:kern w:val="0"/>
                <w:lang w:eastAsia="en-GB"/>
                <w14:ligatures w14:val="none"/>
              </w:rPr>
              <w:t>Workforce Planning for the Welsh Language</w:t>
            </w:r>
          </w:p>
        </w:tc>
        <w:tc>
          <w:tcPr>
            <w:tcW w:w="3620" w:type="dxa"/>
            <w:tcBorders>
              <w:top w:val="nil"/>
              <w:left w:val="nil"/>
              <w:bottom w:val="single" w:sz="4" w:space="0" w:color="auto"/>
              <w:right w:val="single" w:sz="4" w:space="0" w:color="auto"/>
            </w:tcBorders>
            <w:noWrap/>
            <w:hideMark/>
          </w:tcPr>
          <w:p w14:paraId="339D7EBE" w14:textId="4E8E7CD2" w:rsidR="00252D79" w:rsidRPr="00FC4C41" w:rsidRDefault="00776E39">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All NHS Wales plus those who can access the Y Ty Dysgu online portal</w:t>
            </w:r>
          </w:p>
        </w:tc>
        <w:tc>
          <w:tcPr>
            <w:tcW w:w="2520" w:type="dxa"/>
            <w:tcBorders>
              <w:top w:val="nil"/>
              <w:left w:val="nil"/>
              <w:bottom w:val="single" w:sz="4" w:space="0" w:color="auto"/>
              <w:right w:val="single" w:sz="4" w:space="0" w:color="auto"/>
            </w:tcBorders>
            <w:hideMark/>
          </w:tcPr>
          <w:p w14:paraId="3C14175D" w14:textId="128465DE" w:rsidR="00252D79" w:rsidRPr="00FC4C41" w:rsidRDefault="00467C42">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Y Ty Dysgu website</w:t>
            </w:r>
          </w:p>
        </w:tc>
        <w:tc>
          <w:tcPr>
            <w:tcW w:w="4383" w:type="dxa"/>
            <w:tcBorders>
              <w:top w:val="nil"/>
              <w:left w:val="nil"/>
              <w:bottom w:val="single" w:sz="4" w:space="0" w:color="auto"/>
              <w:right w:val="single" w:sz="4" w:space="0" w:color="auto"/>
            </w:tcBorders>
            <w:hideMark/>
          </w:tcPr>
          <w:p w14:paraId="69D12A8B" w14:textId="593CE91A" w:rsidR="00252D79" w:rsidRPr="00FC4C41" w:rsidRDefault="00252D79">
            <w:pPr>
              <w:spacing w:after="0" w:line="240" w:lineRule="auto"/>
              <w:rPr>
                <w:rFonts w:ascii="Aptos Narrow" w:eastAsia="Times New Roman" w:hAnsi="Aptos Narrow" w:cs="Times New Roman"/>
                <w:color w:val="000000"/>
                <w:kern w:val="0"/>
                <w:lang w:eastAsia="en-GB"/>
                <w14:ligatures w14:val="none"/>
              </w:rPr>
            </w:pPr>
            <w:r w:rsidRPr="00FC4C41">
              <w:rPr>
                <w:rFonts w:ascii="Aptos Narrow" w:eastAsia="Times New Roman" w:hAnsi="Aptos Narrow" w:cs="Times New Roman"/>
                <w:color w:val="000000"/>
                <w:kern w:val="0"/>
                <w:lang w:eastAsia="en-GB"/>
                <w14:ligatures w14:val="none"/>
              </w:rPr>
              <w:t>Number enrolled, Views</w:t>
            </w:r>
            <w:r w:rsidR="00A95E00">
              <w:rPr>
                <w:rFonts w:ascii="Aptos Narrow" w:eastAsia="Times New Roman" w:hAnsi="Aptos Narrow" w:cs="Times New Roman"/>
                <w:color w:val="000000"/>
                <w:kern w:val="0"/>
                <w:lang w:eastAsia="en-GB"/>
                <w14:ligatures w14:val="none"/>
              </w:rPr>
              <w:t>, evaluation</w:t>
            </w:r>
          </w:p>
        </w:tc>
      </w:tr>
      <w:tr w:rsidR="00C20CA7" w:rsidRPr="00FC4C41" w14:paraId="573757D0" w14:textId="77777777" w:rsidTr="008677BA">
        <w:trPr>
          <w:trHeight w:val="290"/>
        </w:trPr>
        <w:tc>
          <w:tcPr>
            <w:tcW w:w="4220" w:type="dxa"/>
            <w:tcBorders>
              <w:top w:val="nil"/>
              <w:left w:val="single" w:sz="4" w:space="0" w:color="auto"/>
              <w:bottom w:val="nil"/>
              <w:right w:val="single" w:sz="4" w:space="0" w:color="auto"/>
            </w:tcBorders>
            <w:noWrap/>
          </w:tcPr>
          <w:p w14:paraId="48DCA7C2" w14:textId="640B1F2D" w:rsidR="00C20CA7" w:rsidRDefault="00C20CA7" w:rsidP="00C20CA7">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Primary Care Workforce Planning </w:t>
            </w:r>
          </w:p>
        </w:tc>
        <w:tc>
          <w:tcPr>
            <w:tcW w:w="3620" w:type="dxa"/>
            <w:tcBorders>
              <w:top w:val="nil"/>
              <w:left w:val="nil"/>
              <w:bottom w:val="nil"/>
              <w:right w:val="single" w:sz="4" w:space="0" w:color="auto"/>
            </w:tcBorders>
            <w:noWrap/>
          </w:tcPr>
          <w:p w14:paraId="541CA301" w14:textId="19B7FBA2" w:rsidR="00C20CA7" w:rsidRDefault="00C20CA7" w:rsidP="00C20CA7">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All NHS Wales plus those who can access the Y Ty Dysgu online portal</w:t>
            </w:r>
          </w:p>
        </w:tc>
        <w:tc>
          <w:tcPr>
            <w:tcW w:w="2520" w:type="dxa"/>
            <w:tcBorders>
              <w:top w:val="nil"/>
              <w:left w:val="nil"/>
              <w:bottom w:val="nil"/>
              <w:right w:val="single" w:sz="4" w:space="0" w:color="auto"/>
            </w:tcBorders>
          </w:tcPr>
          <w:p w14:paraId="69A63BEC" w14:textId="423D3A1D" w:rsidR="00C20CA7" w:rsidRDefault="00C20CA7" w:rsidP="00C20CA7">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Y Ty Dysgu website and HEIW website</w:t>
            </w:r>
          </w:p>
        </w:tc>
        <w:tc>
          <w:tcPr>
            <w:tcW w:w="4383" w:type="dxa"/>
            <w:tcBorders>
              <w:top w:val="nil"/>
              <w:left w:val="nil"/>
              <w:bottom w:val="nil"/>
              <w:right w:val="single" w:sz="4" w:space="0" w:color="auto"/>
            </w:tcBorders>
          </w:tcPr>
          <w:p w14:paraId="2955AF6B" w14:textId="41EB3038" w:rsidR="00C20CA7" w:rsidRPr="00FC4C41" w:rsidRDefault="00C20CA7" w:rsidP="00C20CA7">
            <w:pPr>
              <w:spacing w:after="0" w:line="240" w:lineRule="auto"/>
              <w:rPr>
                <w:rFonts w:ascii="Aptos Narrow" w:eastAsia="Times New Roman" w:hAnsi="Aptos Narrow" w:cs="Times New Roman"/>
                <w:color w:val="000000"/>
                <w:kern w:val="0"/>
                <w:lang w:eastAsia="en-GB"/>
                <w14:ligatures w14:val="none"/>
              </w:rPr>
            </w:pPr>
            <w:r w:rsidRPr="00FC4C41">
              <w:rPr>
                <w:rFonts w:ascii="Aptos Narrow" w:eastAsia="Times New Roman" w:hAnsi="Aptos Narrow" w:cs="Times New Roman"/>
                <w:color w:val="000000"/>
                <w:kern w:val="0"/>
                <w:lang w:eastAsia="en-GB"/>
                <w14:ligatures w14:val="none"/>
              </w:rPr>
              <w:t>Number enrolled, Views</w:t>
            </w:r>
            <w:r>
              <w:rPr>
                <w:rFonts w:ascii="Aptos Narrow" w:eastAsia="Times New Roman" w:hAnsi="Aptos Narrow" w:cs="Times New Roman"/>
                <w:color w:val="000000"/>
                <w:kern w:val="0"/>
                <w:lang w:eastAsia="en-GB"/>
                <w14:ligatures w14:val="none"/>
              </w:rPr>
              <w:t>, evaluation</w:t>
            </w:r>
          </w:p>
        </w:tc>
      </w:tr>
      <w:tr w:rsidR="00C20CA7" w:rsidRPr="00FC4C41" w14:paraId="79788082" w14:textId="77777777" w:rsidTr="00C378CA">
        <w:trPr>
          <w:trHeight w:val="290"/>
        </w:trPr>
        <w:tc>
          <w:tcPr>
            <w:tcW w:w="4220" w:type="dxa"/>
            <w:tcBorders>
              <w:top w:val="nil"/>
              <w:left w:val="single" w:sz="4" w:space="0" w:color="auto"/>
              <w:bottom w:val="single" w:sz="4" w:space="0" w:color="auto"/>
              <w:right w:val="single" w:sz="4" w:space="0" w:color="auto"/>
            </w:tcBorders>
            <w:noWrap/>
          </w:tcPr>
          <w:p w14:paraId="5991CC55" w14:textId="3EFFEAF7" w:rsidR="00C20CA7" w:rsidRPr="00FC4C41" w:rsidRDefault="00C20CA7" w:rsidP="00C20CA7">
            <w:pPr>
              <w:spacing w:after="0" w:line="240" w:lineRule="auto"/>
              <w:rPr>
                <w:rFonts w:ascii="Aptos Narrow" w:eastAsia="Times New Roman" w:hAnsi="Aptos Narrow" w:cs="Times New Roman"/>
                <w:color w:val="000000"/>
                <w:kern w:val="0"/>
                <w:lang w:eastAsia="en-GB"/>
                <w14:ligatures w14:val="none"/>
              </w:rPr>
            </w:pPr>
          </w:p>
        </w:tc>
        <w:tc>
          <w:tcPr>
            <w:tcW w:w="3620" w:type="dxa"/>
            <w:tcBorders>
              <w:top w:val="nil"/>
              <w:left w:val="nil"/>
              <w:bottom w:val="single" w:sz="4" w:space="0" w:color="auto"/>
              <w:right w:val="single" w:sz="4" w:space="0" w:color="auto"/>
            </w:tcBorders>
            <w:noWrap/>
          </w:tcPr>
          <w:p w14:paraId="4958BB56" w14:textId="70F3408A" w:rsidR="00C20CA7" w:rsidRPr="00FC4C41" w:rsidRDefault="00C20CA7" w:rsidP="00C20CA7">
            <w:pPr>
              <w:spacing w:after="0" w:line="240" w:lineRule="auto"/>
              <w:rPr>
                <w:rFonts w:ascii="Aptos Narrow" w:eastAsia="Times New Roman" w:hAnsi="Aptos Narrow" w:cs="Times New Roman"/>
                <w:color w:val="000000"/>
                <w:kern w:val="0"/>
                <w:lang w:eastAsia="en-GB"/>
                <w14:ligatures w14:val="none"/>
              </w:rPr>
            </w:pPr>
          </w:p>
        </w:tc>
        <w:tc>
          <w:tcPr>
            <w:tcW w:w="2520" w:type="dxa"/>
            <w:tcBorders>
              <w:top w:val="nil"/>
              <w:left w:val="nil"/>
              <w:bottom w:val="single" w:sz="4" w:space="0" w:color="auto"/>
              <w:right w:val="single" w:sz="4" w:space="0" w:color="auto"/>
            </w:tcBorders>
          </w:tcPr>
          <w:p w14:paraId="6C179FA4" w14:textId="06D9EA04" w:rsidR="00C20CA7" w:rsidRPr="00FC4C41" w:rsidRDefault="00C20CA7" w:rsidP="00C20CA7">
            <w:pPr>
              <w:spacing w:after="0" w:line="240" w:lineRule="auto"/>
              <w:rPr>
                <w:rFonts w:ascii="Aptos Narrow" w:eastAsia="Times New Roman" w:hAnsi="Aptos Narrow" w:cs="Times New Roman"/>
                <w:color w:val="000000"/>
                <w:kern w:val="0"/>
                <w:lang w:eastAsia="en-GB"/>
                <w14:ligatures w14:val="none"/>
              </w:rPr>
            </w:pPr>
          </w:p>
        </w:tc>
        <w:tc>
          <w:tcPr>
            <w:tcW w:w="4383" w:type="dxa"/>
            <w:tcBorders>
              <w:top w:val="nil"/>
              <w:left w:val="nil"/>
              <w:bottom w:val="single" w:sz="4" w:space="0" w:color="auto"/>
              <w:right w:val="single" w:sz="4" w:space="0" w:color="auto"/>
            </w:tcBorders>
          </w:tcPr>
          <w:p w14:paraId="615448C4" w14:textId="1AFD6A0B" w:rsidR="00C20CA7" w:rsidRPr="00FC4C41" w:rsidRDefault="00C20CA7" w:rsidP="00C20CA7">
            <w:pPr>
              <w:spacing w:after="0" w:line="240" w:lineRule="auto"/>
              <w:rPr>
                <w:rFonts w:ascii="Aptos Narrow" w:eastAsia="Times New Roman" w:hAnsi="Aptos Narrow" w:cs="Times New Roman"/>
                <w:color w:val="000000"/>
                <w:kern w:val="0"/>
                <w:lang w:eastAsia="en-GB"/>
                <w14:ligatures w14:val="none"/>
              </w:rPr>
            </w:pPr>
          </w:p>
        </w:tc>
      </w:tr>
      <w:tr w:rsidR="00C20CA7" w:rsidRPr="00FC4C41" w14:paraId="3C17E879" w14:textId="77777777" w:rsidTr="00C378CA">
        <w:trPr>
          <w:trHeight w:val="290"/>
        </w:trPr>
        <w:tc>
          <w:tcPr>
            <w:tcW w:w="4220" w:type="dxa"/>
            <w:tcBorders>
              <w:top w:val="single" w:sz="4" w:space="0" w:color="auto"/>
              <w:left w:val="single" w:sz="4" w:space="0" w:color="auto"/>
              <w:bottom w:val="single" w:sz="4" w:space="0" w:color="auto"/>
              <w:right w:val="single" w:sz="4" w:space="0" w:color="auto"/>
            </w:tcBorders>
            <w:noWrap/>
          </w:tcPr>
          <w:p w14:paraId="18704C6C" w14:textId="60B384F0" w:rsidR="00C20CA7" w:rsidRDefault="00C20CA7" w:rsidP="00C20CA7">
            <w:pPr>
              <w:spacing w:after="0" w:line="240" w:lineRule="auto"/>
              <w:rPr>
                <w:rFonts w:ascii="Aptos Narrow" w:eastAsia="Times New Roman" w:hAnsi="Aptos Narrow" w:cs="Times New Roman"/>
                <w:color w:val="000000"/>
                <w:kern w:val="0"/>
                <w:lang w:eastAsia="en-GB"/>
                <w14:ligatures w14:val="none"/>
              </w:rPr>
            </w:pPr>
            <w:r w:rsidRPr="00FC4C41">
              <w:rPr>
                <w:rFonts w:ascii="Aptos Narrow" w:eastAsia="Times New Roman" w:hAnsi="Aptos Narrow" w:cs="Times New Roman"/>
                <w:color w:val="000000"/>
                <w:kern w:val="0"/>
                <w:lang w:eastAsia="en-GB"/>
                <w14:ligatures w14:val="none"/>
              </w:rPr>
              <w:t>Strategic Mental Health Workforce Plan</w:t>
            </w:r>
            <w:r>
              <w:rPr>
                <w:rFonts w:ascii="Aptos Narrow" w:eastAsia="Times New Roman" w:hAnsi="Aptos Narrow" w:cs="Times New Roman"/>
                <w:color w:val="000000"/>
                <w:kern w:val="0"/>
                <w:lang w:eastAsia="en-GB"/>
                <w14:ligatures w14:val="none"/>
              </w:rPr>
              <w:t>ning</w:t>
            </w:r>
          </w:p>
        </w:tc>
        <w:tc>
          <w:tcPr>
            <w:tcW w:w="3620" w:type="dxa"/>
            <w:tcBorders>
              <w:top w:val="single" w:sz="4" w:space="0" w:color="auto"/>
              <w:left w:val="nil"/>
              <w:bottom w:val="single" w:sz="4" w:space="0" w:color="auto"/>
              <w:right w:val="single" w:sz="4" w:space="0" w:color="auto"/>
            </w:tcBorders>
            <w:noWrap/>
          </w:tcPr>
          <w:p w14:paraId="27309797" w14:textId="61FFE0C0" w:rsidR="00C20CA7" w:rsidRDefault="00C20CA7" w:rsidP="00C20CA7">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NHS Wales Mental Health practitioners</w:t>
            </w:r>
          </w:p>
        </w:tc>
        <w:tc>
          <w:tcPr>
            <w:tcW w:w="2520" w:type="dxa"/>
            <w:tcBorders>
              <w:top w:val="single" w:sz="4" w:space="0" w:color="auto"/>
              <w:left w:val="nil"/>
              <w:bottom w:val="single" w:sz="4" w:space="0" w:color="auto"/>
              <w:right w:val="single" w:sz="4" w:space="0" w:color="auto"/>
            </w:tcBorders>
          </w:tcPr>
          <w:p w14:paraId="0E3432DB" w14:textId="305DFF5E" w:rsidR="00C20CA7" w:rsidRDefault="00C20CA7" w:rsidP="00C20CA7">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Bespoke o</w:t>
            </w:r>
            <w:r w:rsidRPr="00FC4C41">
              <w:rPr>
                <w:rFonts w:ascii="Aptos Narrow" w:eastAsia="Times New Roman" w:hAnsi="Aptos Narrow" w:cs="Times New Roman"/>
                <w:color w:val="000000"/>
                <w:kern w:val="0"/>
                <w:lang w:eastAsia="en-GB"/>
                <w14:ligatures w14:val="none"/>
              </w:rPr>
              <w:t>nline</w:t>
            </w:r>
            <w:r>
              <w:rPr>
                <w:rFonts w:ascii="Aptos Narrow" w:eastAsia="Times New Roman" w:hAnsi="Aptos Narrow" w:cs="Times New Roman"/>
                <w:color w:val="000000"/>
                <w:kern w:val="0"/>
                <w:lang w:eastAsia="en-GB"/>
                <w14:ligatures w14:val="none"/>
              </w:rPr>
              <w:t xml:space="preserve"> sessions</w:t>
            </w:r>
          </w:p>
        </w:tc>
        <w:tc>
          <w:tcPr>
            <w:tcW w:w="4383" w:type="dxa"/>
            <w:tcBorders>
              <w:top w:val="single" w:sz="4" w:space="0" w:color="auto"/>
              <w:left w:val="nil"/>
              <w:bottom w:val="single" w:sz="4" w:space="0" w:color="auto"/>
              <w:right w:val="single" w:sz="4" w:space="0" w:color="auto"/>
            </w:tcBorders>
          </w:tcPr>
          <w:p w14:paraId="038FBB7A" w14:textId="211A75EB" w:rsidR="00C20CA7" w:rsidRPr="00FC4C41" w:rsidRDefault="00C20CA7" w:rsidP="00C20CA7">
            <w:pPr>
              <w:spacing w:after="0" w:line="240" w:lineRule="auto"/>
              <w:rPr>
                <w:rFonts w:ascii="Aptos Narrow" w:eastAsia="Times New Roman" w:hAnsi="Aptos Narrow" w:cs="Times New Roman"/>
                <w:color w:val="000000"/>
                <w:kern w:val="0"/>
                <w:lang w:eastAsia="en-GB"/>
                <w14:ligatures w14:val="none"/>
              </w:rPr>
            </w:pPr>
            <w:r w:rsidRPr="00FC4C41">
              <w:rPr>
                <w:rFonts w:ascii="Aptos Narrow" w:eastAsia="Times New Roman" w:hAnsi="Aptos Narrow" w:cs="Times New Roman"/>
                <w:color w:val="000000"/>
                <w:kern w:val="0"/>
                <w:lang w:eastAsia="en-GB"/>
                <w14:ligatures w14:val="none"/>
              </w:rPr>
              <w:t>Attendees &amp; Evaluation</w:t>
            </w:r>
          </w:p>
        </w:tc>
      </w:tr>
    </w:tbl>
    <w:p w14:paraId="585D871A" w14:textId="667ECE1F" w:rsidR="0003665A" w:rsidRPr="005133B1" w:rsidRDefault="0003665A" w:rsidP="005133B1">
      <w:pPr>
        <w:spacing w:line="360" w:lineRule="auto"/>
        <w:jc w:val="both"/>
        <w:rPr>
          <w:noProof/>
        </w:rPr>
      </w:pPr>
    </w:p>
    <w:sectPr w:rsidR="0003665A" w:rsidRPr="005133B1" w:rsidSect="0084356F">
      <w:footerReference w:type="default" r:id="rId27"/>
      <w:footerReference w:type="first" r:id="rId28"/>
      <w:pgSz w:w="16838" w:h="11906" w:orient="landscape"/>
      <w:pgMar w:top="426" w:right="851" w:bottom="1134"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FA8249" w14:textId="77777777" w:rsidR="00F87EAA" w:rsidRDefault="00F87EAA">
      <w:pPr>
        <w:spacing w:after="0" w:line="240" w:lineRule="auto"/>
      </w:pPr>
      <w:r>
        <w:separator/>
      </w:r>
    </w:p>
  </w:endnote>
  <w:endnote w:type="continuationSeparator" w:id="0">
    <w:p w14:paraId="3A648C90" w14:textId="77777777" w:rsidR="00F87EAA" w:rsidRDefault="00F87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4427879"/>
      <w:docPartObj>
        <w:docPartGallery w:val="Page Numbers (Bottom of Page)"/>
        <w:docPartUnique/>
      </w:docPartObj>
    </w:sdtPr>
    <w:sdtEndPr>
      <w:rPr>
        <w:noProof/>
      </w:rPr>
    </w:sdtEndPr>
    <w:sdtContent>
      <w:p w14:paraId="3D4585C9" w14:textId="3796B8D4" w:rsidR="006520E4" w:rsidRDefault="006520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DD842" w14:textId="06525609" w:rsidR="0024770E" w:rsidRDefault="00354691">
    <w:pPr>
      <w:pStyle w:val="Footer"/>
    </w:pPr>
    <w:r>
      <w:t xml:space="preserve">BMPF7012 </w:t>
    </w:r>
    <w:r>
      <w:tab/>
      <w:t xml:space="preserve">Mia Evans 2129370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2588167"/>
      <w:docPartObj>
        <w:docPartGallery w:val="Page Numbers (Bottom of Page)"/>
        <w:docPartUnique/>
      </w:docPartObj>
    </w:sdtPr>
    <w:sdtEndPr>
      <w:rPr>
        <w:noProof/>
      </w:rPr>
    </w:sdtEndPr>
    <w:sdtContent>
      <w:p w14:paraId="7026ABC7" w14:textId="00989360" w:rsidR="000946BA" w:rsidRDefault="00F87EAA">
        <w:pPr>
          <w:pStyle w:val="Footer"/>
          <w:jc w:val="right"/>
        </w:pPr>
      </w:p>
    </w:sdtContent>
  </w:sdt>
  <w:p w14:paraId="1698D7B9" w14:textId="77777777" w:rsidR="000946BA" w:rsidRDefault="000946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DF9857" w14:textId="4583F63A" w:rsidR="00732AA0" w:rsidRDefault="00732AA0">
    <w:pPr>
      <w:pStyle w:val="Footer"/>
    </w:pPr>
    <w:r>
      <w:t>BMPF7012</w:t>
    </w:r>
    <w:r>
      <w:tab/>
    </w:r>
    <w:r w:rsidR="006704C1">
      <w:tab/>
    </w:r>
    <w:r>
      <w:t>Mia Evans 212</w:t>
    </w:r>
    <w:r w:rsidR="006704C1">
      <w:t>9370</w:t>
    </w:r>
    <w:r w:rsidR="006704C1">
      <w:tab/>
    </w:r>
    <w:r w:rsidR="006704C1">
      <w:tab/>
    </w:r>
    <w:r w:rsidR="006704C1">
      <w:tab/>
    </w:r>
    <w:r w:rsidR="006704C1">
      <w:tab/>
    </w:r>
    <w:r w:rsidR="006704C1">
      <w:tab/>
    </w:r>
    <w:r w:rsidR="006704C1">
      <w:tab/>
    </w:r>
    <w:r w:rsidR="006704C1">
      <w:tab/>
      <w:t>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7D3E3" w14:textId="77777777" w:rsidR="00F87EAA" w:rsidRDefault="00F87EAA">
      <w:pPr>
        <w:spacing w:after="0" w:line="240" w:lineRule="auto"/>
      </w:pPr>
      <w:r>
        <w:separator/>
      </w:r>
    </w:p>
  </w:footnote>
  <w:footnote w:type="continuationSeparator" w:id="0">
    <w:p w14:paraId="7FA70CF1" w14:textId="77777777" w:rsidR="00F87EAA" w:rsidRDefault="00F87E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91C04"/>
    <w:multiLevelType w:val="hybridMultilevel"/>
    <w:tmpl w:val="26FE6CB8"/>
    <w:lvl w:ilvl="0" w:tplc="812CE6C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D5138"/>
    <w:multiLevelType w:val="multilevel"/>
    <w:tmpl w:val="21760D34"/>
    <w:lvl w:ilvl="0">
      <w:start w:val="2"/>
      <w:numFmt w:val="decimal"/>
      <w:lvlText w:val="%1"/>
      <w:lvlJc w:val="left"/>
      <w:pPr>
        <w:ind w:left="640" w:hanging="640"/>
      </w:pPr>
      <w:rPr>
        <w:rFonts w:hint="default"/>
        <w:b w:val="0"/>
      </w:rPr>
    </w:lvl>
    <w:lvl w:ilvl="1">
      <w:start w:val="1"/>
      <w:numFmt w:val="decimal"/>
      <w:lvlText w:val="%1.%2"/>
      <w:lvlJc w:val="left"/>
      <w:pPr>
        <w:ind w:left="1080" w:hanging="720"/>
      </w:pPr>
      <w:rPr>
        <w:rFonts w:hint="default"/>
        <w:b w:val="0"/>
      </w:rPr>
    </w:lvl>
    <w:lvl w:ilvl="2">
      <w:start w:val="2"/>
      <w:numFmt w:val="decimal"/>
      <w:lvlText w:val="%1.%2.%3"/>
      <w:lvlJc w:val="left"/>
      <w:pPr>
        <w:ind w:left="1440" w:hanging="720"/>
      </w:pPr>
      <w:rPr>
        <w:rFonts w:hint="default"/>
        <w:b w:val="0"/>
      </w:rPr>
    </w:lvl>
    <w:lvl w:ilvl="3">
      <w:start w:val="1"/>
      <w:numFmt w:val="decimal"/>
      <w:lvlText w:val="%1.%2.%3.%4"/>
      <w:lvlJc w:val="left"/>
      <w:pPr>
        <w:ind w:left="2160" w:hanging="1080"/>
      </w:pPr>
      <w:rPr>
        <w:rFonts w:hint="default"/>
        <w:b w:val="0"/>
      </w:rPr>
    </w:lvl>
    <w:lvl w:ilvl="4">
      <w:start w:val="1"/>
      <w:numFmt w:val="decimal"/>
      <w:lvlText w:val="%1.%2.%3.%4.%5"/>
      <w:lvlJc w:val="left"/>
      <w:pPr>
        <w:ind w:left="2880" w:hanging="1440"/>
      </w:pPr>
      <w:rPr>
        <w:rFonts w:hint="default"/>
        <w:b w:val="0"/>
      </w:rPr>
    </w:lvl>
    <w:lvl w:ilvl="5">
      <w:start w:val="1"/>
      <w:numFmt w:val="decimal"/>
      <w:lvlText w:val="%1.%2.%3.%4.%5.%6"/>
      <w:lvlJc w:val="left"/>
      <w:pPr>
        <w:ind w:left="3240" w:hanging="1440"/>
      </w:pPr>
      <w:rPr>
        <w:rFonts w:hint="default"/>
        <w:b w:val="0"/>
      </w:rPr>
    </w:lvl>
    <w:lvl w:ilvl="6">
      <w:start w:val="1"/>
      <w:numFmt w:val="decimal"/>
      <w:lvlText w:val="%1.%2.%3.%4.%5.%6.%7"/>
      <w:lvlJc w:val="left"/>
      <w:pPr>
        <w:ind w:left="3960" w:hanging="1800"/>
      </w:pPr>
      <w:rPr>
        <w:rFonts w:hint="default"/>
        <w:b w:val="0"/>
      </w:rPr>
    </w:lvl>
    <w:lvl w:ilvl="7">
      <w:start w:val="1"/>
      <w:numFmt w:val="decimal"/>
      <w:lvlText w:val="%1.%2.%3.%4.%5.%6.%7.%8"/>
      <w:lvlJc w:val="left"/>
      <w:pPr>
        <w:ind w:left="4320" w:hanging="1800"/>
      </w:pPr>
      <w:rPr>
        <w:rFonts w:hint="default"/>
        <w:b w:val="0"/>
      </w:rPr>
    </w:lvl>
    <w:lvl w:ilvl="8">
      <w:start w:val="1"/>
      <w:numFmt w:val="decimal"/>
      <w:lvlText w:val="%1.%2.%3.%4.%5.%6.%7.%8.%9"/>
      <w:lvlJc w:val="left"/>
      <w:pPr>
        <w:ind w:left="5040" w:hanging="2160"/>
      </w:pPr>
      <w:rPr>
        <w:rFonts w:hint="default"/>
        <w:b w:val="0"/>
      </w:rPr>
    </w:lvl>
  </w:abstractNum>
  <w:abstractNum w:abstractNumId="2" w15:restartNumberingAfterBreak="0">
    <w:nsid w:val="11FD3977"/>
    <w:multiLevelType w:val="multilevel"/>
    <w:tmpl w:val="8D7C582E"/>
    <w:lvl w:ilvl="0">
      <w:start w:val="2"/>
      <w:numFmt w:val="decimal"/>
      <w:lvlText w:val="%1"/>
      <w:lvlJc w:val="left"/>
      <w:pPr>
        <w:ind w:left="400" w:hanging="40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6376402"/>
    <w:multiLevelType w:val="multilevel"/>
    <w:tmpl w:val="EFFC5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A413EB"/>
    <w:multiLevelType w:val="multilevel"/>
    <w:tmpl w:val="B5D09DC6"/>
    <w:lvl w:ilvl="0">
      <w:start w:val="2"/>
      <w:numFmt w:val="decimal"/>
      <w:lvlText w:val="%1"/>
      <w:lvlJc w:val="left"/>
      <w:pPr>
        <w:ind w:left="400" w:hanging="40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E954F46"/>
    <w:multiLevelType w:val="multilevel"/>
    <w:tmpl w:val="03BE102C"/>
    <w:lvl w:ilvl="0">
      <w:start w:val="2"/>
      <w:numFmt w:val="decimal"/>
      <w:lvlText w:val="%1"/>
      <w:lvlJc w:val="left"/>
      <w:pPr>
        <w:ind w:left="400" w:hanging="400"/>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34C64517"/>
    <w:multiLevelType w:val="hybridMultilevel"/>
    <w:tmpl w:val="22AA56F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A5297C"/>
    <w:multiLevelType w:val="hybridMultilevel"/>
    <w:tmpl w:val="D9949A3C"/>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2891A47"/>
    <w:multiLevelType w:val="multilevel"/>
    <w:tmpl w:val="73D06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D40F2C"/>
    <w:multiLevelType w:val="multilevel"/>
    <w:tmpl w:val="5FFA5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264B68"/>
    <w:multiLevelType w:val="multilevel"/>
    <w:tmpl w:val="19820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3621DE"/>
    <w:multiLevelType w:val="multilevel"/>
    <w:tmpl w:val="E58A9C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B82CBF"/>
    <w:multiLevelType w:val="multilevel"/>
    <w:tmpl w:val="C1B27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D517AD1"/>
    <w:multiLevelType w:val="multilevel"/>
    <w:tmpl w:val="C97AC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92074A"/>
    <w:multiLevelType w:val="hybridMultilevel"/>
    <w:tmpl w:val="BC58F326"/>
    <w:lvl w:ilvl="0" w:tplc="812CE6C2">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0374546"/>
    <w:multiLevelType w:val="hybridMultilevel"/>
    <w:tmpl w:val="AB1E2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1744F1"/>
    <w:multiLevelType w:val="hybridMultilevel"/>
    <w:tmpl w:val="CDBC255A"/>
    <w:lvl w:ilvl="0" w:tplc="2A960AE2">
      <w:start w:val="4"/>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D011E2"/>
    <w:multiLevelType w:val="hybridMultilevel"/>
    <w:tmpl w:val="78BC1FAA"/>
    <w:lvl w:ilvl="0" w:tplc="0352BFCC">
      <w:start w:val="4"/>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CE0638"/>
    <w:multiLevelType w:val="multilevel"/>
    <w:tmpl w:val="8A64B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A6485B"/>
    <w:multiLevelType w:val="multilevel"/>
    <w:tmpl w:val="2D081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6E10A8"/>
    <w:multiLevelType w:val="multilevel"/>
    <w:tmpl w:val="76F63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3603E5"/>
    <w:multiLevelType w:val="multilevel"/>
    <w:tmpl w:val="103A0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95947694">
    <w:abstractNumId w:val="13"/>
  </w:num>
  <w:num w:numId="2" w16cid:durableId="1659848910">
    <w:abstractNumId w:val="0"/>
  </w:num>
  <w:num w:numId="3" w16cid:durableId="1266766758">
    <w:abstractNumId w:val="19"/>
  </w:num>
  <w:num w:numId="4" w16cid:durableId="2133933979">
    <w:abstractNumId w:val="14"/>
  </w:num>
  <w:num w:numId="5" w16cid:durableId="928544554">
    <w:abstractNumId w:val="11"/>
  </w:num>
  <w:num w:numId="6" w16cid:durableId="2083717351">
    <w:abstractNumId w:val="9"/>
  </w:num>
  <w:num w:numId="7" w16cid:durableId="1299531228">
    <w:abstractNumId w:val="21"/>
  </w:num>
  <w:num w:numId="8" w16cid:durableId="1504280106">
    <w:abstractNumId w:val="12"/>
  </w:num>
  <w:num w:numId="9" w16cid:durableId="891421978">
    <w:abstractNumId w:val="15"/>
  </w:num>
  <w:num w:numId="10" w16cid:durableId="144712241">
    <w:abstractNumId w:val="7"/>
  </w:num>
  <w:num w:numId="11" w16cid:durableId="1608125515">
    <w:abstractNumId w:val="5"/>
  </w:num>
  <w:num w:numId="12" w16cid:durableId="746802891">
    <w:abstractNumId w:val="6"/>
  </w:num>
  <w:num w:numId="13" w16cid:durableId="700319889">
    <w:abstractNumId w:val="4"/>
  </w:num>
  <w:num w:numId="14" w16cid:durableId="541752869">
    <w:abstractNumId w:val="2"/>
  </w:num>
  <w:num w:numId="15" w16cid:durableId="1596748714">
    <w:abstractNumId w:val="1"/>
  </w:num>
  <w:num w:numId="16" w16cid:durableId="280303596">
    <w:abstractNumId w:val="3"/>
  </w:num>
  <w:num w:numId="17" w16cid:durableId="784427772">
    <w:abstractNumId w:val="10"/>
  </w:num>
  <w:num w:numId="18" w16cid:durableId="1304890909">
    <w:abstractNumId w:val="8"/>
  </w:num>
  <w:num w:numId="19" w16cid:durableId="1369571350">
    <w:abstractNumId w:val="17"/>
  </w:num>
  <w:num w:numId="20" w16cid:durableId="1012104887">
    <w:abstractNumId w:val="16"/>
  </w:num>
  <w:num w:numId="21" w16cid:durableId="1573537442">
    <w:abstractNumId w:val="20"/>
  </w:num>
  <w:num w:numId="22" w16cid:durableId="195278689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880"/>
    <w:rsid w:val="000021BD"/>
    <w:rsid w:val="00003E37"/>
    <w:rsid w:val="000041E7"/>
    <w:rsid w:val="00005056"/>
    <w:rsid w:val="0000690F"/>
    <w:rsid w:val="00006E9A"/>
    <w:rsid w:val="00012EE9"/>
    <w:rsid w:val="00013329"/>
    <w:rsid w:val="0001538F"/>
    <w:rsid w:val="000158E1"/>
    <w:rsid w:val="00015C46"/>
    <w:rsid w:val="00017D24"/>
    <w:rsid w:val="00020642"/>
    <w:rsid w:val="00022C46"/>
    <w:rsid w:val="00023914"/>
    <w:rsid w:val="00023DFF"/>
    <w:rsid w:val="0002401C"/>
    <w:rsid w:val="00024193"/>
    <w:rsid w:val="00024F3C"/>
    <w:rsid w:val="00027880"/>
    <w:rsid w:val="00027CD9"/>
    <w:rsid w:val="000323B7"/>
    <w:rsid w:val="00033451"/>
    <w:rsid w:val="00034950"/>
    <w:rsid w:val="0003665A"/>
    <w:rsid w:val="000420E8"/>
    <w:rsid w:val="0004221B"/>
    <w:rsid w:val="000438EB"/>
    <w:rsid w:val="00046EEF"/>
    <w:rsid w:val="000473DB"/>
    <w:rsid w:val="000500F9"/>
    <w:rsid w:val="00051E9A"/>
    <w:rsid w:val="000527D1"/>
    <w:rsid w:val="000541A0"/>
    <w:rsid w:val="00054CD6"/>
    <w:rsid w:val="00056CA3"/>
    <w:rsid w:val="000571A4"/>
    <w:rsid w:val="000577B6"/>
    <w:rsid w:val="000579BE"/>
    <w:rsid w:val="00060D24"/>
    <w:rsid w:val="00061B5D"/>
    <w:rsid w:val="0006450D"/>
    <w:rsid w:val="00067BAC"/>
    <w:rsid w:val="00067EA6"/>
    <w:rsid w:val="00070A16"/>
    <w:rsid w:val="00071A0C"/>
    <w:rsid w:val="0007238A"/>
    <w:rsid w:val="0007288F"/>
    <w:rsid w:val="0007343A"/>
    <w:rsid w:val="000745A6"/>
    <w:rsid w:val="00075352"/>
    <w:rsid w:val="00087E9B"/>
    <w:rsid w:val="000900EE"/>
    <w:rsid w:val="00091EAA"/>
    <w:rsid w:val="00093090"/>
    <w:rsid w:val="00093621"/>
    <w:rsid w:val="00093A22"/>
    <w:rsid w:val="000946BA"/>
    <w:rsid w:val="0009558F"/>
    <w:rsid w:val="00096D6C"/>
    <w:rsid w:val="0009793C"/>
    <w:rsid w:val="000A0C24"/>
    <w:rsid w:val="000A3878"/>
    <w:rsid w:val="000B2BE9"/>
    <w:rsid w:val="000B4A3E"/>
    <w:rsid w:val="000B4EF1"/>
    <w:rsid w:val="000B57AB"/>
    <w:rsid w:val="000B7BD7"/>
    <w:rsid w:val="000C029C"/>
    <w:rsid w:val="000C05A8"/>
    <w:rsid w:val="000C1AA9"/>
    <w:rsid w:val="000C25C0"/>
    <w:rsid w:val="000C27CF"/>
    <w:rsid w:val="000C3476"/>
    <w:rsid w:val="000C3B9C"/>
    <w:rsid w:val="000C46E3"/>
    <w:rsid w:val="000C53DF"/>
    <w:rsid w:val="000C583F"/>
    <w:rsid w:val="000C6AD8"/>
    <w:rsid w:val="000C7270"/>
    <w:rsid w:val="000D04A9"/>
    <w:rsid w:val="000D0660"/>
    <w:rsid w:val="000D1EC5"/>
    <w:rsid w:val="000D2A54"/>
    <w:rsid w:val="000D2EAC"/>
    <w:rsid w:val="000E0EA5"/>
    <w:rsid w:val="000E2EBD"/>
    <w:rsid w:val="000E41AE"/>
    <w:rsid w:val="000E472C"/>
    <w:rsid w:val="000E4969"/>
    <w:rsid w:val="000E5C1D"/>
    <w:rsid w:val="000E6A8A"/>
    <w:rsid w:val="000E6ECD"/>
    <w:rsid w:val="000E71B7"/>
    <w:rsid w:val="000E762C"/>
    <w:rsid w:val="000E7907"/>
    <w:rsid w:val="000F03CF"/>
    <w:rsid w:val="000F0655"/>
    <w:rsid w:val="000F1C73"/>
    <w:rsid w:val="000F2360"/>
    <w:rsid w:val="000F24AB"/>
    <w:rsid w:val="000F4A85"/>
    <w:rsid w:val="000F4EF0"/>
    <w:rsid w:val="000F6C96"/>
    <w:rsid w:val="000F7436"/>
    <w:rsid w:val="001001BE"/>
    <w:rsid w:val="00100FAB"/>
    <w:rsid w:val="0010107C"/>
    <w:rsid w:val="00101C0B"/>
    <w:rsid w:val="0010338D"/>
    <w:rsid w:val="001034DC"/>
    <w:rsid w:val="00104170"/>
    <w:rsid w:val="00104F07"/>
    <w:rsid w:val="00104F52"/>
    <w:rsid w:val="0010755F"/>
    <w:rsid w:val="00107CBD"/>
    <w:rsid w:val="001106E9"/>
    <w:rsid w:val="00110ED9"/>
    <w:rsid w:val="00111CB6"/>
    <w:rsid w:val="00112CC2"/>
    <w:rsid w:val="001130FE"/>
    <w:rsid w:val="0011481C"/>
    <w:rsid w:val="00115744"/>
    <w:rsid w:val="00115847"/>
    <w:rsid w:val="00115A6B"/>
    <w:rsid w:val="00115AC1"/>
    <w:rsid w:val="00120AB8"/>
    <w:rsid w:val="00121733"/>
    <w:rsid w:val="00121CA5"/>
    <w:rsid w:val="00121D92"/>
    <w:rsid w:val="001242CB"/>
    <w:rsid w:val="00125507"/>
    <w:rsid w:val="001264D1"/>
    <w:rsid w:val="00127C12"/>
    <w:rsid w:val="00127D9E"/>
    <w:rsid w:val="001302F4"/>
    <w:rsid w:val="00130EFB"/>
    <w:rsid w:val="001323CC"/>
    <w:rsid w:val="001323D1"/>
    <w:rsid w:val="00132D97"/>
    <w:rsid w:val="00133E3E"/>
    <w:rsid w:val="001350E3"/>
    <w:rsid w:val="00135B2F"/>
    <w:rsid w:val="00136211"/>
    <w:rsid w:val="00136B98"/>
    <w:rsid w:val="00137101"/>
    <w:rsid w:val="001377AE"/>
    <w:rsid w:val="00140BF7"/>
    <w:rsid w:val="00141468"/>
    <w:rsid w:val="0014180B"/>
    <w:rsid w:val="00141829"/>
    <w:rsid w:val="001427F7"/>
    <w:rsid w:val="00143AB8"/>
    <w:rsid w:val="001464A6"/>
    <w:rsid w:val="00147485"/>
    <w:rsid w:val="001512DE"/>
    <w:rsid w:val="001522D1"/>
    <w:rsid w:val="00153713"/>
    <w:rsid w:val="0015445F"/>
    <w:rsid w:val="00154906"/>
    <w:rsid w:val="00161A54"/>
    <w:rsid w:val="00163BDE"/>
    <w:rsid w:val="0016697F"/>
    <w:rsid w:val="00166D2C"/>
    <w:rsid w:val="00167574"/>
    <w:rsid w:val="001701B9"/>
    <w:rsid w:val="00176FFC"/>
    <w:rsid w:val="00177760"/>
    <w:rsid w:val="0018030B"/>
    <w:rsid w:val="001856F0"/>
    <w:rsid w:val="00185D94"/>
    <w:rsid w:val="00185D99"/>
    <w:rsid w:val="0018633D"/>
    <w:rsid w:val="00186EC6"/>
    <w:rsid w:val="0018727F"/>
    <w:rsid w:val="00187578"/>
    <w:rsid w:val="001875C1"/>
    <w:rsid w:val="00192473"/>
    <w:rsid w:val="001935CA"/>
    <w:rsid w:val="001938DA"/>
    <w:rsid w:val="001940D6"/>
    <w:rsid w:val="00194165"/>
    <w:rsid w:val="00194A79"/>
    <w:rsid w:val="0019772A"/>
    <w:rsid w:val="001A069F"/>
    <w:rsid w:val="001A1D55"/>
    <w:rsid w:val="001A20E5"/>
    <w:rsid w:val="001A22F9"/>
    <w:rsid w:val="001A374B"/>
    <w:rsid w:val="001A5306"/>
    <w:rsid w:val="001A5649"/>
    <w:rsid w:val="001A658B"/>
    <w:rsid w:val="001A6B9D"/>
    <w:rsid w:val="001A6BB8"/>
    <w:rsid w:val="001B22B3"/>
    <w:rsid w:val="001B37FB"/>
    <w:rsid w:val="001B3E55"/>
    <w:rsid w:val="001B5009"/>
    <w:rsid w:val="001B5557"/>
    <w:rsid w:val="001B6486"/>
    <w:rsid w:val="001B78A2"/>
    <w:rsid w:val="001B7BF4"/>
    <w:rsid w:val="001C30AD"/>
    <w:rsid w:val="001C37F4"/>
    <w:rsid w:val="001C7D5C"/>
    <w:rsid w:val="001D110B"/>
    <w:rsid w:val="001D44F5"/>
    <w:rsid w:val="001D6B5F"/>
    <w:rsid w:val="001D737C"/>
    <w:rsid w:val="001E06D5"/>
    <w:rsid w:val="001E0CC2"/>
    <w:rsid w:val="001E0E78"/>
    <w:rsid w:val="001E58B1"/>
    <w:rsid w:val="001E7119"/>
    <w:rsid w:val="001F0D0E"/>
    <w:rsid w:val="001F4CBA"/>
    <w:rsid w:val="001F4F2D"/>
    <w:rsid w:val="001F768B"/>
    <w:rsid w:val="00200B1F"/>
    <w:rsid w:val="0020419F"/>
    <w:rsid w:val="00205E5F"/>
    <w:rsid w:val="00210752"/>
    <w:rsid w:val="00215604"/>
    <w:rsid w:val="0021614C"/>
    <w:rsid w:val="002170AA"/>
    <w:rsid w:val="002206FD"/>
    <w:rsid w:val="00221DFA"/>
    <w:rsid w:val="002230EC"/>
    <w:rsid w:val="00223669"/>
    <w:rsid w:val="00224667"/>
    <w:rsid w:val="0022713C"/>
    <w:rsid w:val="00230229"/>
    <w:rsid w:val="0023258D"/>
    <w:rsid w:val="00232D9A"/>
    <w:rsid w:val="00232FEC"/>
    <w:rsid w:val="00233385"/>
    <w:rsid w:val="00234D36"/>
    <w:rsid w:val="0023502A"/>
    <w:rsid w:val="00235198"/>
    <w:rsid w:val="00235D42"/>
    <w:rsid w:val="002365F1"/>
    <w:rsid w:val="0023714F"/>
    <w:rsid w:val="00237CE2"/>
    <w:rsid w:val="00241F3F"/>
    <w:rsid w:val="0024263E"/>
    <w:rsid w:val="002437CD"/>
    <w:rsid w:val="0024759E"/>
    <w:rsid w:val="0024770E"/>
    <w:rsid w:val="002500DC"/>
    <w:rsid w:val="00250877"/>
    <w:rsid w:val="00252D79"/>
    <w:rsid w:val="00255762"/>
    <w:rsid w:val="0025690B"/>
    <w:rsid w:val="00256B6D"/>
    <w:rsid w:val="00257E0D"/>
    <w:rsid w:val="0026029E"/>
    <w:rsid w:val="00265191"/>
    <w:rsid w:val="002662A4"/>
    <w:rsid w:val="00266FB0"/>
    <w:rsid w:val="00267038"/>
    <w:rsid w:val="0027072B"/>
    <w:rsid w:val="0027185C"/>
    <w:rsid w:val="002732C8"/>
    <w:rsid w:val="0027394F"/>
    <w:rsid w:val="002749F6"/>
    <w:rsid w:val="00282B60"/>
    <w:rsid w:val="0028308F"/>
    <w:rsid w:val="00284DE1"/>
    <w:rsid w:val="00285447"/>
    <w:rsid w:val="00286118"/>
    <w:rsid w:val="00287E8B"/>
    <w:rsid w:val="002A0405"/>
    <w:rsid w:val="002A1EF8"/>
    <w:rsid w:val="002A2658"/>
    <w:rsid w:val="002A39E2"/>
    <w:rsid w:val="002B23A7"/>
    <w:rsid w:val="002B572D"/>
    <w:rsid w:val="002B5885"/>
    <w:rsid w:val="002B6523"/>
    <w:rsid w:val="002B71C1"/>
    <w:rsid w:val="002B72E1"/>
    <w:rsid w:val="002B7C49"/>
    <w:rsid w:val="002C25DD"/>
    <w:rsid w:val="002C2749"/>
    <w:rsid w:val="002C51B3"/>
    <w:rsid w:val="002C7D67"/>
    <w:rsid w:val="002D0241"/>
    <w:rsid w:val="002D0DAD"/>
    <w:rsid w:val="002D2067"/>
    <w:rsid w:val="002D4CD3"/>
    <w:rsid w:val="002D5060"/>
    <w:rsid w:val="002D5FEA"/>
    <w:rsid w:val="002D7998"/>
    <w:rsid w:val="002E0566"/>
    <w:rsid w:val="002E34D4"/>
    <w:rsid w:val="002E3AFB"/>
    <w:rsid w:val="002E6940"/>
    <w:rsid w:val="002E729F"/>
    <w:rsid w:val="002E78CE"/>
    <w:rsid w:val="002E7B89"/>
    <w:rsid w:val="002F0896"/>
    <w:rsid w:val="002F3460"/>
    <w:rsid w:val="002F3AE8"/>
    <w:rsid w:val="002F3E73"/>
    <w:rsid w:val="002F4706"/>
    <w:rsid w:val="002F49D4"/>
    <w:rsid w:val="002F5AE1"/>
    <w:rsid w:val="002F753F"/>
    <w:rsid w:val="00300576"/>
    <w:rsid w:val="00302726"/>
    <w:rsid w:val="003040E6"/>
    <w:rsid w:val="0030592B"/>
    <w:rsid w:val="00312FAB"/>
    <w:rsid w:val="003135D7"/>
    <w:rsid w:val="0031456E"/>
    <w:rsid w:val="00314CEC"/>
    <w:rsid w:val="00315E52"/>
    <w:rsid w:val="003170EE"/>
    <w:rsid w:val="003209B4"/>
    <w:rsid w:val="003209CA"/>
    <w:rsid w:val="0032105F"/>
    <w:rsid w:val="003227D8"/>
    <w:rsid w:val="00323788"/>
    <w:rsid w:val="00324BA8"/>
    <w:rsid w:val="00327E37"/>
    <w:rsid w:val="00330178"/>
    <w:rsid w:val="003327AE"/>
    <w:rsid w:val="00332893"/>
    <w:rsid w:val="003329EC"/>
    <w:rsid w:val="003333C3"/>
    <w:rsid w:val="00334830"/>
    <w:rsid w:val="00336CA0"/>
    <w:rsid w:val="003402A9"/>
    <w:rsid w:val="00340752"/>
    <w:rsid w:val="00340ECC"/>
    <w:rsid w:val="00344537"/>
    <w:rsid w:val="003451CC"/>
    <w:rsid w:val="00345A53"/>
    <w:rsid w:val="00346FD4"/>
    <w:rsid w:val="00351083"/>
    <w:rsid w:val="00351A90"/>
    <w:rsid w:val="00352934"/>
    <w:rsid w:val="00353230"/>
    <w:rsid w:val="003535C7"/>
    <w:rsid w:val="00354355"/>
    <w:rsid w:val="00354691"/>
    <w:rsid w:val="00354AD5"/>
    <w:rsid w:val="0035791E"/>
    <w:rsid w:val="00360568"/>
    <w:rsid w:val="00360AFE"/>
    <w:rsid w:val="003631FF"/>
    <w:rsid w:val="00364291"/>
    <w:rsid w:val="00364CCB"/>
    <w:rsid w:val="00364E8C"/>
    <w:rsid w:val="00366817"/>
    <w:rsid w:val="00366D7B"/>
    <w:rsid w:val="00367A65"/>
    <w:rsid w:val="00375A16"/>
    <w:rsid w:val="0037645A"/>
    <w:rsid w:val="00381C00"/>
    <w:rsid w:val="00384193"/>
    <w:rsid w:val="003851A1"/>
    <w:rsid w:val="00385753"/>
    <w:rsid w:val="003857E0"/>
    <w:rsid w:val="00385A20"/>
    <w:rsid w:val="00386047"/>
    <w:rsid w:val="00386824"/>
    <w:rsid w:val="003908B2"/>
    <w:rsid w:val="003912A0"/>
    <w:rsid w:val="00393B74"/>
    <w:rsid w:val="00396D88"/>
    <w:rsid w:val="003972D7"/>
    <w:rsid w:val="00397C28"/>
    <w:rsid w:val="003A2650"/>
    <w:rsid w:val="003A41EC"/>
    <w:rsid w:val="003A441E"/>
    <w:rsid w:val="003A5446"/>
    <w:rsid w:val="003A6145"/>
    <w:rsid w:val="003A6DDE"/>
    <w:rsid w:val="003A7835"/>
    <w:rsid w:val="003B248D"/>
    <w:rsid w:val="003B290F"/>
    <w:rsid w:val="003B30F8"/>
    <w:rsid w:val="003B3432"/>
    <w:rsid w:val="003B3AE0"/>
    <w:rsid w:val="003B512F"/>
    <w:rsid w:val="003B6EAC"/>
    <w:rsid w:val="003C1268"/>
    <w:rsid w:val="003C28FC"/>
    <w:rsid w:val="003C3B16"/>
    <w:rsid w:val="003C3D9A"/>
    <w:rsid w:val="003C6EA0"/>
    <w:rsid w:val="003C7B0F"/>
    <w:rsid w:val="003D00F9"/>
    <w:rsid w:val="003D093B"/>
    <w:rsid w:val="003D2CCC"/>
    <w:rsid w:val="003D32F0"/>
    <w:rsid w:val="003D3BF2"/>
    <w:rsid w:val="003D3C66"/>
    <w:rsid w:val="003D4D9F"/>
    <w:rsid w:val="003D52E2"/>
    <w:rsid w:val="003D5500"/>
    <w:rsid w:val="003D6AD5"/>
    <w:rsid w:val="003D6C34"/>
    <w:rsid w:val="003D6E41"/>
    <w:rsid w:val="003D6FE4"/>
    <w:rsid w:val="003D7226"/>
    <w:rsid w:val="003E0313"/>
    <w:rsid w:val="003E0578"/>
    <w:rsid w:val="003E0A6C"/>
    <w:rsid w:val="003E4172"/>
    <w:rsid w:val="003E4C4F"/>
    <w:rsid w:val="003E6378"/>
    <w:rsid w:val="003E7CA9"/>
    <w:rsid w:val="003F2E6F"/>
    <w:rsid w:val="003F318A"/>
    <w:rsid w:val="003F463E"/>
    <w:rsid w:val="003F5558"/>
    <w:rsid w:val="003F568D"/>
    <w:rsid w:val="003F6F0C"/>
    <w:rsid w:val="003F7CB6"/>
    <w:rsid w:val="004008BA"/>
    <w:rsid w:val="00401AC5"/>
    <w:rsid w:val="0040223D"/>
    <w:rsid w:val="00402617"/>
    <w:rsid w:val="004060A4"/>
    <w:rsid w:val="00410EBF"/>
    <w:rsid w:val="004116BF"/>
    <w:rsid w:val="0041308A"/>
    <w:rsid w:val="004131AB"/>
    <w:rsid w:val="0041386F"/>
    <w:rsid w:val="0041416D"/>
    <w:rsid w:val="004161B6"/>
    <w:rsid w:val="004216A4"/>
    <w:rsid w:val="00421E30"/>
    <w:rsid w:val="00422E16"/>
    <w:rsid w:val="00423CCB"/>
    <w:rsid w:val="00423DBD"/>
    <w:rsid w:val="0042433B"/>
    <w:rsid w:val="004255FD"/>
    <w:rsid w:val="00431CEE"/>
    <w:rsid w:val="004328A2"/>
    <w:rsid w:val="00433CA6"/>
    <w:rsid w:val="00434BEA"/>
    <w:rsid w:val="00434F66"/>
    <w:rsid w:val="004360F2"/>
    <w:rsid w:val="0044079B"/>
    <w:rsid w:val="00442658"/>
    <w:rsid w:val="00443D3A"/>
    <w:rsid w:val="00445945"/>
    <w:rsid w:val="00446A9A"/>
    <w:rsid w:val="00451D07"/>
    <w:rsid w:val="00453636"/>
    <w:rsid w:val="004542E3"/>
    <w:rsid w:val="0045454C"/>
    <w:rsid w:val="00454956"/>
    <w:rsid w:val="00457AC3"/>
    <w:rsid w:val="00457F57"/>
    <w:rsid w:val="00460C9D"/>
    <w:rsid w:val="0046268F"/>
    <w:rsid w:val="00465ECC"/>
    <w:rsid w:val="00466A0D"/>
    <w:rsid w:val="00467C42"/>
    <w:rsid w:val="004700C2"/>
    <w:rsid w:val="004717E9"/>
    <w:rsid w:val="00473B56"/>
    <w:rsid w:val="00473E6D"/>
    <w:rsid w:val="00474B30"/>
    <w:rsid w:val="004752B0"/>
    <w:rsid w:val="00476118"/>
    <w:rsid w:val="00476532"/>
    <w:rsid w:val="004777A8"/>
    <w:rsid w:val="004806E9"/>
    <w:rsid w:val="00480E39"/>
    <w:rsid w:val="00483653"/>
    <w:rsid w:val="004877D5"/>
    <w:rsid w:val="004932C5"/>
    <w:rsid w:val="00493E57"/>
    <w:rsid w:val="004957CD"/>
    <w:rsid w:val="00496A43"/>
    <w:rsid w:val="004A073F"/>
    <w:rsid w:val="004A0E31"/>
    <w:rsid w:val="004A15F7"/>
    <w:rsid w:val="004A2CDB"/>
    <w:rsid w:val="004A3BF4"/>
    <w:rsid w:val="004A3D59"/>
    <w:rsid w:val="004A4B27"/>
    <w:rsid w:val="004A5ADE"/>
    <w:rsid w:val="004A5C89"/>
    <w:rsid w:val="004A6EE4"/>
    <w:rsid w:val="004A784F"/>
    <w:rsid w:val="004A7C5F"/>
    <w:rsid w:val="004B15F2"/>
    <w:rsid w:val="004B4E77"/>
    <w:rsid w:val="004B62E2"/>
    <w:rsid w:val="004B7574"/>
    <w:rsid w:val="004B7774"/>
    <w:rsid w:val="004C14E2"/>
    <w:rsid w:val="004C16F0"/>
    <w:rsid w:val="004C2C5F"/>
    <w:rsid w:val="004C355B"/>
    <w:rsid w:val="004C4362"/>
    <w:rsid w:val="004D2032"/>
    <w:rsid w:val="004D2203"/>
    <w:rsid w:val="004D3307"/>
    <w:rsid w:val="004D4741"/>
    <w:rsid w:val="004D70B5"/>
    <w:rsid w:val="004D71AC"/>
    <w:rsid w:val="004D78F3"/>
    <w:rsid w:val="004E0284"/>
    <w:rsid w:val="004E1A35"/>
    <w:rsid w:val="004E2CC3"/>
    <w:rsid w:val="004E7660"/>
    <w:rsid w:val="004E7707"/>
    <w:rsid w:val="004F0CF8"/>
    <w:rsid w:val="004F2D1E"/>
    <w:rsid w:val="004F31A3"/>
    <w:rsid w:val="004F3EBC"/>
    <w:rsid w:val="004F47D7"/>
    <w:rsid w:val="004F7329"/>
    <w:rsid w:val="004F7F02"/>
    <w:rsid w:val="00500035"/>
    <w:rsid w:val="00503948"/>
    <w:rsid w:val="00510586"/>
    <w:rsid w:val="005123F9"/>
    <w:rsid w:val="005128FD"/>
    <w:rsid w:val="005133B1"/>
    <w:rsid w:val="00513C9E"/>
    <w:rsid w:val="00515D03"/>
    <w:rsid w:val="0051659B"/>
    <w:rsid w:val="00517637"/>
    <w:rsid w:val="00517953"/>
    <w:rsid w:val="0052235F"/>
    <w:rsid w:val="00525316"/>
    <w:rsid w:val="00531B7A"/>
    <w:rsid w:val="0053203A"/>
    <w:rsid w:val="00532184"/>
    <w:rsid w:val="00534CA1"/>
    <w:rsid w:val="00535913"/>
    <w:rsid w:val="00540A1F"/>
    <w:rsid w:val="00541D09"/>
    <w:rsid w:val="00542188"/>
    <w:rsid w:val="005430F6"/>
    <w:rsid w:val="005448A9"/>
    <w:rsid w:val="00544A11"/>
    <w:rsid w:val="00544E5D"/>
    <w:rsid w:val="005474FE"/>
    <w:rsid w:val="00547DE1"/>
    <w:rsid w:val="005517DC"/>
    <w:rsid w:val="00551880"/>
    <w:rsid w:val="00551DF7"/>
    <w:rsid w:val="00554CED"/>
    <w:rsid w:val="00555956"/>
    <w:rsid w:val="00555E91"/>
    <w:rsid w:val="00556661"/>
    <w:rsid w:val="00556C83"/>
    <w:rsid w:val="00557F35"/>
    <w:rsid w:val="00561802"/>
    <w:rsid w:val="005618BA"/>
    <w:rsid w:val="00562EE4"/>
    <w:rsid w:val="00564256"/>
    <w:rsid w:val="00566754"/>
    <w:rsid w:val="00580805"/>
    <w:rsid w:val="00580E10"/>
    <w:rsid w:val="00581CE6"/>
    <w:rsid w:val="00583FEB"/>
    <w:rsid w:val="005852C4"/>
    <w:rsid w:val="0058588C"/>
    <w:rsid w:val="005860B2"/>
    <w:rsid w:val="00586AEA"/>
    <w:rsid w:val="00587556"/>
    <w:rsid w:val="00590144"/>
    <w:rsid w:val="00592303"/>
    <w:rsid w:val="0059252F"/>
    <w:rsid w:val="00592A88"/>
    <w:rsid w:val="00594F06"/>
    <w:rsid w:val="00595CF3"/>
    <w:rsid w:val="00596905"/>
    <w:rsid w:val="0059694A"/>
    <w:rsid w:val="005A0B79"/>
    <w:rsid w:val="005A0D5B"/>
    <w:rsid w:val="005A16C5"/>
    <w:rsid w:val="005A1AB3"/>
    <w:rsid w:val="005A2579"/>
    <w:rsid w:val="005A28A2"/>
    <w:rsid w:val="005A2F71"/>
    <w:rsid w:val="005A3369"/>
    <w:rsid w:val="005A47B7"/>
    <w:rsid w:val="005A5879"/>
    <w:rsid w:val="005A5AFC"/>
    <w:rsid w:val="005A5B12"/>
    <w:rsid w:val="005A6E81"/>
    <w:rsid w:val="005B052B"/>
    <w:rsid w:val="005B1E04"/>
    <w:rsid w:val="005B2403"/>
    <w:rsid w:val="005B4789"/>
    <w:rsid w:val="005C6FE0"/>
    <w:rsid w:val="005D6B4B"/>
    <w:rsid w:val="005D7A69"/>
    <w:rsid w:val="005E2ACE"/>
    <w:rsid w:val="005E4AAD"/>
    <w:rsid w:val="005E54C8"/>
    <w:rsid w:val="005E6F90"/>
    <w:rsid w:val="005E7ADA"/>
    <w:rsid w:val="005F0BFA"/>
    <w:rsid w:val="005F2461"/>
    <w:rsid w:val="005F2C7C"/>
    <w:rsid w:val="005F4988"/>
    <w:rsid w:val="005F4DF0"/>
    <w:rsid w:val="006001C1"/>
    <w:rsid w:val="00600D33"/>
    <w:rsid w:val="00601487"/>
    <w:rsid w:val="00601D9A"/>
    <w:rsid w:val="00601EF0"/>
    <w:rsid w:val="0060692B"/>
    <w:rsid w:val="006077DF"/>
    <w:rsid w:val="00607807"/>
    <w:rsid w:val="00610327"/>
    <w:rsid w:val="00610D1E"/>
    <w:rsid w:val="006121B6"/>
    <w:rsid w:val="00613306"/>
    <w:rsid w:val="00614667"/>
    <w:rsid w:val="006158DF"/>
    <w:rsid w:val="00620A37"/>
    <w:rsid w:val="00622C0B"/>
    <w:rsid w:val="00624C15"/>
    <w:rsid w:val="006269F1"/>
    <w:rsid w:val="00626CE7"/>
    <w:rsid w:val="0063047A"/>
    <w:rsid w:val="00630F85"/>
    <w:rsid w:val="006325B6"/>
    <w:rsid w:val="00632A82"/>
    <w:rsid w:val="00632D49"/>
    <w:rsid w:val="0063342A"/>
    <w:rsid w:val="0063479C"/>
    <w:rsid w:val="0063589C"/>
    <w:rsid w:val="00636351"/>
    <w:rsid w:val="00636E40"/>
    <w:rsid w:val="00637582"/>
    <w:rsid w:val="00637EDD"/>
    <w:rsid w:val="0064156C"/>
    <w:rsid w:val="00641636"/>
    <w:rsid w:val="0064208A"/>
    <w:rsid w:val="006424C6"/>
    <w:rsid w:val="0064646F"/>
    <w:rsid w:val="0065136D"/>
    <w:rsid w:val="0065182B"/>
    <w:rsid w:val="006520E4"/>
    <w:rsid w:val="00653594"/>
    <w:rsid w:val="00653737"/>
    <w:rsid w:val="00653A22"/>
    <w:rsid w:val="006553BE"/>
    <w:rsid w:val="00656D55"/>
    <w:rsid w:val="0065719B"/>
    <w:rsid w:val="00660748"/>
    <w:rsid w:val="00662BF1"/>
    <w:rsid w:val="00663FDB"/>
    <w:rsid w:val="006704C1"/>
    <w:rsid w:val="00672033"/>
    <w:rsid w:val="00674703"/>
    <w:rsid w:val="00676E1D"/>
    <w:rsid w:val="0067732B"/>
    <w:rsid w:val="00681095"/>
    <w:rsid w:val="00681173"/>
    <w:rsid w:val="00681ADB"/>
    <w:rsid w:val="006837E4"/>
    <w:rsid w:val="0068580A"/>
    <w:rsid w:val="00685BB8"/>
    <w:rsid w:val="00686452"/>
    <w:rsid w:val="00690740"/>
    <w:rsid w:val="0069079D"/>
    <w:rsid w:val="00691A48"/>
    <w:rsid w:val="006959A7"/>
    <w:rsid w:val="006A10FD"/>
    <w:rsid w:val="006A27F8"/>
    <w:rsid w:val="006A46E7"/>
    <w:rsid w:val="006A7C91"/>
    <w:rsid w:val="006B00B0"/>
    <w:rsid w:val="006B0272"/>
    <w:rsid w:val="006B0C13"/>
    <w:rsid w:val="006B0F21"/>
    <w:rsid w:val="006B189C"/>
    <w:rsid w:val="006B1AA5"/>
    <w:rsid w:val="006B2F3E"/>
    <w:rsid w:val="006B305A"/>
    <w:rsid w:val="006B3133"/>
    <w:rsid w:val="006B3AA7"/>
    <w:rsid w:val="006B4416"/>
    <w:rsid w:val="006B5D96"/>
    <w:rsid w:val="006B6C38"/>
    <w:rsid w:val="006B7972"/>
    <w:rsid w:val="006C55DE"/>
    <w:rsid w:val="006C5755"/>
    <w:rsid w:val="006C59DB"/>
    <w:rsid w:val="006C6A2B"/>
    <w:rsid w:val="006C7E5D"/>
    <w:rsid w:val="006D0F71"/>
    <w:rsid w:val="006D2A34"/>
    <w:rsid w:val="006D30C7"/>
    <w:rsid w:val="006D3450"/>
    <w:rsid w:val="006D4C5C"/>
    <w:rsid w:val="006D4CBF"/>
    <w:rsid w:val="006D4DFC"/>
    <w:rsid w:val="006D5BED"/>
    <w:rsid w:val="006D5E8D"/>
    <w:rsid w:val="006D6728"/>
    <w:rsid w:val="006E00A2"/>
    <w:rsid w:val="006E2509"/>
    <w:rsid w:val="006E4629"/>
    <w:rsid w:val="006E6CB2"/>
    <w:rsid w:val="006E774F"/>
    <w:rsid w:val="006F022D"/>
    <w:rsid w:val="006F1CE3"/>
    <w:rsid w:val="006F2C08"/>
    <w:rsid w:val="006F3638"/>
    <w:rsid w:val="006F4BBE"/>
    <w:rsid w:val="006F635D"/>
    <w:rsid w:val="006F6F64"/>
    <w:rsid w:val="007002B2"/>
    <w:rsid w:val="00702671"/>
    <w:rsid w:val="00703635"/>
    <w:rsid w:val="007046CF"/>
    <w:rsid w:val="007071AD"/>
    <w:rsid w:val="00710CF6"/>
    <w:rsid w:val="007113CE"/>
    <w:rsid w:val="007121DA"/>
    <w:rsid w:val="007128F9"/>
    <w:rsid w:val="00712C25"/>
    <w:rsid w:val="00714E70"/>
    <w:rsid w:val="00717C17"/>
    <w:rsid w:val="00720102"/>
    <w:rsid w:val="00720D4A"/>
    <w:rsid w:val="0072233B"/>
    <w:rsid w:val="0072472F"/>
    <w:rsid w:val="00724AE2"/>
    <w:rsid w:val="0072518D"/>
    <w:rsid w:val="00726C6C"/>
    <w:rsid w:val="00727AE9"/>
    <w:rsid w:val="00730BEE"/>
    <w:rsid w:val="00731DE4"/>
    <w:rsid w:val="0073283A"/>
    <w:rsid w:val="00732AA0"/>
    <w:rsid w:val="0073305E"/>
    <w:rsid w:val="00733928"/>
    <w:rsid w:val="007353A2"/>
    <w:rsid w:val="0073679B"/>
    <w:rsid w:val="00737703"/>
    <w:rsid w:val="0074070F"/>
    <w:rsid w:val="007410AC"/>
    <w:rsid w:val="00741D31"/>
    <w:rsid w:val="00741DC5"/>
    <w:rsid w:val="0074248A"/>
    <w:rsid w:val="007442A5"/>
    <w:rsid w:val="0074588A"/>
    <w:rsid w:val="00745F7E"/>
    <w:rsid w:val="00745FF7"/>
    <w:rsid w:val="0074609E"/>
    <w:rsid w:val="00747D77"/>
    <w:rsid w:val="007517F1"/>
    <w:rsid w:val="00751B0A"/>
    <w:rsid w:val="007529DF"/>
    <w:rsid w:val="00753690"/>
    <w:rsid w:val="00754F9A"/>
    <w:rsid w:val="00756472"/>
    <w:rsid w:val="007565EE"/>
    <w:rsid w:val="00756D44"/>
    <w:rsid w:val="00756F14"/>
    <w:rsid w:val="00756F45"/>
    <w:rsid w:val="00761E7F"/>
    <w:rsid w:val="00764137"/>
    <w:rsid w:val="00764AF2"/>
    <w:rsid w:val="007675E0"/>
    <w:rsid w:val="0076795D"/>
    <w:rsid w:val="0077068D"/>
    <w:rsid w:val="007711A9"/>
    <w:rsid w:val="00771C20"/>
    <w:rsid w:val="00772E09"/>
    <w:rsid w:val="00774662"/>
    <w:rsid w:val="0077489D"/>
    <w:rsid w:val="00775E19"/>
    <w:rsid w:val="007769B6"/>
    <w:rsid w:val="00776E39"/>
    <w:rsid w:val="00777CDD"/>
    <w:rsid w:val="00780675"/>
    <w:rsid w:val="0078097A"/>
    <w:rsid w:val="007812F8"/>
    <w:rsid w:val="00781D32"/>
    <w:rsid w:val="00783FE8"/>
    <w:rsid w:val="00784AF7"/>
    <w:rsid w:val="00785A8D"/>
    <w:rsid w:val="00785B12"/>
    <w:rsid w:val="007900DA"/>
    <w:rsid w:val="0079053E"/>
    <w:rsid w:val="00794407"/>
    <w:rsid w:val="007952F6"/>
    <w:rsid w:val="00796705"/>
    <w:rsid w:val="00796E21"/>
    <w:rsid w:val="007A0CA7"/>
    <w:rsid w:val="007A1A79"/>
    <w:rsid w:val="007A4379"/>
    <w:rsid w:val="007A4539"/>
    <w:rsid w:val="007A5107"/>
    <w:rsid w:val="007A707F"/>
    <w:rsid w:val="007B033A"/>
    <w:rsid w:val="007B0DD5"/>
    <w:rsid w:val="007B226C"/>
    <w:rsid w:val="007B46B0"/>
    <w:rsid w:val="007C0F01"/>
    <w:rsid w:val="007C114A"/>
    <w:rsid w:val="007C1612"/>
    <w:rsid w:val="007C2F02"/>
    <w:rsid w:val="007C36B2"/>
    <w:rsid w:val="007C41E1"/>
    <w:rsid w:val="007C4328"/>
    <w:rsid w:val="007C43F0"/>
    <w:rsid w:val="007C4C81"/>
    <w:rsid w:val="007C5B23"/>
    <w:rsid w:val="007C6B93"/>
    <w:rsid w:val="007C6D42"/>
    <w:rsid w:val="007C7148"/>
    <w:rsid w:val="007D601F"/>
    <w:rsid w:val="007D7D8B"/>
    <w:rsid w:val="007E2040"/>
    <w:rsid w:val="007E2FA2"/>
    <w:rsid w:val="007E567A"/>
    <w:rsid w:val="007E6FE5"/>
    <w:rsid w:val="007E79BA"/>
    <w:rsid w:val="007F090B"/>
    <w:rsid w:val="007F0ACD"/>
    <w:rsid w:val="007F117D"/>
    <w:rsid w:val="007F189D"/>
    <w:rsid w:val="007F1D69"/>
    <w:rsid w:val="007F2126"/>
    <w:rsid w:val="007F4B90"/>
    <w:rsid w:val="007F68AE"/>
    <w:rsid w:val="008024A8"/>
    <w:rsid w:val="008024B8"/>
    <w:rsid w:val="00803028"/>
    <w:rsid w:val="0080318D"/>
    <w:rsid w:val="008053D2"/>
    <w:rsid w:val="00805C9E"/>
    <w:rsid w:val="00811B05"/>
    <w:rsid w:val="008122EA"/>
    <w:rsid w:val="0081328C"/>
    <w:rsid w:val="00815CF2"/>
    <w:rsid w:val="008161D5"/>
    <w:rsid w:val="00816435"/>
    <w:rsid w:val="00816A7B"/>
    <w:rsid w:val="0081737E"/>
    <w:rsid w:val="00820EA7"/>
    <w:rsid w:val="00821BD3"/>
    <w:rsid w:val="00823287"/>
    <w:rsid w:val="00824D09"/>
    <w:rsid w:val="00825082"/>
    <w:rsid w:val="0082543E"/>
    <w:rsid w:val="00826910"/>
    <w:rsid w:val="00826C17"/>
    <w:rsid w:val="008318F1"/>
    <w:rsid w:val="00831D4F"/>
    <w:rsid w:val="008320C3"/>
    <w:rsid w:val="00833445"/>
    <w:rsid w:val="00834427"/>
    <w:rsid w:val="00834C72"/>
    <w:rsid w:val="00835161"/>
    <w:rsid w:val="00836D5C"/>
    <w:rsid w:val="008371AF"/>
    <w:rsid w:val="0083739F"/>
    <w:rsid w:val="008375D2"/>
    <w:rsid w:val="00840FEE"/>
    <w:rsid w:val="0084163F"/>
    <w:rsid w:val="0084356F"/>
    <w:rsid w:val="008442C4"/>
    <w:rsid w:val="00845101"/>
    <w:rsid w:val="008507A0"/>
    <w:rsid w:val="008536C5"/>
    <w:rsid w:val="00853922"/>
    <w:rsid w:val="00853B91"/>
    <w:rsid w:val="0085467F"/>
    <w:rsid w:val="00854A12"/>
    <w:rsid w:val="008557AB"/>
    <w:rsid w:val="00857327"/>
    <w:rsid w:val="00862762"/>
    <w:rsid w:val="00865573"/>
    <w:rsid w:val="00866AEE"/>
    <w:rsid w:val="00866F22"/>
    <w:rsid w:val="008677BA"/>
    <w:rsid w:val="00871C5D"/>
    <w:rsid w:val="0087596D"/>
    <w:rsid w:val="00876CDE"/>
    <w:rsid w:val="0087715B"/>
    <w:rsid w:val="00877FF5"/>
    <w:rsid w:val="00881084"/>
    <w:rsid w:val="008853D0"/>
    <w:rsid w:val="008861CF"/>
    <w:rsid w:val="00886233"/>
    <w:rsid w:val="00886268"/>
    <w:rsid w:val="00886CB1"/>
    <w:rsid w:val="00887D53"/>
    <w:rsid w:val="00890F8B"/>
    <w:rsid w:val="00893AA4"/>
    <w:rsid w:val="008940A2"/>
    <w:rsid w:val="008A0318"/>
    <w:rsid w:val="008A1694"/>
    <w:rsid w:val="008A18A6"/>
    <w:rsid w:val="008A2636"/>
    <w:rsid w:val="008A4629"/>
    <w:rsid w:val="008A5248"/>
    <w:rsid w:val="008A5A7A"/>
    <w:rsid w:val="008A71E7"/>
    <w:rsid w:val="008B09B3"/>
    <w:rsid w:val="008B179C"/>
    <w:rsid w:val="008B2226"/>
    <w:rsid w:val="008B2811"/>
    <w:rsid w:val="008B2F7B"/>
    <w:rsid w:val="008B69D1"/>
    <w:rsid w:val="008C1E9E"/>
    <w:rsid w:val="008C20BE"/>
    <w:rsid w:val="008C3544"/>
    <w:rsid w:val="008C35EE"/>
    <w:rsid w:val="008C615B"/>
    <w:rsid w:val="008C6166"/>
    <w:rsid w:val="008C7408"/>
    <w:rsid w:val="008C77F2"/>
    <w:rsid w:val="008C7F67"/>
    <w:rsid w:val="008D27B4"/>
    <w:rsid w:val="008D6323"/>
    <w:rsid w:val="008D725F"/>
    <w:rsid w:val="008E2D8A"/>
    <w:rsid w:val="008E3248"/>
    <w:rsid w:val="008E4DEE"/>
    <w:rsid w:val="008E5E0C"/>
    <w:rsid w:val="008E6967"/>
    <w:rsid w:val="008E7D7B"/>
    <w:rsid w:val="008F066C"/>
    <w:rsid w:val="008F0963"/>
    <w:rsid w:val="008F1745"/>
    <w:rsid w:val="008F4994"/>
    <w:rsid w:val="008F517E"/>
    <w:rsid w:val="008F522C"/>
    <w:rsid w:val="008F5974"/>
    <w:rsid w:val="008F61F8"/>
    <w:rsid w:val="008F6772"/>
    <w:rsid w:val="008F7816"/>
    <w:rsid w:val="008F7DB0"/>
    <w:rsid w:val="00903E66"/>
    <w:rsid w:val="00910868"/>
    <w:rsid w:val="00910AA1"/>
    <w:rsid w:val="00910D70"/>
    <w:rsid w:val="0091125D"/>
    <w:rsid w:val="0091155B"/>
    <w:rsid w:val="00911EB6"/>
    <w:rsid w:val="00913301"/>
    <w:rsid w:val="0091334C"/>
    <w:rsid w:val="0091357A"/>
    <w:rsid w:val="00913693"/>
    <w:rsid w:val="0091394C"/>
    <w:rsid w:val="00914259"/>
    <w:rsid w:val="009174FE"/>
    <w:rsid w:val="0092028B"/>
    <w:rsid w:val="00920E33"/>
    <w:rsid w:val="00923A6B"/>
    <w:rsid w:val="00925A86"/>
    <w:rsid w:val="00925EB0"/>
    <w:rsid w:val="00930B2A"/>
    <w:rsid w:val="00932036"/>
    <w:rsid w:val="009326FE"/>
    <w:rsid w:val="00933154"/>
    <w:rsid w:val="00935A96"/>
    <w:rsid w:val="00936B79"/>
    <w:rsid w:val="00937D05"/>
    <w:rsid w:val="0094168B"/>
    <w:rsid w:val="00941FC3"/>
    <w:rsid w:val="00942E38"/>
    <w:rsid w:val="00943F1B"/>
    <w:rsid w:val="009450AC"/>
    <w:rsid w:val="009453A7"/>
    <w:rsid w:val="0094540C"/>
    <w:rsid w:val="009457B3"/>
    <w:rsid w:val="00945992"/>
    <w:rsid w:val="009469DA"/>
    <w:rsid w:val="00950791"/>
    <w:rsid w:val="00950917"/>
    <w:rsid w:val="00956275"/>
    <w:rsid w:val="00956AE2"/>
    <w:rsid w:val="0096075D"/>
    <w:rsid w:val="00962C91"/>
    <w:rsid w:val="00963AE3"/>
    <w:rsid w:val="0096470E"/>
    <w:rsid w:val="00971E5E"/>
    <w:rsid w:val="00971ED7"/>
    <w:rsid w:val="009741A4"/>
    <w:rsid w:val="00981397"/>
    <w:rsid w:val="00981748"/>
    <w:rsid w:val="00982CC9"/>
    <w:rsid w:val="009846F6"/>
    <w:rsid w:val="00992E56"/>
    <w:rsid w:val="009936BE"/>
    <w:rsid w:val="00993702"/>
    <w:rsid w:val="0099381F"/>
    <w:rsid w:val="009A1ED9"/>
    <w:rsid w:val="009A23E0"/>
    <w:rsid w:val="009A24ED"/>
    <w:rsid w:val="009A266D"/>
    <w:rsid w:val="009A6F0A"/>
    <w:rsid w:val="009B3C8C"/>
    <w:rsid w:val="009B52A2"/>
    <w:rsid w:val="009B54D7"/>
    <w:rsid w:val="009B6230"/>
    <w:rsid w:val="009B66CB"/>
    <w:rsid w:val="009B7406"/>
    <w:rsid w:val="009B7C1A"/>
    <w:rsid w:val="009C082F"/>
    <w:rsid w:val="009C1172"/>
    <w:rsid w:val="009C26A3"/>
    <w:rsid w:val="009C2A0E"/>
    <w:rsid w:val="009C7A47"/>
    <w:rsid w:val="009C7D2C"/>
    <w:rsid w:val="009D0CEE"/>
    <w:rsid w:val="009D1469"/>
    <w:rsid w:val="009D3587"/>
    <w:rsid w:val="009D358D"/>
    <w:rsid w:val="009D5052"/>
    <w:rsid w:val="009D5E50"/>
    <w:rsid w:val="009D6619"/>
    <w:rsid w:val="009E5BE1"/>
    <w:rsid w:val="009E6899"/>
    <w:rsid w:val="009E7AE9"/>
    <w:rsid w:val="009F0F81"/>
    <w:rsid w:val="009F227A"/>
    <w:rsid w:val="009F34C0"/>
    <w:rsid w:val="009F4009"/>
    <w:rsid w:val="009F55FC"/>
    <w:rsid w:val="00A01EB5"/>
    <w:rsid w:val="00A04EDB"/>
    <w:rsid w:val="00A057CE"/>
    <w:rsid w:val="00A05DD2"/>
    <w:rsid w:val="00A07165"/>
    <w:rsid w:val="00A07905"/>
    <w:rsid w:val="00A07E47"/>
    <w:rsid w:val="00A1123B"/>
    <w:rsid w:val="00A13D6F"/>
    <w:rsid w:val="00A14A56"/>
    <w:rsid w:val="00A15739"/>
    <w:rsid w:val="00A15DFD"/>
    <w:rsid w:val="00A16EFE"/>
    <w:rsid w:val="00A210D5"/>
    <w:rsid w:val="00A21AFE"/>
    <w:rsid w:val="00A21E4A"/>
    <w:rsid w:val="00A21EBC"/>
    <w:rsid w:val="00A22BD7"/>
    <w:rsid w:val="00A26753"/>
    <w:rsid w:val="00A26D13"/>
    <w:rsid w:val="00A2711C"/>
    <w:rsid w:val="00A273F9"/>
    <w:rsid w:val="00A32397"/>
    <w:rsid w:val="00A36793"/>
    <w:rsid w:val="00A37C6E"/>
    <w:rsid w:val="00A4012E"/>
    <w:rsid w:val="00A42B62"/>
    <w:rsid w:val="00A43174"/>
    <w:rsid w:val="00A44A9A"/>
    <w:rsid w:val="00A50440"/>
    <w:rsid w:val="00A50E72"/>
    <w:rsid w:val="00A52103"/>
    <w:rsid w:val="00A52920"/>
    <w:rsid w:val="00A5351F"/>
    <w:rsid w:val="00A57689"/>
    <w:rsid w:val="00A605AA"/>
    <w:rsid w:val="00A60674"/>
    <w:rsid w:val="00A625B0"/>
    <w:rsid w:val="00A6286D"/>
    <w:rsid w:val="00A63E36"/>
    <w:rsid w:val="00A65F41"/>
    <w:rsid w:val="00A66003"/>
    <w:rsid w:val="00A66119"/>
    <w:rsid w:val="00A66609"/>
    <w:rsid w:val="00A70832"/>
    <w:rsid w:val="00A70BAC"/>
    <w:rsid w:val="00A71B86"/>
    <w:rsid w:val="00A72914"/>
    <w:rsid w:val="00A7299B"/>
    <w:rsid w:val="00A74103"/>
    <w:rsid w:val="00A75BA2"/>
    <w:rsid w:val="00A76116"/>
    <w:rsid w:val="00A77BA2"/>
    <w:rsid w:val="00A77E25"/>
    <w:rsid w:val="00A83682"/>
    <w:rsid w:val="00A83AA8"/>
    <w:rsid w:val="00A84B58"/>
    <w:rsid w:val="00A85310"/>
    <w:rsid w:val="00A85647"/>
    <w:rsid w:val="00A85C5E"/>
    <w:rsid w:val="00A87A13"/>
    <w:rsid w:val="00A87C4C"/>
    <w:rsid w:val="00A900AD"/>
    <w:rsid w:val="00A90C84"/>
    <w:rsid w:val="00A91EA3"/>
    <w:rsid w:val="00A91EFD"/>
    <w:rsid w:val="00A92BC0"/>
    <w:rsid w:val="00A935C3"/>
    <w:rsid w:val="00A951B3"/>
    <w:rsid w:val="00A9551F"/>
    <w:rsid w:val="00A95E00"/>
    <w:rsid w:val="00A966BA"/>
    <w:rsid w:val="00A97C51"/>
    <w:rsid w:val="00A97D21"/>
    <w:rsid w:val="00AA1E6E"/>
    <w:rsid w:val="00AA21C0"/>
    <w:rsid w:val="00AA336B"/>
    <w:rsid w:val="00AA3AD4"/>
    <w:rsid w:val="00AA56E4"/>
    <w:rsid w:val="00AA72B2"/>
    <w:rsid w:val="00AB24DF"/>
    <w:rsid w:val="00AB2597"/>
    <w:rsid w:val="00AB26F8"/>
    <w:rsid w:val="00AB467E"/>
    <w:rsid w:val="00AB471E"/>
    <w:rsid w:val="00AB5020"/>
    <w:rsid w:val="00AB5EF3"/>
    <w:rsid w:val="00AB5EF8"/>
    <w:rsid w:val="00AB6218"/>
    <w:rsid w:val="00AC0A2D"/>
    <w:rsid w:val="00AC0ACA"/>
    <w:rsid w:val="00AC2D63"/>
    <w:rsid w:val="00AC43C5"/>
    <w:rsid w:val="00AC6F0E"/>
    <w:rsid w:val="00AC6F8A"/>
    <w:rsid w:val="00AD0CF6"/>
    <w:rsid w:val="00AD37B1"/>
    <w:rsid w:val="00AD5C50"/>
    <w:rsid w:val="00AD5E94"/>
    <w:rsid w:val="00AD6BF4"/>
    <w:rsid w:val="00AD7E9B"/>
    <w:rsid w:val="00AE41BB"/>
    <w:rsid w:val="00AE4AD0"/>
    <w:rsid w:val="00AE6C8B"/>
    <w:rsid w:val="00AE7113"/>
    <w:rsid w:val="00AF0FF7"/>
    <w:rsid w:val="00AF275B"/>
    <w:rsid w:val="00AF2898"/>
    <w:rsid w:val="00AF2FC7"/>
    <w:rsid w:val="00AF3891"/>
    <w:rsid w:val="00AF4483"/>
    <w:rsid w:val="00AF52FA"/>
    <w:rsid w:val="00AF552F"/>
    <w:rsid w:val="00AF5E27"/>
    <w:rsid w:val="00B005A8"/>
    <w:rsid w:val="00B06399"/>
    <w:rsid w:val="00B063F9"/>
    <w:rsid w:val="00B12182"/>
    <w:rsid w:val="00B125E5"/>
    <w:rsid w:val="00B13AEE"/>
    <w:rsid w:val="00B14DC1"/>
    <w:rsid w:val="00B16B9A"/>
    <w:rsid w:val="00B16F03"/>
    <w:rsid w:val="00B171F9"/>
    <w:rsid w:val="00B17E37"/>
    <w:rsid w:val="00B26276"/>
    <w:rsid w:val="00B30549"/>
    <w:rsid w:val="00B309A8"/>
    <w:rsid w:val="00B360AC"/>
    <w:rsid w:val="00B3636A"/>
    <w:rsid w:val="00B366D3"/>
    <w:rsid w:val="00B4038A"/>
    <w:rsid w:val="00B41410"/>
    <w:rsid w:val="00B41785"/>
    <w:rsid w:val="00B419DC"/>
    <w:rsid w:val="00B50325"/>
    <w:rsid w:val="00B52AAA"/>
    <w:rsid w:val="00B540FE"/>
    <w:rsid w:val="00B54B52"/>
    <w:rsid w:val="00B54D8A"/>
    <w:rsid w:val="00B56406"/>
    <w:rsid w:val="00B608EE"/>
    <w:rsid w:val="00B64827"/>
    <w:rsid w:val="00B673C3"/>
    <w:rsid w:val="00B67FD6"/>
    <w:rsid w:val="00B70C05"/>
    <w:rsid w:val="00B71550"/>
    <w:rsid w:val="00B732FA"/>
    <w:rsid w:val="00B747BC"/>
    <w:rsid w:val="00B75760"/>
    <w:rsid w:val="00B75824"/>
    <w:rsid w:val="00B806A6"/>
    <w:rsid w:val="00B82795"/>
    <w:rsid w:val="00B82E44"/>
    <w:rsid w:val="00B83B54"/>
    <w:rsid w:val="00B848F3"/>
    <w:rsid w:val="00B86642"/>
    <w:rsid w:val="00B87770"/>
    <w:rsid w:val="00B902C6"/>
    <w:rsid w:val="00B90F14"/>
    <w:rsid w:val="00B92341"/>
    <w:rsid w:val="00B9248A"/>
    <w:rsid w:val="00B925F4"/>
    <w:rsid w:val="00B9412C"/>
    <w:rsid w:val="00B97F4D"/>
    <w:rsid w:val="00BA06B5"/>
    <w:rsid w:val="00BA48FA"/>
    <w:rsid w:val="00BA710E"/>
    <w:rsid w:val="00BA7219"/>
    <w:rsid w:val="00BB0F44"/>
    <w:rsid w:val="00BB1A6E"/>
    <w:rsid w:val="00BB2C95"/>
    <w:rsid w:val="00BB3D36"/>
    <w:rsid w:val="00BB4743"/>
    <w:rsid w:val="00BB4871"/>
    <w:rsid w:val="00BB5E52"/>
    <w:rsid w:val="00BB7FAA"/>
    <w:rsid w:val="00BC1A6C"/>
    <w:rsid w:val="00BC1C1F"/>
    <w:rsid w:val="00BC28C1"/>
    <w:rsid w:val="00BC37FD"/>
    <w:rsid w:val="00BC47A2"/>
    <w:rsid w:val="00BC516C"/>
    <w:rsid w:val="00BC587E"/>
    <w:rsid w:val="00BD2331"/>
    <w:rsid w:val="00BD25EE"/>
    <w:rsid w:val="00BD2703"/>
    <w:rsid w:val="00BD2A2B"/>
    <w:rsid w:val="00BD6999"/>
    <w:rsid w:val="00BD7B98"/>
    <w:rsid w:val="00BE1F68"/>
    <w:rsid w:val="00BE25E4"/>
    <w:rsid w:val="00BE4D85"/>
    <w:rsid w:val="00BE6F44"/>
    <w:rsid w:val="00BE7C28"/>
    <w:rsid w:val="00BF0D48"/>
    <w:rsid w:val="00BF188E"/>
    <w:rsid w:val="00BF2B0B"/>
    <w:rsid w:val="00BF2B6F"/>
    <w:rsid w:val="00BF3648"/>
    <w:rsid w:val="00BF406E"/>
    <w:rsid w:val="00BF4B08"/>
    <w:rsid w:val="00BF6ECE"/>
    <w:rsid w:val="00BF74F7"/>
    <w:rsid w:val="00BF75E1"/>
    <w:rsid w:val="00C00FEB"/>
    <w:rsid w:val="00C034B1"/>
    <w:rsid w:val="00C038C2"/>
    <w:rsid w:val="00C07727"/>
    <w:rsid w:val="00C10EB4"/>
    <w:rsid w:val="00C131DD"/>
    <w:rsid w:val="00C1476F"/>
    <w:rsid w:val="00C14808"/>
    <w:rsid w:val="00C149F2"/>
    <w:rsid w:val="00C1573B"/>
    <w:rsid w:val="00C15DE5"/>
    <w:rsid w:val="00C16F71"/>
    <w:rsid w:val="00C20A63"/>
    <w:rsid w:val="00C20CA7"/>
    <w:rsid w:val="00C22740"/>
    <w:rsid w:val="00C23107"/>
    <w:rsid w:val="00C23AF9"/>
    <w:rsid w:val="00C26763"/>
    <w:rsid w:val="00C27C29"/>
    <w:rsid w:val="00C313A2"/>
    <w:rsid w:val="00C326C0"/>
    <w:rsid w:val="00C32A4F"/>
    <w:rsid w:val="00C32C1C"/>
    <w:rsid w:val="00C364C9"/>
    <w:rsid w:val="00C3702F"/>
    <w:rsid w:val="00C37855"/>
    <w:rsid w:val="00C378CA"/>
    <w:rsid w:val="00C41CBB"/>
    <w:rsid w:val="00C433C1"/>
    <w:rsid w:val="00C436B6"/>
    <w:rsid w:val="00C4452E"/>
    <w:rsid w:val="00C47FE4"/>
    <w:rsid w:val="00C50FB9"/>
    <w:rsid w:val="00C5250E"/>
    <w:rsid w:val="00C53C20"/>
    <w:rsid w:val="00C5712D"/>
    <w:rsid w:val="00C62DD4"/>
    <w:rsid w:val="00C638A5"/>
    <w:rsid w:val="00C63DCF"/>
    <w:rsid w:val="00C7112F"/>
    <w:rsid w:val="00C747A4"/>
    <w:rsid w:val="00C75A99"/>
    <w:rsid w:val="00C76E6A"/>
    <w:rsid w:val="00C80135"/>
    <w:rsid w:val="00C81284"/>
    <w:rsid w:val="00C8319D"/>
    <w:rsid w:val="00C8363F"/>
    <w:rsid w:val="00C83E87"/>
    <w:rsid w:val="00C848A4"/>
    <w:rsid w:val="00C84BAB"/>
    <w:rsid w:val="00C85755"/>
    <w:rsid w:val="00C85A25"/>
    <w:rsid w:val="00C866E0"/>
    <w:rsid w:val="00C86934"/>
    <w:rsid w:val="00C86A92"/>
    <w:rsid w:val="00C86C82"/>
    <w:rsid w:val="00C90C41"/>
    <w:rsid w:val="00C92401"/>
    <w:rsid w:val="00C93F7D"/>
    <w:rsid w:val="00C94E7E"/>
    <w:rsid w:val="00C95A85"/>
    <w:rsid w:val="00C97CD0"/>
    <w:rsid w:val="00C97CDC"/>
    <w:rsid w:val="00CA094B"/>
    <w:rsid w:val="00CA1F94"/>
    <w:rsid w:val="00CA33CA"/>
    <w:rsid w:val="00CA4742"/>
    <w:rsid w:val="00CA4BD7"/>
    <w:rsid w:val="00CA59B8"/>
    <w:rsid w:val="00CA62D0"/>
    <w:rsid w:val="00CA6493"/>
    <w:rsid w:val="00CA7B5F"/>
    <w:rsid w:val="00CA7C6B"/>
    <w:rsid w:val="00CB065A"/>
    <w:rsid w:val="00CB1121"/>
    <w:rsid w:val="00CB12B0"/>
    <w:rsid w:val="00CB1C99"/>
    <w:rsid w:val="00CB1D19"/>
    <w:rsid w:val="00CB28E7"/>
    <w:rsid w:val="00CB364A"/>
    <w:rsid w:val="00CB59D2"/>
    <w:rsid w:val="00CB5F20"/>
    <w:rsid w:val="00CB63A1"/>
    <w:rsid w:val="00CB705E"/>
    <w:rsid w:val="00CC00D3"/>
    <w:rsid w:val="00CC2813"/>
    <w:rsid w:val="00CC3006"/>
    <w:rsid w:val="00CC685A"/>
    <w:rsid w:val="00CD224B"/>
    <w:rsid w:val="00CD6DBE"/>
    <w:rsid w:val="00CE2065"/>
    <w:rsid w:val="00CE22D5"/>
    <w:rsid w:val="00CE2A59"/>
    <w:rsid w:val="00CE3276"/>
    <w:rsid w:val="00CE35B5"/>
    <w:rsid w:val="00CE3A3F"/>
    <w:rsid w:val="00CE5A22"/>
    <w:rsid w:val="00CE651C"/>
    <w:rsid w:val="00CE6C55"/>
    <w:rsid w:val="00CF1618"/>
    <w:rsid w:val="00CF3758"/>
    <w:rsid w:val="00CF3A28"/>
    <w:rsid w:val="00CF4DC1"/>
    <w:rsid w:val="00CF52D8"/>
    <w:rsid w:val="00D029D4"/>
    <w:rsid w:val="00D03B35"/>
    <w:rsid w:val="00D047DF"/>
    <w:rsid w:val="00D05D90"/>
    <w:rsid w:val="00D06EEC"/>
    <w:rsid w:val="00D10297"/>
    <w:rsid w:val="00D11B24"/>
    <w:rsid w:val="00D136A2"/>
    <w:rsid w:val="00D162EE"/>
    <w:rsid w:val="00D21724"/>
    <w:rsid w:val="00D24516"/>
    <w:rsid w:val="00D24CDB"/>
    <w:rsid w:val="00D24F66"/>
    <w:rsid w:val="00D26A26"/>
    <w:rsid w:val="00D27326"/>
    <w:rsid w:val="00D30101"/>
    <w:rsid w:val="00D31081"/>
    <w:rsid w:val="00D3189A"/>
    <w:rsid w:val="00D3241F"/>
    <w:rsid w:val="00D36FE3"/>
    <w:rsid w:val="00D37047"/>
    <w:rsid w:val="00D379BA"/>
    <w:rsid w:val="00D4043C"/>
    <w:rsid w:val="00D41D62"/>
    <w:rsid w:val="00D41DCF"/>
    <w:rsid w:val="00D43A19"/>
    <w:rsid w:val="00D43BED"/>
    <w:rsid w:val="00D4464E"/>
    <w:rsid w:val="00D44C9A"/>
    <w:rsid w:val="00D461E8"/>
    <w:rsid w:val="00D46C42"/>
    <w:rsid w:val="00D50107"/>
    <w:rsid w:val="00D523D7"/>
    <w:rsid w:val="00D52BAE"/>
    <w:rsid w:val="00D52FA0"/>
    <w:rsid w:val="00D538F5"/>
    <w:rsid w:val="00D5686A"/>
    <w:rsid w:val="00D56E6F"/>
    <w:rsid w:val="00D60C6F"/>
    <w:rsid w:val="00D61345"/>
    <w:rsid w:val="00D61908"/>
    <w:rsid w:val="00D714CC"/>
    <w:rsid w:val="00D729BD"/>
    <w:rsid w:val="00D72E80"/>
    <w:rsid w:val="00D732F9"/>
    <w:rsid w:val="00D75694"/>
    <w:rsid w:val="00D756D0"/>
    <w:rsid w:val="00D763CB"/>
    <w:rsid w:val="00D765F8"/>
    <w:rsid w:val="00D76615"/>
    <w:rsid w:val="00D805E1"/>
    <w:rsid w:val="00D81A22"/>
    <w:rsid w:val="00D8269E"/>
    <w:rsid w:val="00D833DF"/>
    <w:rsid w:val="00D83EBA"/>
    <w:rsid w:val="00D847E7"/>
    <w:rsid w:val="00D86268"/>
    <w:rsid w:val="00D87D8F"/>
    <w:rsid w:val="00D90E45"/>
    <w:rsid w:val="00D93E2F"/>
    <w:rsid w:val="00D95B9C"/>
    <w:rsid w:val="00D95E81"/>
    <w:rsid w:val="00D96E2F"/>
    <w:rsid w:val="00D97AFB"/>
    <w:rsid w:val="00DA3124"/>
    <w:rsid w:val="00DA39CA"/>
    <w:rsid w:val="00DA5AEF"/>
    <w:rsid w:val="00DA5EF8"/>
    <w:rsid w:val="00DB509F"/>
    <w:rsid w:val="00DB56C1"/>
    <w:rsid w:val="00DB73EA"/>
    <w:rsid w:val="00DC18E3"/>
    <w:rsid w:val="00DC7A4C"/>
    <w:rsid w:val="00DD0BBA"/>
    <w:rsid w:val="00DD0DE2"/>
    <w:rsid w:val="00DD1227"/>
    <w:rsid w:val="00DD1419"/>
    <w:rsid w:val="00DD3AD8"/>
    <w:rsid w:val="00DD6F7D"/>
    <w:rsid w:val="00DE00F7"/>
    <w:rsid w:val="00DE2130"/>
    <w:rsid w:val="00DE2151"/>
    <w:rsid w:val="00DE41B6"/>
    <w:rsid w:val="00DE562A"/>
    <w:rsid w:val="00DE64CA"/>
    <w:rsid w:val="00DE6640"/>
    <w:rsid w:val="00DE7867"/>
    <w:rsid w:val="00DE7C9A"/>
    <w:rsid w:val="00DE7F7E"/>
    <w:rsid w:val="00DF3999"/>
    <w:rsid w:val="00DF4AE1"/>
    <w:rsid w:val="00DF54F3"/>
    <w:rsid w:val="00DF6778"/>
    <w:rsid w:val="00DF7228"/>
    <w:rsid w:val="00E00527"/>
    <w:rsid w:val="00E008BB"/>
    <w:rsid w:val="00E010FA"/>
    <w:rsid w:val="00E0424A"/>
    <w:rsid w:val="00E056DE"/>
    <w:rsid w:val="00E05758"/>
    <w:rsid w:val="00E059FC"/>
    <w:rsid w:val="00E06801"/>
    <w:rsid w:val="00E06C18"/>
    <w:rsid w:val="00E1220E"/>
    <w:rsid w:val="00E131F7"/>
    <w:rsid w:val="00E132C3"/>
    <w:rsid w:val="00E13A5E"/>
    <w:rsid w:val="00E13B84"/>
    <w:rsid w:val="00E14DB5"/>
    <w:rsid w:val="00E16118"/>
    <w:rsid w:val="00E21538"/>
    <w:rsid w:val="00E22AE4"/>
    <w:rsid w:val="00E3207A"/>
    <w:rsid w:val="00E35D9D"/>
    <w:rsid w:val="00E366AC"/>
    <w:rsid w:val="00E36797"/>
    <w:rsid w:val="00E37EBE"/>
    <w:rsid w:val="00E40FF5"/>
    <w:rsid w:val="00E43E4F"/>
    <w:rsid w:val="00E4673C"/>
    <w:rsid w:val="00E46A92"/>
    <w:rsid w:val="00E47AD2"/>
    <w:rsid w:val="00E50411"/>
    <w:rsid w:val="00E514D3"/>
    <w:rsid w:val="00E51577"/>
    <w:rsid w:val="00E516FC"/>
    <w:rsid w:val="00E521CA"/>
    <w:rsid w:val="00E535E5"/>
    <w:rsid w:val="00E53A50"/>
    <w:rsid w:val="00E54053"/>
    <w:rsid w:val="00E54F5E"/>
    <w:rsid w:val="00E55263"/>
    <w:rsid w:val="00E55370"/>
    <w:rsid w:val="00E61692"/>
    <w:rsid w:val="00E62475"/>
    <w:rsid w:val="00E63C3A"/>
    <w:rsid w:val="00E642D3"/>
    <w:rsid w:val="00E66903"/>
    <w:rsid w:val="00E66AD2"/>
    <w:rsid w:val="00E67504"/>
    <w:rsid w:val="00E67DFC"/>
    <w:rsid w:val="00E700B8"/>
    <w:rsid w:val="00E70E33"/>
    <w:rsid w:val="00E70F63"/>
    <w:rsid w:val="00E725D6"/>
    <w:rsid w:val="00E73E63"/>
    <w:rsid w:val="00E76D9D"/>
    <w:rsid w:val="00E81AD0"/>
    <w:rsid w:val="00E82C81"/>
    <w:rsid w:val="00E83B2E"/>
    <w:rsid w:val="00E86CFB"/>
    <w:rsid w:val="00E86ED8"/>
    <w:rsid w:val="00E8752D"/>
    <w:rsid w:val="00E90852"/>
    <w:rsid w:val="00E909B1"/>
    <w:rsid w:val="00E924AE"/>
    <w:rsid w:val="00E924FE"/>
    <w:rsid w:val="00E9312D"/>
    <w:rsid w:val="00E9412F"/>
    <w:rsid w:val="00E957B3"/>
    <w:rsid w:val="00E96D53"/>
    <w:rsid w:val="00E97ABD"/>
    <w:rsid w:val="00EA1236"/>
    <w:rsid w:val="00EA3612"/>
    <w:rsid w:val="00EB3129"/>
    <w:rsid w:val="00EB320B"/>
    <w:rsid w:val="00EB33F0"/>
    <w:rsid w:val="00EB34F0"/>
    <w:rsid w:val="00EB3A21"/>
    <w:rsid w:val="00EB3D59"/>
    <w:rsid w:val="00EB4199"/>
    <w:rsid w:val="00EB485D"/>
    <w:rsid w:val="00EB5D77"/>
    <w:rsid w:val="00EB6D36"/>
    <w:rsid w:val="00EB6FE8"/>
    <w:rsid w:val="00EC012A"/>
    <w:rsid w:val="00EC1E74"/>
    <w:rsid w:val="00EC2008"/>
    <w:rsid w:val="00EC27F6"/>
    <w:rsid w:val="00EC2A84"/>
    <w:rsid w:val="00EC4439"/>
    <w:rsid w:val="00EC44AD"/>
    <w:rsid w:val="00EC48A4"/>
    <w:rsid w:val="00EC4AE5"/>
    <w:rsid w:val="00ED00FC"/>
    <w:rsid w:val="00ED10B0"/>
    <w:rsid w:val="00ED1F26"/>
    <w:rsid w:val="00ED2D0E"/>
    <w:rsid w:val="00ED318E"/>
    <w:rsid w:val="00ED55AA"/>
    <w:rsid w:val="00ED702B"/>
    <w:rsid w:val="00EE2D9E"/>
    <w:rsid w:val="00EE3832"/>
    <w:rsid w:val="00EE494E"/>
    <w:rsid w:val="00EE56F8"/>
    <w:rsid w:val="00EE59E0"/>
    <w:rsid w:val="00EE5F37"/>
    <w:rsid w:val="00EE73E8"/>
    <w:rsid w:val="00EF00FA"/>
    <w:rsid w:val="00EF15E4"/>
    <w:rsid w:val="00EF4227"/>
    <w:rsid w:val="00EF47ED"/>
    <w:rsid w:val="00EF4D70"/>
    <w:rsid w:val="00F000B2"/>
    <w:rsid w:val="00F01278"/>
    <w:rsid w:val="00F01434"/>
    <w:rsid w:val="00F01A50"/>
    <w:rsid w:val="00F01AC6"/>
    <w:rsid w:val="00F0201F"/>
    <w:rsid w:val="00F02FFA"/>
    <w:rsid w:val="00F059DD"/>
    <w:rsid w:val="00F06037"/>
    <w:rsid w:val="00F069CE"/>
    <w:rsid w:val="00F10307"/>
    <w:rsid w:val="00F14449"/>
    <w:rsid w:val="00F14AD7"/>
    <w:rsid w:val="00F164C6"/>
    <w:rsid w:val="00F236FA"/>
    <w:rsid w:val="00F255B6"/>
    <w:rsid w:val="00F3008F"/>
    <w:rsid w:val="00F30AA7"/>
    <w:rsid w:val="00F33129"/>
    <w:rsid w:val="00F33FE2"/>
    <w:rsid w:val="00F34385"/>
    <w:rsid w:val="00F34F52"/>
    <w:rsid w:val="00F3508F"/>
    <w:rsid w:val="00F35D2A"/>
    <w:rsid w:val="00F37171"/>
    <w:rsid w:val="00F375B9"/>
    <w:rsid w:val="00F410AC"/>
    <w:rsid w:val="00F412F6"/>
    <w:rsid w:val="00F42079"/>
    <w:rsid w:val="00F423FF"/>
    <w:rsid w:val="00F43CE7"/>
    <w:rsid w:val="00F44335"/>
    <w:rsid w:val="00F504D8"/>
    <w:rsid w:val="00F532AC"/>
    <w:rsid w:val="00F536B9"/>
    <w:rsid w:val="00F55198"/>
    <w:rsid w:val="00F56FB8"/>
    <w:rsid w:val="00F57205"/>
    <w:rsid w:val="00F60E15"/>
    <w:rsid w:val="00F60FB1"/>
    <w:rsid w:val="00F61292"/>
    <w:rsid w:val="00F61A80"/>
    <w:rsid w:val="00F61AE8"/>
    <w:rsid w:val="00F63018"/>
    <w:rsid w:val="00F63CEE"/>
    <w:rsid w:val="00F65917"/>
    <w:rsid w:val="00F67164"/>
    <w:rsid w:val="00F717E0"/>
    <w:rsid w:val="00F74874"/>
    <w:rsid w:val="00F77983"/>
    <w:rsid w:val="00F77A3A"/>
    <w:rsid w:val="00F8040D"/>
    <w:rsid w:val="00F80B34"/>
    <w:rsid w:val="00F815CE"/>
    <w:rsid w:val="00F83261"/>
    <w:rsid w:val="00F83845"/>
    <w:rsid w:val="00F83890"/>
    <w:rsid w:val="00F84080"/>
    <w:rsid w:val="00F8477B"/>
    <w:rsid w:val="00F84868"/>
    <w:rsid w:val="00F859EF"/>
    <w:rsid w:val="00F86696"/>
    <w:rsid w:val="00F86F82"/>
    <w:rsid w:val="00F87779"/>
    <w:rsid w:val="00F87D76"/>
    <w:rsid w:val="00F87EAA"/>
    <w:rsid w:val="00F9250D"/>
    <w:rsid w:val="00F94007"/>
    <w:rsid w:val="00F95DDE"/>
    <w:rsid w:val="00F970E2"/>
    <w:rsid w:val="00F97142"/>
    <w:rsid w:val="00F97A57"/>
    <w:rsid w:val="00FA2FF5"/>
    <w:rsid w:val="00FA47E8"/>
    <w:rsid w:val="00FA5A75"/>
    <w:rsid w:val="00FA687C"/>
    <w:rsid w:val="00FB0DE5"/>
    <w:rsid w:val="00FB1202"/>
    <w:rsid w:val="00FB6609"/>
    <w:rsid w:val="00FC17C6"/>
    <w:rsid w:val="00FC1DEB"/>
    <w:rsid w:val="00FC2DC3"/>
    <w:rsid w:val="00FC2EC3"/>
    <w:rsid w:val="00FC338C"/>
    <w:rsid w:val="00FC4973"/>
    <w:rsid w:val="00FC6992"/>
    <w:rsid w:val="00FC7FBB"/>
    <w:rsid w:val="00FD0560"/>
    <w:rsid w:val="00FD1B7D"/>
    <w:rsid w:val="00FD3A06"/>
    <w:rsid w:val="00FD5B05"/>
    <w:rsid w:val="00FD7ECA"/>
    <w:rsid w:val="00FE139F"/>
    <w:rsid w:val="00FE169A"/>
    <w:rsid w:val="00FE2A2D"/>
    <w:rsid w:val="00FE2E38"/>
    <w:rsid w:val="00FE2E4F"/>
    <w:rsid w:val="00FE305A"/>
    <w:rsid w:val="00FE36D1"/>
    <w:rsid w:val="00FF04B7"/>
    <w:rsid w:val="00FF22DA"/>
    <w:rsid w:val="00FF38B9"/>
    <w:rsid w:val="00FF4ED8"/>
    <w:rsid w:val="00FF5431"/>
    <w:rsid w:val="00FF6328"/>
    <w:rsid w:val="0273CF2C"/>
    <w:rsid w:val="05D07D88"/>
    <w:rsid w:val="08EE1B82"/>
    <w:rsid w:val="0A082F12"/>
    <w:rsid w:val="0AE315FF"/>
    <w:rsid w:val="10201427"/>
    <w:rsid w:val="1365996D"/>
    <w:rsid w:val="13EAFA88"/>
    <w:rsid w:val="15866CAD"/>
    <w:rsid w:val="1738E86C"/>
    <w:rsid w:val="1DA47597"/>
    <w:rsid w:val="21137C5A"/>
    <w:rsid w:val="214E405B"/>
    <w:rsid w:val="29DC1B6E"/>
    <w:rsid w:val="2A94A75B"/>
    <w:rsid w:val="2D0A71F1"/>
    <w:rsid w:val="2E663C95"/>
    <w:rsid w:val="2FE09B65"/>
    <w:rsid w:val="32393B47"/>
    <w:rsid w:val="3962BBEF"/>
    <w:rsid w:val="4A540DDB"/>
    <w:rsid w:val="4AE062B1"/>
    <w:rsid w:val="4E3511B4"/>
    <w:rsid w:val="51C1D5E3"/>
    <w:rsid w:val="58525670"/>
    <w:rsid w:val="5CB76491"/>
    <w:rsid w:val="5E9B09C1"/>
    <w:rsid w:val="617C1C35"/>
    <w:rsid w:val="62592689"/>
    <w:rsid w:val="62B1239F"/>
    <w:rsid w:val="62DEA876"/>
    <w:rsid w:val="65378193"/>
    <w:rsid w:val="68B05ADF"/>
    <w:rsid w:val="69290877"/>
    <w:rsid w:val="6B54E839"/>
    <w:rsid w:val="6D50AB15"/>
    <w:rsid w:val="6D99AC6B"/>
    <w:rsid w:val="6F82E494"/>
    <w:rsid w:val="76FF7E49"/>
    <w:rsid w:val="78E993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74391C"/>
  <w15:chartTrackingRefBased/>
  <w15:docId w15:val="{41A11C86-6807-484E-9C98-53A117557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880"/>
  </w:style>
  <w:style w:type="paragraph" w:styleId="Heading1">
    <w:name w:val="heading 1"/>
    <w:basedOn w:val="Normal"/>
    <w:next w:val="Normal"/>
    <w:link w:val="Heading1Char"/>
    <w:uiPriority w:val="9"/>
    <w:qFormat/>
    <w:rsid w:val="000278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78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8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8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8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8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8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8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8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8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8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8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8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8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8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8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8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880"/>
    <w:rPr>
      <w:rFonts w:eastAsiaTheme="majorEastAsia" w:cstheme="majorBidi"/>
      <w:color w:val="272727" w:themeColor="text1" w:themeTint="D8"/>
    </w:rPr>
  </w:style>
  <w:style w:type="paragraph" w:styleId="Title">
    <w:name w:val="Title"/>
    <w:basedOn w:val="Normal"/>
    <w:next w:val="Normal"/>
    <w:link w:val="TitleChar"/>
    <w:uiPriority w:val="10"/>
    <w:qFormat/>
    <w:rsid w:val="000278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8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8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8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880"/>
    <w:pPr>
      <w:spacing w:before="160"/>
      <w:jc w:val="center"/>
    </w:pPr>
    <w:rPr>
      <w:i/>
      <w:iCs/>
      <w:color w:val="404040" w:themeColor="text1" w:themeTint="BF"/>
    </w:rPr>
  </w:style>
  <w:style w:type="character" w:customStyle="1" w:styleId="QuoteChar">
    <w:name w:val="Quote Char"/>
    <w:basedOn w:val="DefaultParagraphFont"/>
    <w:link w:val="Quote"/>
    <w:uiPriority w:val="29"/>
    <w:rsid w:val="00027880"/>
    <w:rPr>
      <w:i/>
      <w:iCs/>
      <w:color w:val="404040" w:themeColor="text1" w:themeTint="BF"/>
    </w:rPr>
  </w:style>
  <w:style w:type="paragraph" w:styleId="ListParagraph">
    <w:name w:val="List Paragraph"/>
    <w:basedOn w:val="Normal"/>
    <w:uiPriority w:val="34"/>
    <w:qFormat/>
    <w:rsid w:val="00027880"/>
    <w:pPr>
      <w:ind w:left="720"/>
      <w:contextualSpacing/>
    </w:pPr>
  </w:style>
  <w:style w:type="character" w:styleId="IntenseEmphasis">
    <w:name w:val="Intense Emphasis"/>
    <w:basedOn w:val="DefaultParagraphFont"/>
    <w:uiPriority w:val="21"/>
    <w:qFormat/>
    <w:rsid w:val="00027880"/>
    <w:rPr>
      <w:i/>
      <w:iCs/>
      <w:color w:val="0F4761" w:themeColor="accent1" w:themeShade="BF"/>
    </w:rPr>
  </w:style>
  <w:style w:type="paragraph" w:styleId="IntenseQuote">
    <w:name w:val="Intense Quote"/>
    <w:basedOn w:val="Normal"/>
    <w:next w:val="Normal"/>
    <w:link w:val="IntenseQuoteChar"/>
    <w:uiPriority w:val="30"/>
    <w:qFormat/>
    <w:rsid w:val="000278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880"/>
    <w:rPr>
      <w:i/>
      <w:iCs/>
      <w:color w:val="0F4761" w:themeColor="accent1" w:themeShade="BF"/>
    </w:rPr>
  </w:style>
  <w:style w:type="character" w:styleId="IntenseReference">
    <w:name w:val="Intense Reference"/>
    <w:basedOn w:val="DefaultParagraphFont"/>
    <w:uiPriority w:val="32"/>
    <w:qFormat/>
    <w:rsid w:val="00027880"/>
    <w:rPr>
      <w:b/>
      <w:bCs/>
      <w:smallCaps/>
      <w:color w:val="0F4761" w:themeColor="accent1" w:themeShade="BF"/>
      <w:spacing w:val="5"/>
    </w:rPr>
  </w:style>
  <w:style w:type="paragraph" w:styleId="Header">
    <w:name w:val="header"/>
    <w:basedOn w:val="Normal"/>
    <w:link w:val="HeaderChar"/>
    <w:uiPriority w:val="99"/>
    <w:unhideWhenUsed/>
    <w:rsid w:val="000278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880"/>
  </w:style>
  <w:style w:type="paragraph" w:styleId="Footer">
    <w:name w:val="footer"/>
    <w:basedOn w:val="Normal"/>
    <w:link w:val="FooterChar"/>
    <w:uiPriority w:val="99"/>
    <w:unhideWhenUsed/>
    <w:rsid w:val="00027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880"/>
  </w:style>
  <w:style w:type="character" w:styleId="CommentReference">
    <w:name w:val="annotation reference"/>
    <w:basedOn w:val="DefaultParagraphFont"/>
    <w:uiPriority w:val="99"/>
    <w:semiHidden/>
    <w:unhideWhenUsed/>
    <w:rsid w:val="00027880"/>
    <w:rPr>
      <w:sz w:val="16"/>
      <w:szCs w:val="16"/>
    </w:rPr>
  </w:style>
  <w:style w:type="paragraph" w:styleId="CommentText">
    <w:name w:val="annotation text"/>
    <w:basedOn w:val="Normal"/>
    <w:link w:val="CommentTextChar"/>
    <w:uiPriority w:val="99"/>
    <w:unhideWhenUsed/>
    <w:rsid w:val="00027880"/>
    <w:pPr>
      <w:spacing w:line="240" w:lineRule="auto"/>
    </w:pPr>
    <w:rPr>
      <w:sz w:val="20"/>
      <w:szCs w:val="20"/>
    </w:rPr>
  </w:style>
  <w:style w:type="character" w:customStyle="1" w:styleId="CommentTextChar">
    <w:name w:val="Comment Text Char"/>
    <w:basedOn w:val="DefaultParagraphFont"/>
    <w:link w:val="CommentText"/>
    <w:uiPriority w:val="99"/>
    <w:rsid w:val="00027880"/>
    <w:rPr>
      <w:sz w:val="20"/>
      <w:szCs w:val="20"/>
    </w:rPr>
  </w:style>
  <w:style w:type="paragraph" w:styleId="CommentSubject">
    <w:name w:val="annotation subject"/>
    <w:basedOn w:val="CommentText"/>
    <w:next w:val="CommentText"/>
    <w:link w:val="CommentSubjectChar"/>
    <w:uiPriority w:val="99"/>
    <w:semiHidden/>
    <w:unhideWhenUsed/>
    <w:rsid w:val="00027880"/>
    <w:rPr>
      <w:b/>
      <w:bCs/>
    </w:rPr>
  </w:style>
  <w:style w:type="character" w:customStyle="1" w:styleId="CommentSubjectChar">
    <w:name w:val="Comment Subject Char"/>
    <w:basedOn w:val="CommentTextChar"/>
    <w:link w:val="CommentSubject"/>
    <w:uiPriority w:val="99"/>
    <w:semiHidden/>
    <w:rsid w:val="00027880"/>
    <w:rPr>
      <w:b/>
      <w:bCs/>
      <w:sz w:val="20"/>
      <w:szCs w:val="20"/>
    </w:rPr>
  </w:style>
  <w:style w:type="paragraph" w:styleId="NoSpacing">
    <w:name w:val="No Spacing"/>
    <w:link w:val="NoSpacingChar"/>
    <w:uiPriority w:val="1"/>
    <w:qFormat/>
    <w:rsid w:val="0002788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27880"/>
    <w:rPr>
      <w:rFonts w:eastAsiaTheme="minorEastAsia"/>
      <w:kern w:val="0"/>
      <w:lang w:val="en-US"/>
      <w14:ligatures w14:val="none"/>
    </w:rPr>
  </w:style>
  <w:style w:type="table" w:styleId="TableGrid">
    <w:name w:val="Table Grid"/>
    <w:basedOn w:val="TableNormal"/>
    <w:uiPriority w:val="39"/>
    <w:rsid w:val="00022C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073F"/>
    <w:rPr>
      <w:color w:val="467886" w:themeColor="hyperlink"/>
      <w:u w:val="single"/>
    </w:rPr>
  </w:style>
  <w:style w:type="character" w:styleId="UnresolvedMention">
    <w:name w:val="Unresolved Mention"/>
    <w:basedOn w:val="DefaultParagraphFont"/>
    <w:uiPriority w:val="99"/>
    <w:semiHidden/>
    <w:unhideWhenUsed/>
    <w:rsid w:val="00DF54F3"/>
    <w:rPr>
      <w:color w:val="605E5C"/>
      <w:shd w:val="clear" w:color="auto" w:fill="E1DFDD"/>
    </w:rPr>
  </w:style>
  <w:style w:type="character" w:styleId="FollowedHyperlink">
    <w:name w:val="FollowedHyperlink"/>
    <w:basedOn w:val="DefaultParagraphFont"/>
    <w:uiPriority w:val="99"/>
    <w:semiHidden/>
    <w:unhideWhenUsed/>
    <w:rsid w:val="00D162EE"/>
    <w:rPr>
      <w:color w:val="96607D" w:themeColor="followedHyperlink"/>
      <w:u w:val="single"/>
    </w:rPr>
  </w:style>
  <w:style w:type="paragraph" w:customStyle="1" w:styleId="nova-legacy-e-listitem">
    <w:name w:val="nova-legacy-e-list__item"/>
    <w:basedOn w:val="Normal"/>
    <w:rsid w:val="0059252F"/>
    <w:pPr>
      <w:suppressAutoHyphens/>
      <w:autoSpaceDN w:val="0"/>
      <w:spacing w:before="100" w:after="100"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BD2703"/>
    <w:rPr>
      <w:rFonts w:ascii="Times New Roman" w:hAnsi="Times New Roman" w:cs="Times New Roman"/>
      <w:sz w:val="24"/>
      <w:szCs w:val="24"/>
    </w:rPr>
  </w:style>
  <w:style w:type="paragraph" w:styleId="Bibliography">
    <w:name w:val="Bibliography"/>
    <w:basedOn w:val="Normal"/>
    <w:next w:val="Normal"/>
    <w:unhideWhenUsed/>
    <w:rsid w:val="00544E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2850">
      <w:bodyDiv w:val="1"/>
      <w:marLeft w:val="0"/>
      <w:marRight w:val="0"/>
      <w:marTop w:val="0"/>
      <w:marBottom w:val="0"/>
      <w:divBdr>
        <w:top w:val="none" w:sz="0" w:space="0" w:color="auto"/>
        <w:left w:val="none" w:sz="0" w:space="0" w:color="auto"/>
        <w:bottom w:val="none" w:sz="0" w:space="0" w:color="auto"/>
        <w:right w:val="none" w:sz="0" w:space="0" w:color="auto"/>
      </w:divBdr>
      <w:divsChild>
        <w:div w:id="1454666823">
          <w:marLeft w:val="0"/>
          <w:marRight w:val="0"/>
          <w:marTop w:val="0"/>
          <w:marBottom w:val="0"/>
          <w:divBdr>
            <w:top w:val="none" w:sz="0" w:space="0" w:color="auto"/>
            <w:left w:val="none" w:sz="0" w:space="0" w:color="auto"/>
            <w:bottom w:val="none" w:sz="0" w:space="0" w:color="auto"/>
            <w:right w:val="none" w:sz="0" w:space="0" w:color="auto"/>
          </w:divBdr>
        </w:div>
      </w:divsChild>
    </w:div>
    <w:div w:id="30423444">
      <w:bodyDiv w:val="1"/>
      <w:marLeft w:val="0"/>
      <w:marRight w:val="0"/>
      <w:marTop w:val="0"/>
      <w:marBottom w:val="0"/>
      <w:divBdr>
        <w:top w:val="none" w:sz="0" w:space="0" w:color="auto"/>
        <w:left w:val="none" w:sz="0" w:space="0" w:color="auto"/>
        <w:bottom w:val="none" w:sz="0" w:space="0" w:color="auto"/>
        <w:right w:val="none" w:sz="0" w:space="0" w:color="auto"/>
      </w:divBdr>
      <w:divsChild>
        <w:div w:id="467944336">
          <w:marLeft w:val="0"/>
          <w:marRight w:val="0"/>
          <w:marTop w:val="0"/>
          <w:marBottom w:val="0"/>
          <w:divBdr>
            <w:top w:val="none" w:sz="0" w:space="0" w:color="auto"/>
            <w:left w:val="none" w:sz="0" w:space="0" w:color="auto"/>
            <w:bottom w:val="none" w:sz="0" w:space="0" w:color="auto"/>
            <w:right w:val="none" w:sz="0" w:space="0" w:color="auto"/>
          </w:divBdr>
        </w:div>
      </w:divsChild>
    </w:div>
    <w:div w:id="106169263">
      <w:bodyDiv w:val="1"/>
      <w:marLeft w:val="0"/>
      <w:marRight w:val="0"/>
      <w:marTop w:val="0"/>
      <w:marBottom w:val="0"/>
      <w:divBdr>
        <w:top w:val="none" w:sz="0" w:space="0" w:color="auto"/>
        <w:left w:val="none" w:sz="0" w:space="0" w:color="auto"/>
        <w:bottom w:val="none" w:sz="0" w:space="0" w:color="auto"/>
        <w:right w:val="none" w:sz="0" w:space="0" w:color="auto"/>
      </w:divBdr>
      <w:divsChild>
        <w:div w:id="445388278">
          <w:marLeft w:val="0"/>
          <w:marRight w:val="0"/>
          <w:marTop w:val="0"/>
          <w:marBottom w:val="0"/>
          <w:divBdr>
            <w:top w:val="none" w:sz="0" w:space="0" w:color="auto"/>
            <w:left w:val="none" w:sz="0" w:space="0" w:color="auto"/>
            <w:bottom w:val="none" w:sz="0" w:space="0" w:color="auto"/>
            <w:right w:val="none" w:sz="0" w:space="0" w:color="auto"/>
          </w:divBdr>
        </w:div>
      </w:divsChild>
    </w:div>
    <w:div w:id="152062857">
      <w:bodyDiv w:val="1"/>
      <w:marLeft w:val="0"/>
      <w:marRight w:val="0"/>
      <w:marTop w:val="0"/>
      <w:marBottom w:val="0"/>
      <w:divBdr>
        <w:top w:val="none" w:sz="0" w:space="0" w:color="auto"/>
        <w:left w:val="none" w:sz="0" w:space="0" w:color="auto"/>
        <w:bottom w:val="none" w:sz="0" w:space="0" w:color="auto"/>
        <w:right w:val="none" w:sz="0" w:space="0" w:color="auto"/>
      </w:divBdr>
      <w:divsChild>
        <w:div w:id="788745985">
          <w:marLeft w:val="0"/>
          <w:marRight w:val="0"/>
          <w:marTop w:val="0"/>
          <w:marBottom w:val="0"/>
          <w:divBdr>
            <w:top w:val="none" w:sz="0" w:space="0" w:color="auto"/>
            <w:left w:val="none" w:sz="0" w:space="0" w:color="auto"/>
            <w:bottom w:val="none" w:sz="0" w:space="0" w:color="auto"/>
            <w:right w:val="none" w:sz="0" w:space="0" w:color="auto"/>
          </w:divBdr>
        </w:div>
      </w:divsChild>
    </w:div>
    <w:div w:id="177668409">
      <w:bodyDiv w:val="1"/>
      <w:marLeft w:val="0"/>
      <w:marRight w:val="0"/>
      <w:marTop w:val="0"/>
      <w:marBottom w:val="0"/>
      <w:divBdr>
        <w:top w:val="none" w:sz="0" w:space="0" w:color="auto"/>
        <w:left w:val="none" w:sz="0" w:space="0" w:color="auto"/>
        <w:bottom w:val="none" w:sz="0" w:space="0" w:color="auto"/>
        <w:right w:val="none" w:sz="0" w:space="0" w:color="auto"/>
      </w:divBdr>
      <w:divsChild>
        <w:div w:id="1140999099">
          <w:marLeft w:val="0"/>
          <w:marRight w:val="0"/>
          <w:marTop w:val="0"/>
          <w:marBottom w:val="0"/>
          <w:divBdr>
            <w:top w:val="none" w:sz="0" w:space="0" w:color="auto"/>
            <w:left w:val="none" w:sz="0" w:space="0" w:color="auto"/>
            <w:bottom w:val="none" w:sz="0" w:space="0" w:color="auto"/>
            <w:right w:val="none" w:sz="0" w:space="0" w:color="auto"/>
          </w:divBdr>
        </w:div>
      </w:divsChild>
    </w:div>
    <w:div w:id="196628510">
      <w:bodyDiv w:val="1"/>
      <w:marLeft w:val="0"/>
      <w:marRight w:val="0"/>
      <w:marTop w:val="0"/>
      <w:marBottom w:val="0"/>
      <w:divBdr>
        <w:top w:val="none" w:sz="0" w:space="0" w:color="auto"/>
        <w:left w:val="none" w:sz="0" w:space="0" w:color="auto"/>
        <w:bottom w:val="none" w:sz="0" w:space="0" w:color="auto"/>
        <w:right w:val="none" w:sz="0" w:space="0" w:color="auto"/>
      </w:divBdr>
      <w:divsChild>
        <w:div w:id="2120373221">
          <w:marLeft w:val="0"/>
          <w:marRight w:val="0"/>
          <w:marTop w:val="0"/>
          <w:marBottom w:val="0"/>
          <w:divBdr>
            <w:top w:val="none" w:sz="0" w:space="0" w:color="auto"/>
            <w:left w:val="none" w:sz="0" w:space="0" w:color="auto"/>
            <w:bottom w:val="none" w:sz="0" w:space="0" w:color="auto"/>
            <w:right w:val="none" w:sz="0" w:space="0" w:color="auto"/>
          </w:divBdr>
        </w:div>
      </w:divsChild>
    </w:div>
    <w:div w:id="220754160">
      <w:bodyDiv w:val="1"/>
      <w:marLeft w:val="0"/>
      <w:marRight w:val="0"/>
      <w:marTop w:val="0"/>
      <w:marBottom w:val="0"/>
      <w:divBdr>
        <w:top w:val="none" w:sz="0" w:space="0" w:color="auto"/>
        <w:left w:val="none" w:sz="0" w:space="0" w:color="auto"/>
        <w:bottom w:val="none" w:sz="0" w:space="0" w:color="auto"/>
        <w:right w:val="none" w:sz="0" w:space="0" w:color="auto"/>
      </w:divBdr>
      <w:divsChild>
        <w:div w:id="1330447087">
          <w:marLeft w:val="0"/>
          <w:marRight w:val="0"/>
          <w:marTop w:val="0"/>
          <w:marBottom w:val="0"/>
          <w:divBdr>
            <w:top w:val="none" w:sz="0" w:space="0" w:color="auto"/>
            <w:left w:val="none" w:sz="0" w:space="0" w:color="auto"/>
            <w:bottom w:val="none" w:sz="0" w:space="0" w:color="auto"/>
            <w:right w:val="none" w:sz="0" w:space="0" w:color="auto"/>
          </w:divBdr>
        </w:div>
      </w:divsChild>
    </w:div>
    <w:div w:id="227422266">
      <w:bodyDiv w:val="1"/>
      <w:marLeft w:val="0"/>
      <w:marRight w:val="0"/>
      <w:marTop w:val="0"/>
      <w:marBottom w:val="0"/>
      <w:divBdr>
        <w:top w:val="none" w:sz="0" w:space="0" w:color="auto"/>
        <w:left w:val="none" w:sz="0" w:space="0" w:color="auto"/>
        <w:bottom w:val="none" w:sz="0" w:space="0" w:color="auto"/>
        <w:right w:val="none" w:sz="0" w:space="0" w:color="auto"/>
      </w:divBdr>
      <w:divsChild>
        <w:div w:id="1715737949">
          <w:marLeft w:val="0"/>
          <w:marRight w:val="0"/>
          <w:marTop w:val="0"/>
          <w:marBottom w:val="0"/>
          <w:divBdr>
            <w:top w:val="none" w:sz="0" w:space="0" w:color="auto"/>
            <w:left w:val="none" w:sz="0" w:space="0" w:color="auto"/>
            <w:bottom w:val="none" w:sz="0" w:space="0" w:color="auto"/>
            <w:right w:val="none" w:sz="0" w:space="0" w:color="auto"/>
          </w:divBdr>
        </w:div>
      </w:divsChild>
    </w:div>
    <w:div w:id="251283620">
      <w:bodyDiv w:val="1"/>
      <w:marLeft w:val="0"/>
      <w:marRight w:val="0"/>
      <w:marTop w:val="0"/>
      <w:marBottom w:val="0"/>
      <w:divBdr>
        <w:top w:val="none" w:sz="0" w:space="0" w:color="auto"/>
        <w:left w:val="none" w:sz="0" w:space="0" w:color="auto"/>
        <w:bottom w:val="none" w:sz="0" w:space="0" w:color="auto"/>
        <w:right w:val="none" w:sz="0" w:space="0" w:color="auto"/>
      </w:divBdr>
      <w:divsChild>
        <w:div w:id="1231697651">
          <w:marLeft w:val="0"/>
          <w:marRight w:val="0"/>
          <w:marTop w:val="0"/>
          <w:marBottom w:val="0"/>
          <w:divBdr>
            <w:top w:val="none" w:sz="0" w:space="0" w:color="auto"/>
            <w:left w:val="none" w:sz="0" w:space="0" w:color="auto"/>
            <w:bottom w:val="none" w:sz="0" w:space="0" w:color="auto"/>
            <w:right w:val="none" w:sz="0" w:space="0" w:color="auto"/>
          </w:divBdr>
        </w:div>
      </w:divsChild>
    </w:div>
    <w:div w:id="251548386">
      <w:bodyDiv w:val="1"/>
      <w:marLeft w:val="0"/>
      <w:marRight w:val="0"/>
      <w:marTop w:val="0"/>
      <w:marBottom w:val="0"/>
      <w:divBdr>
        <w:top w:val="none" w:sz="0" w:space="0" w:color="auto"/>
        <w:left w:val="none" w:sz="0" w:space="0" w:color="auto"/>
        <w:bottom w:val="none" w:sz="0" w:space="0" w:color="auto"/>
        <w:right w:val="none" w:sz="0" w:space="0" w:color="auto"/>
      </w:divBdr>
      <w:divsChild>
        <w:div w:id="1301107361">
          <w:marLeft w:val="0"/>
          <w:marRight w:val="0"/>
          <w:marTop w:val="0"/>
          <w:marBottom w:val="0"/>
          <w:divBdr>
            <w:top w:val="none" w:sz="0" w:space="0" w:color="auto"/>
            <w:left w:val="none" w:sz="0" w:space="0" w:color="auto"/>
            <w:bottom w:val="none" w:sz="0" w:space="0" w:color="auto"/>
            <w:right w:val="none" w:sz="0" w:space="0" w:color="auto"/>
          </w:divBdr>
        </w:div>
      </w:divsChild>
    </w:div>
    <w:div w:id="282424341">
      <w:bodyDiv w:val="1"/>
      <w:marLeft w:val="0"/>
      <w:marRight w:val="0"/>
      <w:marTop w:val="0"/>
      <w:marBottom w:val="0"/>
      <w:divBdr>
        <w:top w:val="none" w:sz="0" w:space="0" w:color="auto"/>
        <w:left w:val="none" w:sz="0" w:space="0" w:color="auto"/>
        <w:bottom w:val="none" w:sz="0" w:space="0" w:color="auto"/>
        <w:right w:val="none" w:sz="0" w:space="0" w:color="auto"/>
      </w:divBdr>
      <w:divsChild>
        <w:div w:id="1383869357">
          <w:marLeft w:val="0"/>
          <w:marRight w:val="0"/>
          <w:marTop w:val="0"/>
          <w:marBottom w:val="0"/>
          <w:divBdr>
            <w:top w:val="none" w:sz="0" w:space="0" w:color="auto"/>
            <w:left w:val="none" w:sz="0" w:space="0" w:color="auto"/>
            <w:bottom w:val="none" w:sz="0" w:space="0" w:color="auto"/>
            <w:right w:val="none" w:sz="0" w:space="0" w:color="auto"/>
          </w:divBdr>
        </w:div>
      </w:divsChild>
    </w:div>
    <w:div w:id="319777482">
      <w:bodyDiv w:val="1"/>
      <w:marLeft w:val="0"/>
      <w:marRight w:val="0"/>
      <w:marTop w:val="0"/>
      <w:marBottom w:val="0"/>
      <w:divBdr>
        <w:top w:val="none" w:sz="0" w:space="0" w:color="auto"/>
        <w:left w:val="none" w:sz="0" w:space="0" w:color="auto"/>
        <w:bottom w:val="none" w:sz="0" w:space="0" w:color="auto"/>
        <w:right w:val="none" w:sz="0" w:space="0" w:color="auto"/>
      </w:divBdr>
      <w:divsChild>
        <w:div w:id="1060249266">
          <w:marLeft w:val="0"/>
          <w:marRight w:val="0"/>
          <w:marTop w:val="0"/>
          <w:marBottom w:val="0"/>
          <w:divBdr>
            <w:top w:val="none" w:sz="0" w:space="0" w:color="auto"/>
            <w:left w:val="none" w:sz="0" w:space="0" w:color="auto"/>
            <w:bottom w:val="none" w:sz="0" w:space="0" w:color="auto"/>
            <w:right w:val="none" w:sz="0" w:space="0" w:color="auto"/>
          </w:divBdr>
        </w:div>
      </w:divsChild>
    </w:div>
    <w:div w:id="320546893">
      <w:bodyDiv w:val="1"/>
      <w:marLeft w:val="0"/>
      <w:marRight w:val="0"/>
      <w:marTop w:val="0"/>
      <w:marBottom w:val="0"/>
      <w:divBdr>
        <w:top w:val="none" w:sz="0" w:space="0" w:color="auto"/>
        <w:left w:val="none" w:sz="0" w:space="0" w:color="auto"/>
        <w:bottom w:val="none" w:sz="0" w:space="0" w:color="auto"/>
        <w:right w:val="none" w:sz="0" w:space="0" w:color="auto"/>
      </w:divBdr>
    </w:div>
    <w:div w:id="330185542">
      <w:bodyDiv w:val="1"/>
      <w:marLeft w:val="0"/>
      <w:marRight w:val="0"/>
      <w:marTop w:val="0"/>
      <w:marBottom w:val="0"/>
      <w:divBdr>
        <w:top w:val="none" w:sz="0" w:space="0" w:color="auto"/>
        <w:left w:val="none" w:sz="0" w:space="0" w:color="auto"/>
        <w:bottom w:val="none" w:sz="0" w:space="0" w:color="auto"/>
        <w:right w:val="none" w:sz="0" w:space="0" w:color="auto"/>
      </w:divBdr>
      <w:divsChild>
        <w:div w:id="503056335">
          <w:marLeft w:val="0"/>
          <w:marRight w:val="0"/>
          <w:marTop w:val="0"/>
          <w:marBottom w:val="0"/>
          <w:divBdr>
            <w:top w:val="none" w:sz="0" w:space="0" w:color="auto"/>
            <w:left w:val="none" w:sz="0" w:space="0" w:color="auto"/>
            <w:bottom w:val="none" w:sz="0" w:space="0" w:color="auto"/>
            <w:right w:val="none" w:sz="0" w:space="0" w:color="auto"/>
          </w:divBdr>
        </w:div>
      </w:divsChild>
    </w:div>
    <w:div w:id="335884396">
      <w:bodyDiv w:val="1"/>
      <w:marLeft w:val="0"/>
      <w:marRight w:val="0"/>
      <w:marTop w:val="0"/>
      <w:marBottom w:val="0"/>
      <w:divBdr>
        <w:top w:val="none" w:sz="0" w:space="0" w:color="auto"/>
        <w:left w:val="none" w:sz="0" w:space="0" w:color="auto"/>
        <w:bottom w:val="none" w:sz="0" w:space="0" w:color="auto"/>
        <w:right w:val="none" w:sz="0" w:space="0" w:color="auto"/>
      </w:divBdr>
      <w:divsChild>
        <w:div w:id="1889294619">
          <w:marLeft w:val="0"/>
          <w:marRight w:val="0"/>
          <w:marTop w:val="0"/>
          <w:marBottom w:val="0"/>
          <w:divBdr>
            <w:top w:val="none" w:sz="0" w:space="0" w:color="auto"/>
            <w:left w:val="none" w:sz="0" w:space="0" w:color="auto"/>
            <w:bottom w:val="none" w:sz="0" w:space="0" w:color="auto"/>
            <w:right w:val="none" w:sz="0" w:space="0" w:color="auto"/>
          </w:divBdr>
        </w:div>
      </w:divsChild>
    </w:div>
    <w:div w:id="343047569">
      <w:bodyDiv w:val="1"/>
      <w:marLeft w:val="0"/>
      <w:marRight w:val="0"/>
      <w:marTop w:val="0"/>
      <w:marBottom w:val="0"/>
      <w:divBdr>
        <w:top w:val="none" w:sz="0" w:space="0" w:color="auto"/>
        <w:left w:val="none" w:sz="0" w:space="0" w:color="auto"/>
        <w:bottom w:val="none" w:sz="0" w:space="0" w:color="auto"/>
        <w:right w:val="none" w:sz="0" w:space="0" w:color="auto"/>
      </w:divBdr>
      <w:divsChild>
        <w:div w:id="349260325">
          <w:marLeft w:val="0"/>
          <w:marRight w:val="0"/>
          <w:marTop w:val="0"/>
          <w:marBottom w:val="0"/>
          <w:divBdr>
            <w:top w:val="none" w:sz="0" w:space="0" w:color="auto"/>
            <w:left w:val="none" w:sz="0" w:space="0" w:color="auto"/>
            <w:bottom w:val="none" w:sz="0" w:space="0" w:color="auto"/>
            <w:right w:val="none" w:sz="0" w:space="0" w:color="auto"/>
          </w:divBdr>
        </w:div>
      </w:divsChild>
    </w:div>
    <w:div w:id="349531226">
      <w:bodyDiv w:val="1"/>
      <w:marLeft w:val="0"/>
      <w:marRight w:val="0"/>
      <w:marTop w:val="0"/>
      <w:marBottom w:val="0"/>
      <w:divBdr>
        <w:top w:val="none" w:sz="0" w:space="0" w:color="auto"/>
        <w:left w:val="none" w:sz="0" w:space="0" w:color="auto"/>
        <w:bottom w:val="none" w:sz="0" w:space="0" w:color="auto"/>
        <w:right w:val="none" w:sz="0" w:space="0" w:color="auto"/>
      </w:divBdr>
      <w:divsChild>
        <w:div w:id="260189451">
          <w:marLeft w:val="0"/>
          <w:marRight w:val="0"/>
          <w:marTop w:val="0"/>
          <w:marBottom w:val="0"/>
          <w:divBdr>
            <w:top w:val="none" w:sz="0" w:space="0" w:color="auto"/>
            <w:left w:val="none" w:sz="0" w:space="0" w:color="auto"/>
            <w:bottom w:val="none" w:sz="0" w:space="0" w:color="auto"/>
            <w:right w:val="none" w:sz="0" w:space="0" w:color="auto"/>
          </w:divBdr>
        </w:div>
      </w:divsChild>
    </w:div>
    <w:div w:id="385223773">
      <w:bodyDiv w:val="1"/>
      <w:marLeft w:val="0"/>
      <w:marRight w:val="0"/>
      <w:marTop w:val="0"/>
      <w:marBottom w:val="0"/>
      <w:divBdr>
        <w:top w:val="none" w:sz="0" w:space="0" w:color="auto"/>
        <w:left w:val="none" w:sz="0" w:space="0" w:color="auto"/>
        <w:bottom w:val="none" w:sz="0" w:space="0" w:color="auto"/>
        <w:right w:val="none" w:sz="0" w:space="0" w:color="auto"/>
      </w:divBdr>
      <w:divsChild>
        <w:div w:id="2043165354">
          <w:marLeft w:val="0"/>
          <w:marRight w:val="0"/>
          <w:marTop w:val="0"/>
          <w:marBottom w:val="0"/>
          <w:divBdr>
            <w:top w:val="none" w:sz="0" w:space="0" w:color="auto"/>
            <w:left w:val="none" w:sz="0" w:space="0" w:color="auto"/>
            <w:bottom w:val="none" w:sz="0" w:space="0" w:color="auto"/>
            <w:right w:val="none" w:sz="0" w:space="0" w:color="auto"/>
          </w:divBdr>
        </w:div>
      </w:divsChild>
    </w:div>
    <w:div w:id="388188087">
      <w:bodyDiv w:val="1"/>
      <w:marLeft w:val="0"/>
      <w:marRight w:val="0"/>
      <w:marTop w:val="0"/>
      <w:marBottom w:val="0"/>
      <w:divBdr>
        <w:top w:val="none" w:sz="0" w:space="0" w:color="auto"/>
        <w:left w:val="none" w:sz="0" w:space="0" w:color="auto"/>
        <w:bottom w:val="none" w:sz="0" w:space="0" w:color="auto"/>
        <w:right w:val="none" w:sz="0" w:space="0" w:color="auto"/>
      </w:divBdr>
      <w:divsChild>
        <w:div w:id="1302691689">
          <w:marLeft w:val="0"/>
          <w:marRight w:val="0"/>
          <w:marTop w:val="0"/>
          <w:marBottom w:val="0"/>
          <w:divBdr>
            <w:top w:val="none" w:sz="0" w:space="0" w:color="auto"/>
            <w:left w:val="none" w:sz="0" w:space="0" w:color="auto"/>
            <w:bottom w:val="none" w:sz="0" w:space="0" w:color="auto"/>
            <w:right w:val="none" w:sz="0" w:space="0" w:color="auto"/>
          </w:divBdr>
        </w:div>
      </w:divsChild>
    </w:div>
    <w:div w:id="405302724">
      <w:bodyDiv w:val="1"/>
      <w:marLeft w:val="0"/>
      <w:marRight w:val="0"/>
      <w:marTop w:val="0"/>
      <w:marBottom w:val="0"/>
      <w:divBdr>
        <w:top w:val="none" w:sz="0" w:space="0" w:color="auto"/>
        <w:left w:val="none" w:sz="0" w:space="0" w:color="auto"/>
        <w:bottom w:val="none" w:sz="0" w:space="0" w:color="auto"/>
        <w:right w:val="none" w:sz="0" w:space="0" w:color="auto"/>
      </w:divBdr>
      <w:divsChild>
        <w:div w:id="1497183790">
          <w:marLeft w:val="0"/>
          <w:marRight w:val="0"/>
          <w:marTop w:val="0"/>
          <w:marBottom w:val="0"/>
          <w:divBdr>
            <w:top w:val="none" w:sz="0" w:space="0" w:color="auto"/>
            <w:left w:val="none" w:sz="0" w:space="0" w:color="auto"/>
            <w:bottom w:val="none" w:sz="0" w:space="0" w:color="auto"/>
            <w:right w:val="none" w:sz="0" w:space="0" w:color="auto"/>
          </w:divBdr>
        </w:div>
      </w:divsChild>
    </w:div>
    <w:div w:id="450902954">
      <w:bodyDiv w:val="1"/>
      <w:marLeft w:val="0"/>
      <w:marRight w:val="0"/>
      <w:marTop w:val="0"/>
      <w:marBottom w:val="0"/>
      <w:divBdr>
        <w:top w:val="none" w:sz="0" w:space="0" w:color="auto"/>
        <w:left w:val="none" w:sz="0" w:space="0" w:color="auto"/>
        <w:bottom w:val="none" w:sz="0" w:space="0" w:color="auto"/>
        <w:right w:val="none" w:sz="0" w:space="0" w:color="auto"/>
      </w:divBdr>
      <w:divsChild>
        <w:div w:id="1966962507">
          <w:marLeft w:val="0"/>
          <w:marRight w:val="0"/>
          <w:marTop w:val="0"/>
          <w:marBottom w:val="0"/>
          <w:divBdr>
            <w:top w:val="none" w:sz="0" w:space="0" w:color="auto"/>
            <w:left w:val="none" w:sz="0" w:space="0" w:color="auto"/>
            <w:bottom w:val="none" w:sz="0" w:space="0" w:color="auto"/>
            <w:right w:val="none" w:sz="0" w:space="0" w:color="auto"/>
          </w:divBdr>
        </w:div>
      </w:divsChild>
    </w:div>
    <w:div w:id="461730771">
      <w:bodyDiv w:val="1"/>
      <w:marLeft w:val="0"/>
      <w:marRight w:val="0"/>
      <w:marTop w:val="0"/>
      <w:marBottom w:val="0"/>
      <w:divBdr>
        <w:top w:val="none" w:sz="0" w:space="0" w:color="auto"/>
        <w:left w:val="none" w:sz="0" w:space="0" w:color="auto"/>
        <w:bottom w:val="none" w:sz="0" w:space="0" w:color="auto"/>
        <w:right w:val="none" w:sz="0" w:space="0" w:color="auto"/>
      </w:divBdr>
      <w:divsChild>
        <w:div w:id="1615484111">
          <w:marLeft w:val="0"/>
          <w:marRight w:val="0"/>
          <w:marTop w:val="0"/>
          <w:marBottom w:val="0"/>
          <w:divBdr>
            <w:top w:val="none" w:sz="0" w:space="0" w:color="auto"/>
            <w:left w:val="none" w:sz="0" w:space="0" w:color="auto"/>
            <w:bottom w:val="none" w:sz="0" w:space="0" w:color="auto"/>
            <w:right w:val="none" w:sz="0" w:space="0" w:color="auto"/>
          </w:divBdr>
        </w:div>
      </w:divsChild>
    </w:div>
    <w:div w:id="463545279">
      <w:bodyDiv w:val="1"/>
      <w:marLeft w:val="0"/>
      <w:marRight w:val="0"/>
      <w:marTop w:val="0"/>
      <w:marBottom w:val="0"/>
      <w:divBdr>
        <w:top w:val="none" w:sz="0" w:space="0" w:color="auto"/>
        <w:left w:val="none" w:sz="0" w:space="0" w:color="auto"/>
        <w:bottom w:val="none" w:sz="0" w:space="0" w:color="auto"/>
        <w:right w:val="none" w:sz="0" w:space="0" w:color="auto"/>
      </w:divBdr>
      <w:divsChild>
        <w:div w:id="1127044810">
          <w:marLeft w:val="0"/>
          <w:marRight w:val="0"/>
          <w:marTop w:val="0"/>
          <w:marBottom w:val="0"/>
          <w:divBdr>
            <w:top w:val="none" w:sz="0" w:space="0" w:color="auto"/>
            <w:left w:val="none" w:sz="0" w:space="0" w:color="auto"/>
            <w:bottom w:val="none" w:sz="0" w:space="0" w:color="auto"/>
            <w:right w:val="none" w:sz="0" w:space="0" w:color="auto"/>
          </w:divBdr>
        </w:div>
      </w:divsChild>
    </w:div>
    <w:div w:id="480578252">
      <w:bodyDiv w:val="1"/>
      <w:marLeft w:val="0"/>
      <w:marRight w:val="0"/>
      <w:marTop w:val="0"/>
      <w:marBottom w:val="0"/>
      <w:divBdr>
        <w:top w:val="none" w:sz="0" w:space="0" w:color="auto"/>
        <w:left w:val="none" w:sz="0" w:space="0" w:color="auto"/>
        <w:bottom w:val="none" w:sz="0" w:space="0" w:color="auto"/>
        <w:right w:val="none" w:sz="0" w:space="0" w:color="auto"/>
      </w:divBdr>
      <w:divsChild>
        <w:div w:id="2010524342">
          <w:marLeft w:val="0"/>
          <w:marRight w:val="0"/>
          <w:marTop w:val="0"/>
          <w:marBottom w:val="0"/>
          <w:divBdr>
            <w:top w:val="none" w:sz="0" w:space="0" w:color="auto"/>
            <w:left w:val="none" w:sz="0" w:space="0" w:color="auto"/>
            <w:bottom w:val="none" w:sz="0" w:space="0" w:color="auto"/>
            <w:right w:val="none" w:sz="0" w:space="0" w:color="auto"/>
          </w:divBdr>
        </w:div>
      </w:divsChild>
    </w:div>
    <w:div w:id="545413031">
      <w:bodyDiv w:val="1"/>
      <w:marLeft w:val="0"/>
      <w:marRight w:val="0"/>
      <w:marTop w:val="0"/>
      <w:marBottom w:val="0"/>
      <w:divBdr>
        <w:top w:val="none" w:sz="0" w:space="0" w:color="auto"/>
        <w:left w:val="none" w:sz="0" w:space="0" w:color="auto"/>
        <w:bottom w:val="none" w:sz="0" w:space="0" w:color="auto"/>
        <w:right w:val="none" w:sz="0" w:space="0" w:color="auto"/>
      </w:divBdr>
      <w:divsChild>
        <w:div w:id="1734153752">
          <w:marLeft w:val="0"/>
          <w:marRight w:val="0"/>
          <w:marTop w:val="0"/>
          <w:marBottom w:val="0"/>
          <w:divBdr>
            <w:top w:val="none" w:sz="0" w:space="0" w:color="auto"/>
            <w:left w:val="none" w:sz="0" w:space="0" w:color="auto"/>
            <w:bottom w:val="none" w:sz="0" w:space="0" w:color="auto"/>
            <w:right w:val="none" w:sz="0" w:space="0" w:color="auto"/>
          </w:divBdr>
        </w:div>
      </w:divsChild>
    </w:div>
    <w:div w:id="564727651">
      <w:bodyDiv w:val="1"/>
      <w:marLeft w:val="0"/>
      <w:marRight w:val="0"/>
      <w:marTop w:val="0"/>
      <w:marBottom w:val="0"/>
      <w:divBdr>
        <w:top w:val="none" w:sz="0" w:space="0" w:color="auto"/>
        <w:left w:val="none" w:sz="0" w:space="0" w:color="auto"/>
        <w:bottom w:val="none" w:sz="0" w:space="0" w:color="auto"/>
        <w:right w:val="none" w:sz="0" w:space="0" w:color="auto"/>
      </w:divBdr>
      <w:divsChild>
        <w:div w:id="485628424">
          <w:marLeft w:val="0"/>
          <w:marRight w:val="0"/>
          <w:marTop w:val="0"/>
          <w:marBottom w:val="0"/>
          <w:divBdr>
            <w:top w:val="none" w:sz="0" w:space="0" w:color="auto"/>
            <w:left w:val="none" w:sz="0" w:space="0" w:color="auto"/>
            <w:bottom w:val="none" w:sz="0" w:space="0" w:color="auto"/>
            <w:right w:val="none" w:sz="0" w:space="0" w:color="auto"/>
          </w:divBdr>
        </w:div>
      </w:divsChild>
    </w:div>
    <w:div w:id="567034740">
      <w:bodyDiv w:val="1"/>
      <w:marLeft w:val="0"/>
      <w:marRight w:val="0"/>
      <w:marTop w:val="0"/>
      <w:marBottom w:val="0"/>
      <w:divBdr>
        <w:top w:val="none" w:sz="0" w:space="0" w:color="auto"/>
        <w:left w:val="none" w:sz="0" w:space="0" w:color="auto"/>
        <w:bottom w:val="none" w:sz="0" w:space="0" w:color="auto"/>
        <w:right w:val="none" w:sz="0" w:space="0" w:color="auto"/>
      </w:divBdr>
      <w:divsChild>
        <w:div w:id="2059359599">
          <w:marLeft w:val="0"/>
          <w:marRight w:val="0"/>
          <w:marTop w:val="0"/>
          <w:marBottom w:val="0"/>
          <w:divBdr>
            <w:top w:val="none" w:sz="0" w:space="0" w:color="auto"/>
            <w:left w:val="none" w:sz="0" w:space="0" w:color="auto"/>
            <w:bottom w:val="none" w:sz="0" w:space="0" w:color="auto"/>
            <w:right w:val="none" w:sz="0" w:space="0" w:color="auto"/>
          </w:divBdr>
        </w:div>
      </w:divsChild>
    </w:div>
    <w:div w:id="569001487">
      <w:bodyDiv w:val="1"/>
      <w:marLeft w:val="0"/>
      <w:marRight w:val="0"/>
      <w:marTop w:val="0"/>
      <w:marBottom w:val="0"/>
      <w:divBdr>
        <w:top w:val="none" w:sz="0" w:space="0" w:color="auto"/>
        <w:left w:val="none" w:sz="0" w:space="0" w:color="auto"/>
        <w:bottom w:val="none" w:sz="0" w:space="0" w:color="auto"/>
        <w:right w:val="none" w:sz="0" w:space="0" w:color="auto"/>
      </w:divBdr>
      <w:divsChild>
        <w:div w:id="326130348">
          <w:marLeft w:val="0"/>
          <w:marRight w:val="0"/>
          <w:marTop w:val="0"/>
          <w:marBottom w:val="0"/>
          <w:divBdr>
            <w:top w:val="none" w:sz="0" w:space="0" w:color="auto"/>
            <w:left w:val="none" w:sz="0" w:space="0" w:color="auto"/>
            <w:bottom w:val="none" w:sz="0" w:space="0" w:color="auto"/>
            <w:right w:val="none" w:sz="0" w:space="0" w:color="auto"/>
          </w:divBdr>
        </w:div>
      </w:divsChild>
    </w:div>
    <w:div w:id="580329601">
      <w:bodyDiv w:val="1"/>
      <w:marLeft w:val="0"/>
      <w:marRight w:val="0"/>
      <w:marTop w:val="0"/>
      <w:marBottom w:val="0"/>
      <w:divBdr>
        <w:top w:val="none" w:sz="0" w:space="0" w:color="auto"/>
        <w:left w:val="none" w:sz="0" w:space="0" w:color="auto"/>
        <w:bottom w:val="none" w:sz="0" w:space="0" w:color="auto"/>
        <w:right w:val="none" w:sz="0" w:space="0" w:color="auto"/>
      </w:divBdr>
      <w:divsChild>
        <w:div w:id="1123620930">
          <w:marLeft w:val="0"/>
          <w:marRight w:val="0"/>
          <w:marTop w:val="0"/>
          <w:marBottom w:val="0"/>
          <w:divBdr>
            <w:top w:val="none" w:sz="0" w:space="0" w:color="auto"/>
            <w:left w:val="none" w:sz="0" w:space="0" w:color="auto"/>
            <w:bottom w:val="none" w:sz="0" w:space="0" w:color="auto"/>
            <w:right w:val="none" w:sz="0" w:space="0" w:color="auto"/>
          </w:divBdr>
        </w:div>
      </w:divsChild>
    </w:div>
    <w:div w:id="586381073">
      <w:bodyDiv w:val="1"/>
      <w:marLeft w:val="0"/>
      <w:marRight w:val="0"/>
      <w:marTop w:val="0"/>
      <w:marBottom w:val="0"/>
      <w:divBdr>
        <w:top w:val="none" w:sz="0" w:space="0" w:color="auto"/>
        <w:left w:val="none" w:sz="0" w:space="0" w:color="auto"/>
        <w:bottom w:val="none" w:sz="0" w:space="0" w:color="auto"/>
        <w:right w:val="none" w:sz="0" w:space="0" w:color="auto"/>
      </w:divBdr>
      <w:divsChild>
        <w:div w:id="1910454066">
          <w:marLeft w:val="0"/>
          <w:marRight w:val="0"/>
          <w:marTop w:val="0"/>
          <w:marBottom w:val="0"/>
          <w:divBdr>
            <w:top w:val="none" w:sz="0" w:space="0" w:color="auto"/>
            <w:left w:val="none" w:sz="0" w:space="0" w:color="auto"/>
            <w:bottom w:val="none" w:sz="0" w:space="0" w:color="auto"/>
            <w:right w:val="none" w:sz="0" w:space="0" w:color="auto"/>
          </w:divBdr>
        </w:div>
      </w:divsChild>
    </w:div>
    <w:div w:id="590162293">
      <w:bodyDiv w:val="1"/>
      <w:marLeft w:val="0"/>
      <w:marRight w:val="0"/>
      <w:marTop w:val="0"/>
      <w:marBottom w:val="0"/>
      <w:divBdr>
        <w:top w:val="none" w:sz="0" w:space="0" w:color="auto"/>
        <w:left w:val="none" w:sz="0" w:space="0" w:color="auto"/>
        <w:bottom w:val="none" w:sz="0" w:space="0" w:color="auto"/>
        <w:right w:val="none" w:sz="0" w:space="0" w:color="auto"/>
      </w:divBdr>
      <w:divsChild>
        <w:div w:id="899361849">
          <w:marLeft w:val="0"/>
          <w:marRight w:val="0"/>
          <w:marTop w:val="0"/>
          <w:marBottom w:val="0"/>
          <w:divBdr>
            <w:top w:val="none" w:sz="0" w:space="0" w:color="auto"/>
            <w:left w:val="none" w:sz="0" w:space="0" w:color="auto"/>
            <w:bottom w:val="none" w:sz="0" w:space="0" w:color="auto"/>
            <w:right w:val="none" w:sz="0" w:space="0" w:color="auto"/>
          </w:divBdr>
        </w:div>
      </w:divsChild>
    </w:div>
    <w:div w:id="595484421">
      <w:bodyDiv w:val="1"/>
      <w:marLeft w:val="0"/>
      <w:marRight w:val="0"/>
      <w:marTop w:val="0"/>
      <w:marBottom w:val="0"/>
      <w:divBdr>
        <w:top w:val="none" w:sz="0" w:space="0" w:color="auto"/>
        <w:left w:val="none" w:sz="0" w:space="0" w:color="auto"/>
        <w:bottom w:val="none" w:sz="0" w:space="0" w:color="auto"/>
        <w:right w:val="none" w:sz="0" w:space="0" w:color="auto"/>
      </w:divBdr>
    </w:div>
    <w:div w:id="609362912">
      <w:bodyDiv w:val="1"/>
      <w:marLeft w:val="0"/>
      <w:marRight w:val="0"/>
      <w:marTop w:val="0"/>
      <w:marBottom w:val="0"/>
      <w:divBdr>
        <w:top w:val="none" w:sz="0" w:space="0" w:color="auto"/>
        <w:left w:val="none" w:sz="0" w:space="0" w:color="auto"/>
        <w:bottom w:val="none" w:sz="0" w:space="0" w:color="auto"/>
        <w:right w:val="none" w:sz="0" w:space="0" w:color="auto"/>
      </w:divBdr>
      <w:divsChild>
        <w:div w:id="1163543511">
          <w:marLeft w:val="0"/>
          <w:marRight w:val="0"/>
          <w:marTop w:val="0"/>
          <w:marBottom w:val="0"/>
          <w:divBdr>
            <w:top w:val="none" w:sz="0" w:space="0" w:color="auto"/>
            <w:left w:val="none" w:sz="0" w:space="0" w:color="auto"/>
            <w:bottom w:val="none" w:sz="0" w:space="0" w:color="auto"/>
            <w:right w:val="none" w:sz="0" w:space="0" w:color="auto"/>
          </w:divBdr>
        </w:div>
      </w:divsChild>
    </w:div>
    <w:div w:id="652023242">
      <w:bodyDiv w:val="1"/>
      <w:marLeft w:val="0"/>
      <w:marRight w:val="0"/>
      <w:marTop w:val="0"/>
      <w:marBottom w:val="0"/>
      <w:divBdr>
        <w:top w:val="none" w:sz="0" w:space="0" w:color="auto"/>
        <w:left w:val="none" w:sz="0" w:space="0" w:color="auto"/>
        <w:bottom w:val="none" w:sz="0" w:space="0" w:color="auto"/>
        <w:right w:val="none" w:sz="0" w:space="0" w:color="auto"/>
      </w:divBdr>
    </w:div>
    <w:div w:id="662199309">
      <w:bodyDiv w:val="1"/>
      <w:marLeft w:val="0"/>
      <w:marRight w:val="0"/>
      <w:marTop w:val="0"/>
      <w:marBottom w:val="0"/>
      <w:divBdr>
        <w:top w:val="none" w:sz="0" w:space="0" w:color="auto"/>
        <w:left w:val="none" w:sz="0" w:space="0" w:color="auto"/>
        <w:bottom w:val="none" w:sz="0" w:space="0" w:color="auto"/>
        <w:right w:val="none" w:sz="0" w:space="0" w:color="auto"/>
      </w:divBdr>
      <w:divsChild>
        <w:div w:id="1983775929">
          <w:marLeft w:val="0"/>
          <w:marRight w:val="0"/>
          <w:marTop w:val="0"/>
          <w:marBottom w:val="0"/>
          <w:divBdr>
            <w:top w:val="none" w:sz="0" w:space="0" w:color="auto"/>
            <w:left w:val="none" w:sz="0" w:space="0" w:color="auto"/>
            <w:bottom w:val="none" w:sz="0" w:space="0" w:color="auto"/>
            <w:right w:val="none" w:sz="0" w:space="0" w:color="auto"/>
          </w:divBdr>
        </w:div>
      </w:divsChild>
    </w:div>
    <w:div w:id="684286509">
      <w:bodyDiv w:val="1"/>
      <w:marLeft w:val="0"/>
      <w:marRight w:val="0"/>
      <w:marTop w:val="0"/>
      <w:marBottom w:val="0"/>
      <w:divBdr>
        <w:top w:val="none" w:sz="0" w:space="0" w:color="auto"/>
        <w:left w:val="none" w:sz="0" w:space="0" w:color="auto"/>
        <w:bottom w:val="none" w:sz="0" w:space="0" w:color="auto"/>
        <w:right w:val="none" w:sz="0" w:space="0" w:color="auto"/>
      </w:divBdr>
      <w:divsChild>
        <w:div w:id="1507986520">
          <w:marLeft w:val="0"/>
          <w:marRight w:val="0"/>
          <w:marTop w:val="0"/>
          <w:marBottom w:val="0"/>
          <w:divBdr>
            <w:top w:val="none" w:sz="0" w:space="0" w:color="auto"/>
            <w:left w:val="none" w:sz="0" w:space="0" w:color="auto"/>
            <w:bottom w:val="none" w:sz="0" w:space="0" w:color="auto"/>
            <w:right w:val="none" w:sz="0" w:space="0" w:color="auto"/>
          </w:divBdr>
        </w:div>
      </w:divsChild>
    </w:div>
    <w:div w:id="713432312">
      <w:bodyDiv w:val="1"/>
      <w:marLeft w:val="0"/>
      <w:marRight w:val="0"/>
      <w:marTop w:val="0"/>
      <w:marBottom w:val="0"/>
      <w:divBdr>
        <w:top w:val="none" w:sz="0" w:space="0" w:color="auto"/>
        <w:left w:val="none" w:sz="0" w:space="0" w:color="auto"/>
        <w:bottom w:val="none" w:sz="0" w:space="0" w:color="auto"/>
        <w:right w:val="none" w:sz="0" w:space="0" w:color="auto"/>
      </w:divBdr>
    </w:div>
    <w:div w:id="719011124">
      <w:bodyDiv w:val="1"/>
      <w:marLeft w:val="0"/>
      <w:marRight w:val="0"/>
      <w:marTop w:val="0"/>
      <w:marBottom w:val="0"/>
      <w:divBdr>
        <w:top w:val="none" w:sz="0" w:space="0" w:color="auto"/>
        <w:left w:val="none" w:sz="0" w:space="0" w:color="auto"/>
        <w:bottom w:val="none" w:sz="0" w:space="0" w:color="auto"/>
        <w:right w:val="none" w:sz="0" w:space="0" w:color="auto"/>
      </w:divBdr>
    </w:div>
    <w:div w:id="721905357">
      <w:bodyDiv w:val="1"/>
      <w:marLeft w:val="0"/>
      <w:marRight w:val="0"/>
      <w:marTop w:val="0"/>
      <w:marBottom w:val="0"/>
      <w:divBdr>
        <w:top w:val="none" w:sz="0" w:space="0" w:color="auto"/>
        <w:left w:val="none" w:sz="0" w:space="0" w:color="auto"/>
        <w:bottom w:val="none" w:sz="0" w:space="0" w:color="auto"/>
        <w:right w:val="none" w:sz="0" w:space="0" w:color="auto"/>
      </w:divBdr>
      <w:divsChild>
        <w:div w:id="636957964">
          <w:marLeft w:val="0"/>
          <w:marRight w:val="0"/>
          <w:marTop w:val="0"/>
          <w:marBottom w:val="0"/>
          <w:divBdr>
            <w:top w:val="none" w:sz="0" w:space="0" w:color="auto"/>
            <w:left w:val="none" w:sz="0" w:space="0" w:color="auto"/>
            <w:bottom w:val="none" w:sz="0" w:space="0" w:color="auto"/>
            <w:right w:val="none" w:sz="0" w:space="0" w:color="auto"/>
          </w:divBdr>
        </w:div>
      </w:divsChild>
    </w:div>
    <w:div w:id="737901669">
      <w:bodyDiv w:val="1"/>
      <w:marLeft w:val="0"/>
      <w:marRight w:val="0"/>
      <w:marTop w:val="0"/>
      <w:marBottom w:val="0"/>
      <w:divBdr>
        <w:top w:val="none" w:sz="0" w:space="0" w:color="auto"/>
        <w:left w:val="none" w:sz="0" w:space="0" w:color="auto"/>
        <w:bottom w:val="none" w:sz="0" w:space="0" w:color="auto"/>
        <w:right w:val="none" w:sz="0" w:space="0" w:color="auto"/>
      </w:divBdr>
      <w:divsChild>
        <w:div w:id="764308539">
          <w:marLeft w:val="0"/>
          <w:marRight w:val="0"/>
          <w:marTop w:val="0"/>
          <w:marBottom w:val="0"/>
          <w:divBdr>
            <w:top w:val="none" w:sz="0" w:space="0" w:color="auto"/>
            <w:left w:val="none" w:sz="0" w:space="0" w:color="auto"/>
            <w:bottom w:val="none" w:sz="0" w:space="0" w:color="auto"/>
            <w:right w:val="none" w:sz="0" w:space="0" w:color="auto"/>
          </w:divBdr>
        </w:div>
      </w:divsChild>
    </w:div>
    <w:div w:id="777143733">
      <w:bodyDiv w:val="1"/>
      <w:marLeft w:val="0"/>
      <w:marRight w:val="0"/>
      <w:marTop w:val="0"/>
      <w:marBottom w:val="0"/>
      <w:divBdr>
        <w:top w:val="none" w:sz="0" w:space="0" w:color="auto"/>
        <w:left w:val="none" w:sz="0" w:space="0" w:color="auto"/>
        <w:bottom w:val="none" w:sz="0" w:space="0" w:color="auto"/>
        <w:right w:val="none" w:sz="0" w:space="0" w:color="auto"/>
      </w:divBdr>
      <w:divsChild>
        <w:div w:id="323121118">
          <w:marLeft w:val="0"/>
          <w:marRight w:val="0"/>
          <w:marTop w:val="0"/>
          <w:marBottom w:val="0"/>
          <w:divBdr>
            <w:top w:val="none" w:sz="0" w:space="0" w:color="auto"/>
            <w:left w:val="none" w:sz="0" w:space="0" w:color="auto"/>
            <w:bottom w:val="none" w:sz="0" w:space="0" w:color="auto"/>
            <w:right w:val="none" w:sz="0" w:space="0" w:color="auto"/>
          </w:divBdr>
        </w:div>
      </w:divsChild>
    </w:div>
    <w:div w:id="779182389">
      <w:bodyDiv w:val="1"/>
      <w:marLeft w:val="0"/>
      <w:marRight w:val="0"/>
      <w:marTop w:val="0"/>
      <w:marBottom w:val="0"/>
      <w:divBdr>
        <w:top w:val="none" w:sz="0" w:space="0" w:color="auto"/>
        <w:left w:val="none" w:sz="0" w:space="0" w:color="auto"/>
        <w:bottom w:val="none" w:sz="0" w:space="0" w:color="auto"/>
        <w:right w:val="none" w:sz="0" w:space="0" w:color="auto"/>
      </w:divBdr>
      <w:divsChild>
        <w:div w:id="303629660">
          <w:marLeft w:val="0"/>
          <w:marRight w:val="0"/>
          <w:marTop w:val="0"/>
          <w:marBottom w:val="0"/>
          <w:divBdr>
            <w:top w:val="none" w:sz="0" w:space="0" w:color="auto"/>
            <w:left w:val="none" w:sz="0" w:space="0" w:color="auto"/>
            <w:bottom w:val="none" w:sz="0" w:space="0" w:color="auto"/>
            <w:right w:val="none" w:sz="0" w:space="0" w:color="auto"/>
          </w:divBdr>
        </w:div>
      </w:divsChild>
    </w:div>
    <w:div w:id="781530165">
      <w:bodyDiv w:val="1"/>
      <w:marLeft w:val="0"/>
      <w:marRight w:val="0"/>
      <w:marTop w:val="0"/>
      <w:marBottom w:val="0"/>
      <w:divBdr>
        <w:top w:val="none" w:sz="0" w:space="0" w:color="auto"/>
        <w:left w:val="none" w:sz="0" w:space="0" w:color="auto"/>
        <w:bottom w:val="none" w:sz="0" w:space="0" w:color="auto"/>
        <w:right w:val="none" w:sz="0" w:space="0" w:color="auto"/>
      </w:divBdr>
    </w:div>
    <w:div w:id="809203229">
      <w:bodyDiv w:val="1"/>
      <w:marLeft w:val="0"/>
      <w:marRight w:val="0"/>
      <w:marTop w:val="0"/>
      <w:marBottom w:val="0"/>
      <w:divBdr>
        <w:top w:val="none" w:sz="0" w:space="0" w:color="auto"/>
        <w:left w:val="none" w:sz="0" w:space="0" w:color="auto"/>
        <w:bottom w:val="none" w:sz="0" w:space="0" w:color="auto"/>
        <w:right w:val="none" w:sz="0" w:space="0" w:color="auto"/>
      </w:divBdr>
      <w:divsChild>
        <w:div w:id="1724674007">
          <w:marLeft w:val="0"/>
          <w:marRight w:val="0"/>
          <w:marTop w:val="0"/>
          <w:marBottom w:val="0"/>
          <w:divBdr>
            <w:top w:val="none" w:sz="0" w:space="0" w:color="auto"/>
            <w:left w:val="none" w:sz="0" w:space="0" w:color="auto"/>
            <w:bottom w:val="none" w:sz="0" w:space="0" w:color="auto"/>
            <w:right w:val="none" w:sz="0" w:space="0" w:color="auto"/>
          </w:divBdr>
        </w:div>
      </w:divsChild>
    </w:div>
    <w:div w:id="830682521">
      <w:bodyDiv w:val="1"/>
      <w:marLeft w:val="0"/>
      <w:marRight w:val="0"/>
      <w:marTop w:val="0"/>
      <w:marBottom w:val="0"/>
      <w:divBdr>
        <w:top w:val="none" w:sz="0" w:space="0" w:color="auto"/>
        <w:left w:val="none" w:sz="0" w:space="0" w:color="auto"/>
        <w:bottom w:val="none" w:sz="0" w:space="0" w:color="auto"/>
        <w:right w:val="none" w:sz="0" w:space="0" w:color="auto"/>
      </w:divBdr>
      <w:divsChild>
        <w:div w:id="857238834">
          <w:marLeft w:val="0"/>
          <w:marRight w:val="0"/>
          <w:marTop w:val="0"/>
          <w:marBottom w:val="0"/>
          <w:divBdr>
            <w:top w:val="none" w:sz="0" w:space="0" w:color="auto"/>
            <w:left w:val="none" w:sz="0" w:space="0" w:color="auto"/>
            <w:bottom w:val="none" w:sz="0" w:space="0" w:color="auto"/>
            <w:right w:val="none" w:sz="0" w:space="0" w:color="auto"/>
          </w:divBdr>
        </w:div>
      </w:divsChild>
    </w:div>
    <w:div w:id="831872265">
      <w:bodyDiv w:val="1"/>
      <w:marLeft w:val="0"/>
      <w:marRight w:val="0"/>
      <w:marTop w:val="0"/>
      <w:marBottom w:val="0"/>
      <w:divBdr>
        <w:top w:val="none" w:sz="0" w:space="0" w:color="auto"/>
        <w:left w:val="none" w:sz="0" w:space="0" w:color="auto"/>
        <w:bottom w:val="none" w:sz="0" w:space="0" w:color="auto"/>
        <w:right w:val="none" w:sz="0" w:space="0" w:color="auto"/>
      </w:divBdr>
      <w:divsChild>
        <w:div w:id="262037378">
          <w:marLeft w:val="0"/>
          <w:marRight w:val="0"/>
          <w:marTop w:val="0"/>
          <w:marBottom w:val="0"/>
          <w:divBdr>
            <w:top w:val="none" w:sz="0" w:space="0" w:color="auto"/>
            <w:left w:val="none" w:sz="0" w:space="0" w:color="auto"/>
            <w:bottom w:val="none" w:sz="0" w:space="0" w:color="auto"/>
            <w:right w:val="none" w:sz="0" w:space="0" w:color="auto"/>
          </w:divBdr>
        </w:div>
      </w:divsChild>
    </w:div>
    <w:div w:id="837231113">
      <w:bodyDiv w:val="1"/>
      <w:marLeft w:val="0"/>
      <w:marRight w:val="0"/>
      <w:marTop w:val="0"/>
      <w:marBottom w:val="0"/>
      <w:divBdr>
        <w:top w:val="none" w:sz="0" w:space="0" w:color="auto"/>
        <w:left w:val="none" w:sz="0" w:space="0" w:color="auto"/>
        <w:bottom w:val="none" w:sz="0" w:space="0" w:color="auto"/>
        <w:right w:val="none" w:sz="0" w:space="0" w:color="auto"/>
      </w:divBdr>
    </w:div>
    <w:div w:id="846940384">
      <w:bodyDiv w:val="1"/>
      <w:marLeft w:val="0"/>
      <w:marRight w:val="0"/>
      <w:marTop w:val="0"/>
      <w:marBottom w:val="0"/>
      <w:divBdr>
        <w:top w:val="none" w:sz="0" w:space="0" w:color="auto"/>
        <w:left w:val="none" w:sz="0" w:space="0" w:color="auto"/>
        <w:bottom w:val="none" w:sz="0" w:space="0" w:color="auto"/>
        <w:right w:val="none" w:sz="0" w:space="0" w:color="auto"/>
      </w:divBdr>
      <w:divsChild>
        <w:div w:id="881793220">
          <w:marLeft w:val="0"/>
          <w:marRight w:val="0"/>
          <w:marTop w:val="0"/>
          <w:marBottom w:val="0"/>
          <w:divBdr>
            <w:top w:val="none" w:sz="0" w:space="0" w:color="auto"/>
            <w:left w:val="none" w:sz="0" w:space="0" w:color="auto"/>
            <w:bottom w:val="none" w:sz="0" w:space="0" w:color="auto"/>
            <w:right w:val="none" w:sz="0" w:space="0" w:color="auto"/>
          </w:divBdr>
        </w:div>
      </w:divsChild>
    </w:div>
    <w:div w:id="866211759">
      <w:bodyDiv w:val="1"/>
      <w:marLeft w:val="0"/>
      <w:marRight w:val="0"/>
      <w:marTop w:val="0"/>
      <w:marBottom w:val="0"/>
      <w:divBdr>
        <w:top w:val="none" w:sz="0" w:space="0" w:color="auto"/>
        <w:left w:val="none" w:sz="0" w:space="0" w:color="auto"/>
        <w:bottom w:val="none" w:sz="0" w:space="0" w:color="auto"/>
        <w:right w:val="none" w:sz="0" w:space="0" w:color="auto"/>
      </w:divBdr>
      <w:divsChild>
        <w:div w:id="1386560798">
          <w:marLeft w:val="0"/>
          <w:marRight w:val="0"/>
          <w:marTop w:val="0"/>
          <w:marBottom w:val="0"/>
          <w:divBdr>
            <w:top w:val="none" w:sz="0" w:space="0" w:color="auto"/>
            <w:left w:val="none" w:sz="0" w:space="0" w:color="auto"/>
            <w:bottom w:val="none" w:sz="0" w:space="0" w:color="auto"/>
            <w:right w:val="none" w:sz="0" w:space="0" w:color="auto"/>
          </w:divBdr>
        </w:div>
      </w:divsChild>
    </w:div>
    <w:div w:id="867134529">
      <w:bodyDiv w:val="1"/>
      <w:marLeft w:val="0"/>
      <w:marRight w:val="0"/>
      <w:marTop w:val="0"/>
      <w:marBottom w:val="0"/>
      <w:divBdr>
        <w:top w:val="none" w:sz="0" w:space="0" w:color="auto"/>
        <w:left w:val="none" w:sz="0" w:space="0" w:color="auto"/>
        <w:bottom w:val="none" w:sz="0" w:space="0" w:color="auto"/>
        <w:right w:val="none" w:sz="0" w:space="0" w:color="auto"/>
      </w:divBdr>
      <w:divsChild>
        <w:div w:id="1150713089">
          <w:marLeft w:val="0"/>
          <w:marRight w:val="0"/>
          <w:marTop w:val="0"/>
          <w:marBottom w:val="0"/>
          <w:divBdr>
            <w:top w:val="none" w:sz="0" w:space="0" w:color="auto"/>
            <w:left w:val="none" w:sz="0" w:space="0" w:color="auto"/>
            <w:bottom w:val="none" w:sz="0" w:space="0" w:color="auto"/>
            <w:right w:val="none" w:sz="0" w:space="0" w:color="auto"/>
          </w:divBdr>
        </w:div>
      </w:divsChild>
    </w:div>
    <w:div w:id="869806543">
      <w:bodyDiv w:val="1"/>
      <w:marLeft w:val="0"/>
      <w:marRight w:val="0"/>
      <w:marTop w:val="0"/>
      <w:marBottom w:val="0"/>
      <w:divBdr>
        <w:top w:val="none" w:sz="0" w:space="0" w:color="auto"/>
        <w:left w:val="none" w:sz="0" w:space="0" w:color="auto"/>
        <w:bottom w:val="none" w:sz="0" w:space="0" w:color="auto"/>
        <w:right w:val="none" w:sz="0" w:space="0" w:color="auto"/>
      </w:divBdr>
      <w:divsChild>
        <w:div w:id="263921215">
          <w:marLeft w:val="0"/>
          <w:marRight w:val="0"/>
          <w:marTop w:val="0"/>
          <w:marBottom w:val="0"/>
          <w:divBdr>
            <w:top w:val="none" w:sz="0" w:space="0" w:color="auto"/>
            <w:left w:val="none" w:sz="0" w:space="0" w:color="auto"/>
            <w:bottom w:val="none" w:sz="0" w:space="0" w:color="auto"/>
            <w:right w:val="none" w:sz="0" w:space="0" w:color="auto"/>
          </w:divBdr>
        </w:div>
        <w:div w:id="1663662246">
          <w:marLeft w:val="0"/>
          <w:marRight w:val="0"/>
          <w:marTop w:val="0"/>
          <w:marBottom w:val="0"/>
          <w:divBdr>
            <w:top w:val="none" w:sz="0" w:space="0" w:color="auto"/>
            <w:left w:val="none" w:sz="0" w:space="0" w:color="auto"/>
            <w:bottom w:val="none" w:sz="0" w:space="0" w:color="auto"/>
            <w:right w:val="none" w:sz="0" w:space="0" w:color="auto"/>
          </w:divBdr>
        </w:div>
        <w:div w:id="1840074004">
          <w:marLeft w:val="0"/>
          <w:marRight w:val="0"/>
          <w:marTop w:val="0"/>
          <w:marBottom w:val="0"/>
          <w:divBdr>
            <w:top w:val="none" w:sz="0" w:space="0" w:color="auto"/>
            <w:left w:val="none" w:sz="0" w:space="0" w:color="auto"/>
            <w:bottom w:val="none" w:sz="0" w:space="0" w:color="auto"/>
            <w:right w:val="none" w:sz="0" w:space="0" w:color="auto"/>
          </w:divBdr>
        </w:div>
      </w:divsChild>
    </w:div>
    <w:div w:id="876354796">
      <w:bodyDiv w:val="1"/>
      <w:marLeft w:val="0"/>
      <w:marRight w:val="0"/>
      <w:marTop w:val="0"/>
      <w:marBottom w:val="0"/>
      <w:divBdr>
        <w:top w:val="none" w:sz="0" w:space="0" w:color="auto"/>
        <w:left w:val="none" w:sz="0" w:space="0" w:color="auto"/>
        <w:bottom w:val="none" w:sz="0" w:space="0" w:color="auto"/>
        <w:right w:val="none" w:sz="0" w:space="0" w:color="auto"/>
      </w:divBdr>
    </w:div>
    <w:div w:id="884413270">
      <w:bodyDiv w:val="1"/>
      <w:marLeft w:val="0"/>
      <w:marRight w:val="0"/>
      <w:marTop w:val="0"/>
      <w:marBottom w:val="0"/>
      <w:divBdr>
        <w:top w:val="none" w:sz="0" w:space="0" w:color="auto"/>
        <w:left w:val="none" w:sz="0" w:space="0" w:color="auto"/>
        <w:bottom w:val="none" w:sz="0" w:space="0" w:color="auto"/>
        <w:right w:val="none" w:sz="0" w:space="0" w:color="auto"/>
      </w:divBdr>
    </w:div>
    <w:div w:id="885683599">
      <w:bodyDiv w:val="1"/>
      <w:marLeft w:val="0"/>
      <w:marRight w:val="0"/>
      <w:marTop w:val="0"/>
      <w:marBottom w:val="0"/>
      <w:divBdr>
        <w:top w:val="none" w:sz="0" w:space="0" w:color="auto"/>
        <w:left w:val="none" w:sz="0" w:space="0" w:color="auto"/>
        <w:bottom w:val="none" w:sz="0" w:space="0" w:color="auto"/>
        <w:right w:val="none" w:sz="0" w:space="0" w:color="auto"/>
      </w:divBdr>
      <w:divsChild>
        <w:div w:id="740374420">
          <w:marLeft w:val="0"/>
          <w:marRight w:val="0"/>
          <w:marTop w:val="0"/>
          <w:marBottom w:val="0"/>
          <w:divBdr>
            <w:top w:val="none" w:sz="0" w:space="0" w:color="auto"/>
            <w:left w:val="none" w:sz="0" w:space="0" w:color="auto"/>
            <w:bottom w:val="none" w:sz="0" w:space="0" w:color="auto"/>
            <w:right w:val="none" w:sz="0" w:space="0" w:color="auto"/>
          </w:divBdr>
        </w:div>
      </w:divsChild>
    </w:div>
    <w:div w:id="898051667">
      <w:bodyDiv w:val="1"/>
      <w:marLeft w:val="0"/>
      <w:marRight w:val="0"/>
      <w:marTop w:val="0"/>
      <w:marBottom w:val="0"/>
      <w:divBdr>
        <w:top w:val="none" w:sz="0" w:space="0" w:color="auto"/>
        <w:left w:val="none" w:sz="0" w:space="0" w:color="auto"/>
        <w:bottom w:val="none" w:sz="0" w:space="0" w:color="auto"/>
        <w:right w:val="none" w:sz="0" w:space="0" w:color="auto"/>
      </w:divBdr>
    </w:div>
    <w:div w:id="901134618">
      <w:bodyDiv w:val="1"/>
      <w:marLeft w:val="0"/>
      <w:marRight w:val="0"/>
      <w:marTop w:val="0"/>
      <w:marBottom w:val="0"/>
      <w:divBdr>
        <w:top w:val="none" w:sz="0" w:space="0" w:color="auto"/>
        <w:left w:val="none" w:sz="0" w:space="0" w:color="auto"/>
        <w:bottom w:val="none" w:sz="0" w:space="0" w:color="auto"/>
        <w:right w:val="none" w:sz="0" w:space="0" w:color="auto"/>
      </w:divBdr>
      <w:divsChild>
        <w:div w:id="179702302">
          <w:marLeft w:val="0"/>
          <w:marRight w:val="0"/>
          <w:marTop w:val="0"/>
          <w:marBottom w:val="0"/>
          <w:divBdr>
            <w:top w:val="none" w:sz="0" w:space="0" w:color="auto"/>
            <w:left w:val="none" w:sz="0" w:space="0" w:color="auto"/>
            <w:bottom w:val="none" w:sz="0" w:space="0" w:color="auto"/>
            <w:right w:val="none" w:sz="0" w:space="0" w:color="auto"/>
          </w:divBdr>
        </w:div>
      </w:divsChild>
    </w:div>
    <w:div w:id="905996496">
      <w:bodyDiv w:val="1"/>
      <w:marLeft w:val="0"/>
      <w:marRight w:val="0"/>
      <w:marTop w:val="0"/>
      <w:marBottom w:val="0"/>
      <w:divBdr>
        <w:top w:val="none" w:sz="0" w:space="0" w:color="auto"/>
        <w:left w:val="none" w:sz="0" w:space="0" w:color="auto"/>
        <w:bottom w:val="none" w:sz="0" w:space="0" w:color="auto"/>
        <w:right w:val="none" w:sz="0" w:space="0" w:color="auto"/>
      </w:divBdr>
      <w:divsChild>
        <w:div w:id="702440790">
          <w:marLeft w:val="0"/>
          <w:marRight w:val="0"/>
          <w:marTop w:val="0"/>
          <w:marBottom w:val="0"/>
          <w:divBdr>
            <w:top w:val="none" w:sz="0" w:space="0" w:color="auto"/>
            <w:left w:val="none" w:sz="0" w:space="0" w:color="auto"/>
            <w:bottom w:val="none" w:sz="0" w:space="0" w:color="auto"/>
            <w:right w:val="none" w:sz="0" w:space="0" w:color="auto"/>
          </w:divBdr>
        </w:div>
      </w:divsChild>
    </w:div>
    <w:div w:id="980229263">
      <w:bodyDiv w:val="1"/>
      <w:marLeft w:val="0"/>
      <w:marRight w:val="0"/>
      <w:marTop w:val="0"/>
      <w:marBottom w:val="0"/>
      <w:divBdr>
        <w:top w:val="none" w:sz="0" w:space="0" w:color="auto"/>
        <w:left w:val="none" w:sz="0" w:space="0" w:color="auto"/>
        <w:bottom w:val="none" w:sz="0" w:space="0" w:color="auto"/>
        <w:right w:val="none" w:sz="0" w:space="0" w:color="auto"/>
      </w:divBdr>
      <w:divsChild>
        <w:div w:id="60761205">
          <w:marLeft w:val="0"/>
          <w:marRight w:val="0"/>
          <w:marTop w:val="0"/>
          <w:marBottom w:val="0"/>
          <w:divBdr>
            <w:top w:val="none" w:sz="0" w:space="0" w:color="auto"/>
            <w:left w:val="none" w:sz="0" w:space="0" w:color="auto"/>
            <w:bottom w:val="none" w:sz="0" w:space="0" w:color="auto"/>
            <w:right w:val="none" w:sz="0" w:space="0" w:color="auto"/>
          </w:divBdr>
        </w:div>
      </w:divsChild>
    </w:div>
    <w:div w:id="987710445">
      <w:bodyDiv w:val="1"/>
      <w:marLeft w:val="0"/>
      <w:marRight w:val="0"/>
      <w:marTop w:val="0"/>
      <w:marBottom w:val="0"/>
      <w:divBdr>
        <w:top w:val="none" w:sz="0" w:space="0" w:color="auto"/>
        <w:left w:val="none" w:sz="0" w:space="0" w:color="auto"/>
        <w:bottom w:val="none" w:sz="0" w:space="0" w:color="auto"/>
        <w:right w:val="none" w:sz="0" w:space="0" w:color="auto"/>
      </w:divBdr>
      <w:divsChild>
        <w:div w:id="778989220">
          <w:marLeft w:val="0"/>
          <w:marRight w:val="0"/>
          <w:marTop w:val="0"/>
          <w:marBottom w:val="0"/>
          <w:divBdr>
            <w:top w:val="none" w:sz="0" w:space="0" w:color="auto"/>
            <w:left w:val="none" w:sz="0" w:space="0" w:color="auto"/>
            <w:bottom w:val="none" w:sz="0" w:space="0" w:color="auto"/>
            <w:right w:val="none" w:sz="0" w:space="0" w:color="auto"/>
          </w:divBdr>
        </w:div>
      </w:divsChild>
    </w:div>
    <w:div w:id="996030315">
      <w:bodyDiv w:val="1"/>
      <w:marLeft w:val="0"/>
      <w:marRight w:val="0"/>
      <w:marTop w:val="0"/>
      <w:marBottom w:val="0"/>
      <w:divBdr>
        <w:top w:val="none" w:sz="0" w:space="0" w:color="auto"/>
        <w:left w:val="none" w:sz="0" w:space="0" w:color="auto"/>
        <w:bottom w:val="none" w:sz="0" w:space="0" w:color="auto"/>
        <w:right w:val="none" w:sz="0" w:space="0" w:color="auto"/>
      </w:divBdr>
      <w:divsChild>
        <w:div w:id="303705283">
          <w:marLeft w:val="0"/>
          <w:marRight w:val="0"/>
          <w:marTop w:val="0"/>
          <w:marBottom w:val="0"/>
          <w:divBdr>
            <w:top w:val="none" w:sz="0" w:space="0" w:color="auto"/>
            <w:left w:val="none" w:sz="0" w:space="0" w:color="auto"/>
            <w:bottom w:val="none" w:sz="0" w:space="0" w:color="auto"/>
            <w:right w:val="none" w:sz="0" w:space="0" w:color="auto"/>
          </w:divBdr>
        </w:div>
      </w:divsChild>
    </w:div>
    <w:div w:id="1005472235">
      <w:bodyDiv w:val="1"/>
      <w:marLeft w:val="0"/>
      <w:marRight w:val="0"/>
      <w:marTop w:val="0"/>
      <w:marBottom w:val="0"/>
      <w:divBdr>
        <w:top w:val="none" w:sz="0" w:space="0" w:color="auto"/>
        <w:left w:val="none" w:sz="0" w:space="0" w:color="auto"/>
        <w:bottom w:val="none" w:sz="0" w:space="0" w:color="auto"/>
        <w:right w:val="none" w:sz="0" w:space="0" w:color="auto"/>
      </w:divBdr>
      <w:divsChild>
        <w:div w:id="209877539">
          <w:marLeft w:val="0"/>
          <w:marRight w:val="0"/>
          <w:marTop w:val="0"/>
          <w:marBottom w:val="0"/>
          <w:divBdr>
            <w:top w:val="none" w:sz="0" w:space="0" w:color="auto"/>
            <w:left w:val="none" w:sz="0" w:space="0" w:color="auto"/>
            <w:bottom w:val="none" w:sz="0" w:space="0" w:color="auto"/>
            <w:right w:val="none" w:sz="0" w:space="0" w:color="auto"/>
          </w:divBdr>
        </w:div>
      </w:divsChild>
    </w:div>
    <w:div w:id="1033579834">
      <w:bodyDiv w:val="1"/>
      <w:marLeft w:val="0"/>
      <w:marRight w:val="0"/>
      <w:marTop w:val="0"/>
      <w:marBottom w:val="0"/>
      <w:divBdr>
        <w:top w:val="none" w:sz="0" w:space="0" w:color="auto"/>
        <w:left w:val="none" w:sz="0" w:space="0" w:color="auto"/>
        <w:bottom w:val="none" w:sz="0" w:space="0" w:color="auto"/>
        <w:right w:val="none" w:sz="0" w:space="0" w:color="auto"/>
      </w:divBdr>
    </w:div>
    <w:div w:id="1097402835">
      <w:bodyDiv w:val="1"/>
      <w:marLeft w:val="0"/>
      <w:marRight w:val="0"/>
      <w:marTop w:val="0"/>
      <w:marBottom w:val="0"/>
      <w:divBdr>
        <w:top w:val="none" w:sz="0" w:space="0" w:color="auto"/>
        <w:left w:val="none" w:sz="0" w:space="0" w:color="auto"/>
        <w:bottom w:val="none" w:sz="0" w:space="0" w:color="auto"/>
        <w:right w:val="none" w:sz="0" w:space="0" w:color="auto"/>
      </w:divBdr>
      <w:divsChild>
        <w:div w:id="1701011898">
          <w:marLeft w:val="0"/>
          <w:marRight w:val="0"/>
          <w:marTop w:val="0"/>
          <w:marBottom w:val="0"/>
          <w:divBdr>
            <w:top w:val="none" w:sz="0" w:space="0" w:color="auto"/>
            <w:left w:val="none" w:sz="0" w:space="0" w:color="auto"/>
            <w:bottom w:val="none" w:sz="0" w:space="0" w:color="auto"/>
            <w:right w:val="none" w:sz="0" w:space="0" w:color="auto"/>
          </w:divBdr>
        </w:div>
      </w:divsChild>
    </w:div>
    <w:div w:id="1101728738">
      <w:bodyDiv w:val="1"/>
      <w:marLeft w:val="0"/>
      <w:marRight w:val="0"/>
      <w:marTop w:val="0"/>
      <w:marBottom w:val="0"/>
      <w:divBdr>
        <w:top w:val="none" w:sz="0" w:space="0" w:color="auto"/>
        <w:left w:val="none" w:sz="0" w:space="0" w:color="auto"/>
        <w:bottom w:val="none" w:sz="0" w:space="0" w:color="auto"/>
        <w:right w:val="none" w:sz="0" w:space="0" w:color="auto"/>
      </w:divBdr>
      <w:divsChild>
        <w:div w:id="569661304">
          <w:marLeft w:val="0"/>
          <w:marRight w:val="0"/>
          <w:marTop w:val="0"/>
          <w:marBottom w:val="0"/>
          <w:divBdr>
            <w:top w:val="none" w:sz="0" w:space="0" w:color="auto"/>
            <w:left w:val="none" w:sz="0" w:space="0" w:color="auto"/>
            <w:bottom w:val="none" w:sz="0" w:space="0" w:color="auto"/>
            <w:right w:val="none" w:sz="0" w:space="0" w:color="auto"/>
          </w:divBdr>
        </w:div>
      </w:divsChild>
    </w:div>
    <w:div w:id="1128278268">
      <w:bodyDiv w:val="1"/>
      <w:marLeft w:val="0"/>
      <w:marRight w:val="0"/>
      <w:marTop w:val="0"/>
      <w:marBottom w:val="0"/>
      <w:divBdr>
        <w:top w:val="none" w:sz="0" w:space="0" w:color="auto"/>
        <w:left w:val="none" w:sz="0" w:space="0" w:color="auto"/>
        <w:bottom w:val="none" w:sz="0" w:space="0" w:color="auto"/>
        <w:right w:val="none" w:sz="0" w:space="0" w:color="auto"/>
      </w:divBdr>
      <w:divsChild>
        <w:div w:id="1856262465">
          <w:marLeft w:val="0"/>
          <w:marRight w:val="0"/>
          <w:marTop w:val="0"/>
          <w:marBottom w:val="0"/>
          <w:divBdr>
            <w:top w:val="none" w:sz="0" w:space="0" w:color="auto"/>
            <w:left w:val="none" w:sz="0" w:space="0" w:color="auto"/>
            <w:bottom w:val="none" w:sz="0" w:space="0" w:color="auto"/>
            <w:right w:val="none" w:sz="0" w:space="0" w:color="auto"/>
          </w:divBdr>
        </w:div>
      </w:divsChild>
    </w:div>
    <w:div w:id="1161583888">
      <w:bodyDiv w:val="1"/>
      <w:marLeft w:val="0"/>
      <w:marRight w:val="0"/>
      <w:marTop w:val="0"/>
      <w:marBottom w:val="0"/>
      <w:divBdr>
        <w:top w:val="none" w:sz="0" w:space="0" w:color="auto"/>
        <w:left w:val="none" w:sz="0" w:space="0" w:color="auto"/>
        <w:bottom w:val="none" w:sz="0" w:space="0" w:color="auto"/>
        <w:right w:val="none" w:sz="0" w:space="0" w:color="auto"/>
      </w:divBdr>
      <w:divsChild>
        <w:div w:id="1339111883">
          <w:marLeft w:val="0"/>
          <w:marRight w:val="0"/>
          <w:marTop w:val="0"/>
          <w:marBottom w:val="0"/>
          <w:divBdr>
            <w:top w:val="none" w:sz="0" w:space="0" w:color="auto"/>
            <w:left w:val="none" w:sz="0" w:space="0" w:color="auto"/>
            <w:bottom w:val="none" w:sz="0" w:space="0" w:color="auto"/>
            <w:right w:val="none" w:sz="0" w:space="0" w:color="auto"/>
          </w:divBdr>
        </w:div>
      </w:divsChild>
    </w:div>
    <w:div w:id="1165172201">
      <w:bodyDiv w:val="1"/>
      <w:marLeft w:val="0"/>
      <w:marRight w:val="0"/>
      <w:marTop w:val="0"/>
      <w:marBottom w:val="0"/>
      <w:divBdr>
        <w:top w:val="none" w:sz="0" w:space="0" w:color="auto"/>
        <w:left w:val="none" w:sz="0" w:space="0" w:color="auto"/>
        <w:bottom w:val="none" w:sz="0" w:space="0" w:color="auto"/>
        <w:right w:val="none" w:sz="0" w:space="0" w:color="auto"/>
      </w:divBdr>
    </w:div>
    <w:div w:id="1186405837">
      <w:bodyDiv w:val="1"/>
      <w:marLeft w:val="0"/>
      <w:marRight w:val="0"/>
      <w:marTop w:val="0"/>
      <w:marBottom w:val="0"/>
      <w:divBdr>
        <w:top w:val="none" w:sz="0" w:space="0" w:color="auto"/>
        <w:left w:val="none" w:sz="0" w:space="0" w:color="auto"/>
        <w:bottom w:val="none" w:sz="0" w:space="0" w:color="auto"/>
        <w:right w:val="none" w:sz="0" w:space="0" w:color="auto"/>
      </w:divBdr>
      <w:divsChild>
        <w:div w:id="189955349">
          <w:marLeft w:val="0"/>
          <w:marRight w:val="0"/>
          <w:marTop w:val="0"/>
          <w:marBottom w:val="0"/>
          <w:divBdr>
            <w:top w:val="none" w:sz="0" w:space="0" w:color="auto"/>
            <w:left w:val="none" w:sz="0" w:space="0" w:color="auto"/>
            <w:bottom w:val="none" w:sz="0" w:space="0" w:color="auto"/>
            <w:right w:val="none" w:sz="0" w:space="0" w:color="auto"/>
          </w:divBdr>
        </w:div>
      </w:divsChild>
    </w:div>
    <w:div w:id="1213232953">
      <w:bodyDiv w:val="1"/>
      <w:marLeft w:val="0"/>
      <w:marRight w:val="0"/>
      <w:marTop w:val="0"/>
      <w:marBottom w:val="0"/>
      <w:divBdr>
        <w:top w:val="none" w:sz="0" w:space="0" w:color="auto"/>
        <w:left w:val="none" w:sz="0" w:space="0" w:color="auto"/>
        <w:bottom w:val="none" w:sz="0" w:space="0" w:color="auto"/>
        <w:right w:val="none" w:sz="0" w:space="0" w:color="auto"/>
      </w:divBdr>
      <w:divsChild>
        <w:div w:id="2139031267">
          <w:marLeft w:val="0"/>
          <w:marRight w:val="0"/>
          <w:marTop w:val="0"/>
          <w:marBottom w:val="0"/>
          <w:divBdr>
            <w:top w:val="none" w:sz="0" w:space="0" w:color="auto"/>
            <w:left w:val="none" w:sz="0" w:space="0" w:color="auto"/>
            <w:bottom w:val="none" w:sz="0" w:space="0" w:color="auto"/>
            <w:right w:val="none" w:sz="0" w:space="0" w:color="auto"/>
          </w:divBdr>
        </w:div>
      </w:divsChild>
    </w:div>
    <w:div w:id="1222211549">
      <w:bodyDiv w:val="1"/>
      <w:marLeft w:val="0"/>
      <w:marRight w:val="0"/>
      <w:marTop w:val="0"/>
      <w:marBottom w:val="0"/>
      <w:divBdr>
        <w:top w:val="none" w:sz="0" w:space="0" w:color="auto"/>
        <w:left w:val="none" w:sz="0" w:space="0" w:color="auto"/>
        <w:bottom w:val="none" w:sz="0" w:space="0" w:color="auto"/>
        <w:right w:val="none" w:sz="0" w:space="0" w:color="auto"/>
      </w:divBdr>
      <w:divsChild>
        <w:div w:id="312561875">
          <w:marLeft w:val="0"/>
          <w:marRight w:val="0"/>
          <w:marTop w:val="0"/>
          <w:marBottom w:val="0"/>
          <w:divBdr>
            <w:top w:val="none" w:sz="0" w:space="0" w:color="auto"/>
            <w:left w:val="none" w:sz="0" w:space="0" w:color="auto"/>
            <w:bottom w:val="none" w:sz="0" w:space="0" w:color="auto"/>
            <w:right w:val="none" w:sz="0" w:space="0" w:color="auto"/>
          </w:divBdr>
        </w:div>
      </w:divsChild>
    </w:div>
    <w:div w:id="1240483135">
      <w:bodyDiv w:val="1"/>
      <w:marLeft w:val="0"/>
      <w:marRight w:val="0"/>
      <w:marTop w:val="0"/>
      <w:marBottom w:val="0"/>
      <w:divBdr>
        <w:top w:val="none" w:sz="0" w:space="0" w:color="auto"/>
        <w:left w:val="none" w:sz="0" w:space="0" w:color="auto"/>
        <w:bottom w:val="none" w:sz="0" w:space="0" w:color="auto"/>
        <w:right w:val="none" w:sz="0" w:space="0" w:color="auto"/>
      </w:divBdr>
      <w:divsChild>
        <w:div w:id="700403883">
          <w:marLeft w:val="0"/>
          <w:marRight w:val="0"/>
          <w:marTop w:val="0"/>
          <w:marBottom w:val="0"/>
          <w:divBdr>
            <w:top w:val="none" w:sz="0" w:space="0" w:color="auto"/>
            <w:left w:val="none" w:sz="0" w:space="0" w:color="auto"/>
            <w:bottom w:val="none" w:sz="0" w:space="0" w:color="auto"/>
            <w:right w:val="none" w:sz="0" w:space="0" w:color="auto"/>
          </w:divBdr>
        </w:div>
      </w:divsChild>
    </w:div>
    <w:div w:id="1247181877">
      <w:bodyDiv w:val="1"/>
      <w:marLeft w:val="0"/>
      <w:marRight w:val="0"/>
      <w:marTop w:val="0"/>
      <w:marBottom w:val="0"/>
      <w:divBdr>
        <w:top w:val="none" w:sz="0" w:space="0" w:color="auto"/>
        <w:left w:val="none" w:sz="0" w:space="0" w:color="auto"/>
        <w:bottom w:val="none" w:sz="0" w:space="0" w:color="auto"/>
        <w:right w:val="none" w:sz="0" w:space="0" w:color="auto"/>
      </w:divBdr>
      <w:divsChild>
        <w:div w:id="1314025225">
          <w:marLeft w:val="0"/>
          <w:marRight w:val="0"/>
          <w:marTop w:val="0"/>
          <w:marBottom w:val="0"/>
          <w:divBdr>
            <w:top w:val="none" w:sz="0" w:space="0" w:color="auto"/>
            <w:left w:val="none" w:sz="0" w:space="0" w:color="auto"/>
            <w:bottom w:val="none" w:sz="0" w:space="0" w:color="auto"/>
            <w:right w:val="none" w:sz="0" w:space="0" w:color="auto"/>
          </w:divBdr>
        </w:div>
      </w:divsChild>
    </w:div>
    <w:div w:id="1272784814">
      <w:bodyDiv w:val="1"/>
      <w:marLeft w:val="0"/>
      <w:marRight w:val="0"/>
      <w:marTop w:val="0"/>
      <w:marBottom w:val="0"/>
      <w:divBdr>
        <w:top w:val="none" w:sz="0" w:space="0" w:color="auto"/>
        <w:left w:val="none" w:sz="0" w:space="0" w:color="auto"/>
        <w:bottom w:val="none" w:sz="0" w:space="0" w:color="auto"/>
        <w:right w:val="none" w:sz="0" w:space="0" w:color="auto"/>
      </w:divBdr>
      <w:divsChild>
        <w:div w:id="1782070175">
          <w:marLeft w:val="0"/>
          <w:marRight w:val="0"/>
          <w:marTop w:val="0"/>
          <w:marBottom w:val="0"/>
          <w:divBdr>
            <w:top w:val="none" w:sz="0" w:space="0" w:color="auto"/>
            <w:left w:val="none" w:sz="0" w:space="0" w:color="auto"/>
            <w:bottom w:val="none" w:sz="0" w:space="0" w:color="auto"/>
            <w:right w:val="none" w:sz="0" w:space="0" w:color="auto"/>
          </w:divBdr>
        </w:div>
      </w:divsChild>
    </w:div>
    <w:div w:id="1274753852">
      <w:bodyDiv w:val="1"/>
      <w:marLeft w:val="0"/>
      <w:marRight w:val="0"/>
      <w:marTop w:val="0"/>
      <w:marBottom w:val="0"/>
      <w:divBdr>
        <w:top w:val="none" w:sz="0" w:space="0" w:color="auto"/>
        <w:left w:val="none" w:sz="0" w:space="0" w:color="auto"/>
        <w:bottom w:val="none" w:sz="0" w:space="0" w:color="auto"/>
        <w:right w:val="none" w:sz="0" w:space="0" w:color="auto"/>
      </w:divBdr>
      <w:divsChild>
        <w:div w:id="8652856">
          <w:marLeft w:val="0"/>
          <w:marRight w:val="0"/>
          <w:marTop w:val="0"/>
          <w:marBottom w:val="0"/>
          <w:divBdr>
            <w:top w:val="none" w:sz="0" w:space="0" w:color="auto"/>
            <w:left w:val="none" w:sz="0" w:space="0" w:color="auto"/>
            <w:bottom w:val="none" w:sz="0" w:space="0" w:color="auto"/>
            <w:right w:val="none" w:sz="0" w:space="0" w:color="auto"/>
          </w:divBdr>
        </w:div>
      </w:divsChild>
    </w:div>
    <w:div w:id="1282490854">
      <w:bodyDiv w:val="1"/>
      <w:marLeft w:val="0"/>
      <w:marRight w:val="0"/>
      <w:marTop w:val="0"/>
      <w:marBottom w:val="0"/>
      <w:divBdr>
        <w:top w:val="none" w:sz="0" w:space="0" w:color="auto"/>
        <w:left w:val="none" w:sz="0" w:space="0" w:color="auto"/>
        <w:bottom w:val="none" w:sz="0" w:space="0" w:color="auto"/>
        <w:right w:val="none" w:sz="0" w:space="0" w:color="auto"/>
      </w:divBdr>
      <w:divsChild>
        <w:div w:id="847528570">
          <w:marLeft w:val="0"/>
          <w:marRight w:val="0"/>
          <w:marTop w:val="0"/>
          <w:marBottom w:val="0"/>
          <w:divBdr>
            <w:top w:val="none" w:sz="0" w:space="0" w:color="auto"/>
            <w:left w:val="none" w:sz="0" w:space="0" w:color="auto"/>
            <w:bottom w:val="none" w:sz="0" w:space="0" w:color="auto"/>
            <w:right w:val="none" w:sz="0" w:space="0" w:color="auto"/>
          </w:divBdr>
        </w:div>
      </w:divsChild>
    </w:div>
    <w:div w:id="1293827406">
      <w:bodyDiv w:val="1"/>
      <w:marLeft w:val="0"/>
      <w:marRight w:val="0"/>
      <w:marTop w:val="0"/>
      <w:marBottom w:val="0"/>
      <w:divBdr>
        <w:top w:val="none" w:sz="0" w:space="0" w:color="auto"/>
        <w:left w:val="none" w:sz="0" w:space="0" w:color="auto"/>
        <w:bottom w:val="none" w:sz="0" w:space="0" w:color="auto"/>
        <w:right w:val="none" w:sz="0" w:space="0" w:color="auto"/>
      </w:divBdr>
      <w:divsChild>
        <w:div w:id="2059476803">
          <w:marLeft w:val="0"/>
          <w:marRight w:val="0"/>
          <w:marTop w:val="0"/>
          <w:marBottom w:val="0"/>
          <w:divBdr>
            <w:top w:val="none" w:sz="0" w:space="0" w:color="auto"/>
            <w:left w:val="none" w:sz="0" w:space="0" w:color="auto"/>
            <w:bottom w:val="none" w:sz="0" w:space="0" w:color="auto"/>
            <w:right w:val="none" w:sz="0" w:space="0" w:color="auto"/>
          </w:divBdr>
        </w:div>
      </w:divsChild>
    </w:div>
    <w:div w:id="1320691221">
      <w:bodyDiv w:val="1"/>
      <w:marLeft w:val="0"/>
      <w:marRight w:val="0"/>
      <w:marTop w:val="0"/>
      <w:marBottom w:val="0"/>
      <w:divBdr>
        <w:top w:val="none" w:sz="0" w:space="0" w:color="auto"/>
        <w:left w:val="none" w:sz="0" w:space="0" w:color="auto"/>
        <w:bottom w:val="none" w:sz="0" w:space="0" w:color="auto"/>
        <w:right w:val="none" w:sz="0" w:space="0" w:color="auto"/>
      </w:divBdr>
      <w:divsChild>
        <w:div w:id="247036869">
          <w:marLeft w:val="0"/>
          <w:marRight w:val="0"/>
          <w:marTop w:val="0"/>
          <w:marBottom w:val="0"/>
          <w:divBdr>
            <w:top w:val="none" w:sz="0" w:space="0" w:color="auto"/>
            <w:left w:val="none" w:sz="0" w:space="0" w:color="auto"/>
            <w:bottom w:val="none" w:sz="0" w:space="0" w:color="auto"/>
            <w:right w:val="none" w:sz="0" w:space="0" w:color="auto"/>
          </w:divBdr>
        </w:div>
      </w:divsChild>
    </w:div>
    <w:div w:id="1340355036">
      <w:bodyDiv w:val="1"/>
      <w:marLeft w:val="0"/>
      <w:marRight w:val="0"/>
      <w:marTop w:val="0"/>
      <w:marBottom w:val="0"/>
      <w:divBdr>
        <w:top w:val="none" w:sz="0" w:space="0" w:color="auto"/>
        <w:left w:val="none" w:sz="0" w:space="0" w:color="auto"/>
        <w:bottom w:val="none" w:sz="0" w:space="0" w:color="auto"/>
        <w:right w:val="none" w:sz="0" w:space="0" w:color="auto"/>
      </w:divBdr>
      <w:divsChild>
        <w:div w:id="500243510">
          <w:marLeft w:val="0"/>
          <w:marRight w:val="0"/>
          <w:marTop w:val="0"/>
          <w:marBottom w:val="0"/>
          <w:divBdr>
            <w:top w:val="none" w:sz="0" w:space="0" w:color="auto"/>
            <w:left w:val="none" w:sz="0" w:space="0" w:color="auto"/>
            <w:bottom w:val="none" w:sz="0" w:space="0" w:color="auto"/>
            <w:right w:val="none" w:sz="0" w:space="0" w:color="auto"/>
          </w:divBdr>
        </w:div>
      </w:divsChild>
    </w:div>
    <w:div w:id="1369452105">
      <w:bodyDiv w:val="1"/>
      <w:marLeft w:val="0"/>
      <w:marRight w:val="0"/>
      <w:marTop w:val="0"/>
      <w:marBottom w:val="0"/>
      <w:divBdr>
        <w:top w:val="none" w:sz="0" w:space="0" w:color="auto"/>
        <w:left w:val="none" w:sz="0" w:space="0" w:color="auto"/>
        <w:bottom w:val="none" w:sz="0" w:space="0" w:color="auto"/>
        <w:right w:val="none" w:sz="0" w:space="0" w:color="auto"/>
      </w:divBdr>
    </w:div>
    <w:div w:id="1403213125">
      <w:bodyDiv w:val="1"/>
      <w:marLeft w:val="0"/>
      <w:marRight w:val="0"/>
      <w:marTop w:val="0"/>
      <w:marBottom w:val="0"/>
      <w:divBdr>
        <w:top w:val="none" w:sz="0" w:space="0" w:color="auto"/>
        <w:left w:val="none" w:sz="0" w:space="0" w:color="auto"/>
        <w:bottom w:val="none" w:sz="0" w:space="0" w:color="auto"/>
        <w:right w:val="none" w:sz="0" w:space="0" w:color="auto"/>
      </w:divBdr>
      <w:divsChild>
        <w:div w:id="1966158717">
          <w:marLeft w:val="0"/>
          <w:marRight w:val="0"/>
          <w:marTop w:val="0"/>
          <w:marBottom w:val="0"/>
          <w:divBdr>
            <w:top w:val="none" w:sz="0" w:space="0" w:color="auto"/>
            <w:left w:val="none" w:sz="0" w:space="0" w:color="auto"/>
            <w:bottom w:val="none" w:sz="0" w:space="0" w:color="auto"/>
            <w:right w:val="none" w:sz="0" w:space="0" w:color="auto"/>
          </w:divBdr>
        </w:div>
      </w:divsChild>
    </w:div>
    <w:div w:id="1422995134">
      <w:bodyDiv w:val="1"/>
      <w:marLeft w:val="0"/>
      <w:marRight w:val="0"/>
      <w:marTop w:val="0"/>
      <w:marBottom w:val="0"/>
      <w:divBdr>
        <w:top w:val="none" w:sz="0" w:space="0" w:color="auto"/>
        <w:left w:val="none" w:sz="0" w:space="0" w:color="auto"/>
        <w:bottom w:val="none" w:sz="0" w:space="0" w:color="auto"/>
        <w:right w:val="none" w:sz="0" w:space="0" w:color="auto"/>
      </w:divBdr>
      <w:divsChild>
        <w:div w:id="1392190579">
          <w:marLeft w:val="0"/>
          <w:marRight w:val="0"/>
          <w:marTop w:val="0"/>
          <w:marBottom w:val="0"/>
          <w:divBdr>
            <w:top w:val="none" w:sz="0" w:space="0" w:color="auto"/>
            <w:left w:val="none" w:sz="0" w:space="0" w:color="auto"/>
            <w:bottom w:val="none" w:sz="0" w:space="0" w:color="auto"/>
            <w:right w:val="none" w:sz="0" w:space="0" w:color="auto"/>
          </w:divBdr>
        </w:div>
      </w:divsChild>
    </w:div>
    <w:div w:id="1426196518">
      <w:bodyDiv w:val="1"/>
      <w:marLeft w:val="0"/>
      <w:marRight w:val="0"/>
      <w:marTop w:val="0"/>
      <w:marBottom w:val="0"/>
      <w:divBdr>
        <w:top w:val="none" w:sz="0" w:space="0" w:color="auto"/>
        <w:left w:val="none" w:sz="0" w:space="0" w:color="auto"/>
        <w:bottom w:val="none" w:sz="0" w:space="0" w:color="auto"/>
        <w:right w:val="none" w:sz="0" w:space="0" w:color="auto"/>
      </w:divBdr>
    </w:div>
    <w:div w:id="1457722141">
      <w:bodyDiv w:val="1"/>
      <w:marLeft w:val="0"/>
      <w:marRight w:val="0"/>
      <w:marTop w:val="0"/>
      <w:marBottom w:val="0"/>
      <w:divBdr>
        <w:top w:val="none" w:sz="0" w:space="0" w:color="auto"/>
        <w:left w:val="none" w:sz="0" w:space="0" w:color="auto"/>
        <w:bottom w:val="none" w:sz="0" w:space="0" w:color="auto"/>
        <w:right w:val="none" w:sz="0" w:space="0" w:color="auto"/>
      </w:divBdr>
      <w:divsChild>
        <w:div w:id="508839589">
          <w:marLeft w:val="0"/>
          <w:marRight w:val="0"/>
          <w:marTop w:val="0"/>
          <w:marBottom w:val="0"/>
          <w:divBdr>
            <w:top w:val="none" w:sz="0" w:space="0" w:color="auto"/>
            <w:left w:val="none" w:sz="0" w:space="0" w:color="auto"/>
            <w:bottom w:val="none" w:sz="0" w:space="0" w:color="auto"/>
            <w:right w:val="none" w:sz="0" w:space="0" w:color="auto"/>
          </w:divBdr>
        </w:div>
      </w:divsChild>
    </w:div>
    <w:div w:id="1509056217">
      <w:bodyDiv w:val="1"/>
      <w:marLeft w:val="0"/>
      <w:marRight w:val="0"/>
      <w:marTop w:val="0"/>
      <w:marBottom w:val="0"/>
      <w:divBdr>
        <w:top w:val="none" w:sz="0" w:space="0" w:color="auto"/>
        <w:left w:val="none" w:sz="0" w:space="0" w:color="auto"/>
        <w:bottom w:val="none" w:sz="0" w:space="0" w:color="auto"/>
        <w:right w:val="none" w:sz="0" w:space="0" w:color="auto"/>
      </w:divBdr>
      <w:divsChild>
        <w:div w:id="77480547">
          <w:marLeft w:val="0"/>
          <w:marRight w:val="0"/>
          <w:marTop w:val="0"/>
          <w:marBottom w:val="0"/>
          <w:divBdr>
            <w:top w:val="none" w:sz="0" w:space="0" w:color="auto"/>
            <w:left w:val="none" w:sz="0" w:space="0" w:color="auto"/>
            <w:bottom w:val="none" w:sz="0" w:space="0" w:color="auto"/>
            <w:right w:val="none" w:sz="0" w:space="0" w:color="auto"/>
          </w:divBdr>
        </w:div>
      </w:divsChild>
    </w:div>
    <w:div w:id="1538084189">
      <w:bodyDiv w:val="1"/>
      <w:marLeft w:val="0"/>
      <w:marRight w:val="0"/>
      <w:marTop w:val="0"/>
      <w:marBottom w:val="0"/>
      <w:divBdr>
        <w:top w:val="none" w:sz="0" w:space="0" w:color="auto"/>
        <w:left w:val="none" w:sz="0" w:space="0" w:color="auto"/>
        <w:bottom w:val="none" w:sz="0" w:space="0" w:color="auto"/>
        <w:right w:val="none" w:sz="0" w:space="0" w:color="auto"/>
      </w:divBdr>
      <w:divsChild>
        <w:div w:id="1351180520">
          <w:marLeft w:val="0"/>
          <w:marRight w:val="0"/>
          <w:marTop w:val="0"/>
          <w:marBottom w:val="0"/>
          <w:divBdr>
            <w:top w:val="none" w:sz="0" w:space="0" w:color="auto"/>
            <w:left w:val="none" w:sz="0" w:space="0" w:color="auto"/>
            <w:bottom w:val="none" w:sz="0" w:space="0" w:color="auto"/>
            <w:right w:val="none" w:sz="0" w:space="0" w:color="auto"/>
          </w:divBdr>
        </w:div>
      </w:divsChild>
    </w:div>
    <w:div w:id="1544366952">
      <w:bodyDiv w:val="1"/>
      <w:marLeft w:val="0"/>
      <w:marRight w:val="0"/>
      <w:marTop w:val="0"/>
      <w:marBottom w:val="0"/>
      <w:divBdr>
        <w:top w:val="none" w:sz="0" w:space="0" w:color="auto"/>
        <w:left w:val="none" w:sz="0" w:space="0" w:color="auto"/>
        <w:bottom w:val="none" w:sz="0" w:space="0" w:color="auto"/>
        <w:right w:val="none" w:sz="0" w:space="0" w:color="auto"/>
      </w:divBdr>
      <w:divsChild>
        <w:div w:id="686365330">
          <w:marLeft w:val="0"/>
          <w:marRight w:val="0"/>
          <w:marTop w:val="0"/>
          <w:marBottom w:val="0"/>
          <w:divBdr>
            <w:top w:val="none" w:sz="0" w:space="0" w:color="auto"/>
            <w:left w:val="none" w:sz="0" w:space="0" w:color="auto"/>
            <w:bottom w:val="none" w:sz="0" w:space="0" w:color="auto"/>
            <w:right w:val="none" w:sz="0" w:space="0" w:color="auto"/>
          </w:divBdr>
        </w:div>
      </w:divsChild>
    </w:div>
    <w:div w:id="1572153232">
      <w:bodyDiv w:val="1"/>
      <w:marLeft w:val="0"/>
      <w:marRight w:val="0"/>
      <w:marTop w:val="0"/>
      <w:marBottom w:val="0"/>
      <w:divBdr>
        <w:top w:val="none" w:sz="0" w:space="0" w:color="auto"/>
        <w:left w:val="none" w:sz="0" w:space="0" w:color="auto"/>
        <w:bottom w:val="none" w:sz="0" w:space="0" w:color="auto"/>
        <w:right w:val="none" w:sz="0" w:space="0" w:color="auto"/>
      </w:divBdr>
      <w:divsChild>
        <w:div w:id="369844083">
          <w:marLeft w:val="0"/>
          <w:marRight w:val="0"/>
          <w:marTop w:val="0"/>
          <w:marBottom w:val="0"/>
          <w:divBdr>
            <w:top w:val="none" w:sz="0" w:space="0" w:color="auto"/>
            <w:left w:val="none" w:sz="0" w:space="0" w:color="auto"/>
            <w:bottom w:val="none" w:sz="0" w:space="0" w:color="auto"/>
            <w:right w:val="none" w:sz="0" w:space="0" w:color="auto"/>
          </w:divBdr>
        </w:div>
      </w:divsChild>
    </w:div>
    <w:div w:id="1632322124">
      <w:bodyDiv w:val="1"/>
      <w:marLeft w:val="0"/>
      <w:marRight w:val="0"/>
      <w:marTop w:val="0"/>
      <w:marBottom w:val="0"/>
      <w:divBdr>
        <w:top w:val="none" w:sz="0" w:space="0" w:color="auto"/>
        <w:left w:val="none" w:sz="0" w:space="0" w:color="auto"/>
        <w:bottom w:val="none" w:sz="0" w:space="0" w:color="auto"/>
        <w:right w:val="none" w:sz="0" w:space="0" w:color="auto"/>
      </w:divBdr>
      <w:divsChild>
        <w:div w:id="544215127">
          <w:marLeft w:val="0"/>
          <w:marRight w:val="0"/>
          <w:marTop w:val="0"/>
          <w:marBottom w:val="0"/>
          <w:divBdr>
            <w:top w:val="none" w:sz="0" w:space="0" w:color="auto"/>
            <w:left w:val="none" w:sz="0" w:space="0" w:color="auto"/>
            <w:bottom w:val="none" w:sz="0" w:space="0" w:color="auto"/>
            <w:right w:val="none" w:sz="0" w:space="0" w:color="auto"/>
          </w:divBdr>
        </w:div>
        <w:div w:id="701630445">
          <w:marLeft w:val="0"/>
          <w:marRight w:val="0"/>
          <w:marTop w:val="0"/>
          <w:marBottom w:val="0"/>
          <w:divBdr>
            <w:top w:val="none" w:sz="0" w:space="0" w:color="auto"/>
            <w:left w:val="none" w:sz="0" w:space="0" w:color="auto"/>
            <w:bottom w:val="none" w:sz="0" w:space="0" w:color="auto"/>
            <w:right w:val="none" w:sz="0" w:space="0" w:color="auto"/>
          </w:divBdr>
        </w:div>
        <w:div w:id="776871344">
          <w:marLeft w:val="0"/>
          <w:marRight w:val="0"/>
          <w:marTop w:val="0"/>
          <w:marBottom w:val="0"/>
          <w:divBdr>
            <w:top w:val="none" w:sz="0" w:space="0" w:color="auto"/>
            <w:left w:val="none" w:sz="0" w:space="0" w:color="auto"/>
            <w:bottom w:val="none" w:sz="0" w:space="0" w:color="auto"/>
            <w:right w:val="none" w:sz="0" w:space="0" w:color="auto"/>
          </w:divBdr>
        </w:div>
        <w:div w:id="984622572">
          <w:marLeft w:val="0"/>
          <w:marRight w:val="0"/>
          <w:marTop w:val="0"/>
          <w:marBottom w:val="0"/>
          <w:divBdr>
            <w:top w:val="none" w:sz="0" w:space="0" w:color="auto"/>
            <w:left w:val="none" w:sz="0" w:space="0" w:color="auto"/>
            <w:bottom w:val="none" w:sz="0" w:space="0" w:color="auto"/>
            <w:right w:val="none" w:sz="0" w:space="0" w:color="auto"/>
          </w:divBdr>
        </w:div>
        <w:div w:id="1151795482">
          <w:marLeft w:val="0"/>
          <w:marRight w:val="0"/>
          <w:marTop w:val="0"/>
          <w:marBottom w:val="0"/>
          <w:divBdr>
            <w:top w:val="none" w:sz="0" w:space="0" w:color="auto"/>
            <w:left w:val="none" w:sz="0" w:space="0" w:color="auto"/>
            <w:bottom w:val="none" w:sz="0" w:space="0" w:color="auto"/>
            <w:right w:val="none" w:sz="0" w:space="0" w:color="auto"/>
          </w:divBdr>
        </w:div>
        <w:div w:id="1177384596">
          <w:marLeft w:val="0"/>
          <w:marRight w:val="0"/>
          <w:marTop w:val="0"/>
          <w:marBottom w:val="0"/>
          <w:divBdr>
            <w:top w:val="none" w:sz="0" w:space="0" w:color="auto"/>
            <w:left w:val="none" w:sz="0" w:space="0" w:color="auto"/>
            <w:bottom w:val="none" w:sz="0" w:space="0" w:color="auto"/>
            <w:right w:val="none" w:sz="0" w:space="0" w:color="auto"/>
          </w:divBdr>
        </w:div>
        <w:div w:id="1347052676">
          <w:marLeft w:val="0"/>
          <w:marRight w:val="0"/>
          <w:marTop w:val="0"/>
          <w:marBottom w:val="0"/>
          <w:divBdr>
            <w:top w:val="none" w:sz="0" w:space="0" w:color="auto"/>
            <w:left w:val="none" w:sz="0" w:space="0" w:color="auto"/>
            <w:bottom w:val="none" w:sz="0" w:space="0" w:color="auto"/>
            <w:right w:val="none" w:sz="0" w:space="0" w:color="auto"/>
          </w:divBdr>
        </w:div>
        <w:div w:id="1407609979">
          <w:marLeft w:val="0"/>
          <w:marRight w:val="0"/>
          <w:marTop w:val="0"/>
          <w:marBottom w:val="0"/>
          <w:divBdr>
            <w:top w:val="none" w:sz="0" w:space="0" w:color="auto"/>
            <w:left w:val="none" w:sz="0" w:space="0" w:color="auto"/>
            <w:bottom w:val="none" w:sz="0" w:space="0" w:color="auto"/>
            <w:right w:val="none" w:sz="0" w:space="0" w:color="auto"/>
          </w:divBdr>
        </w:div>
        <w:div w:id="1866403162">
          <w:marLeft w:val="0"/>
          <w:marRight w:val="0"/>
          <w:marTop w:val="0"/>
          <w:marBottom w:val="0"/>
          <w:divBdr>
            <w:top w:val="none" w:sz="0" w:space="0" w:color="auto"/>
            <w:left w:val="none" w:sz="0" w:space="0" w:color="auto"/>
            <w:bottom w:val="none" w:sz="0" w:space="0" w:color="auto"/>
            <w:right w:val="none" w:sz="0" w:space="0" w:color="auto"/>
          </w:divBdr>
        </w:div>
      </w:divsChild>
    </w:div>
    <w:div w:id="1640647970">
      <w:bodyDiv w:val="1"/>
      <w:marLeft w:val="0"/>
      <w:marRight w:val="0"/>
      <w:marTop w:val="0"/>
      <w:marBottom w:val="0"/>
      <w:divBdr>
        <w:top w:val="none" w:sz="0" w:space="0" w:color="auto"/>
        <w:left w:val="none" w:sz="0" w:space="0" w:color="auto"/>
        <w:bottom w:val="none" w:sz="0" w:space="0" w:color="auto"/>
        <w:right w:val="none" w:sz="0" w:space="0" w:color="auto"/>
      </w:divBdr>
      <w:divsChild>
        <w:div w:id="483812762">
          <w:marLeft w:val="0"/>
          <w:marRight w:val="0"/>
          <w:marTop w:val="0"/>
          <w:marBottom w:val="0"/>
          <w:divBdr>
            <w:top w:val="none" w:sz="0" w:space="0" w:color="auto"/>
            <w:left w:val="none" w:sz="0" w:space="0" w:color="auto"/>
            <w:bottom w:val="none" w:sz="0" w:space="0" w:color="auto"/>
            <w:right w:val="none" w:sz="0" w:space="0" w:color="auto"/>
          </w:divBdr>
        </w:div>
      </w:divsChild>
    </w:div>
    <w:div w:id="1642491635">
      <w:bodyDiv w:val="1"/>
      <w:marLeft w:val="0"/>
      <w:marRight w:val="0"/>
      <w:marTop w:val="0"/>
      <w:marBottom w:val="0"/>
      <w:divBdr>
        <w:top w:val="none" w:sz="0" w:space="0" w:color="auto"/>
        <w:left w:val="none" w:sz="0" w:space="0" w:color="auto"/>
        <w:bottom w:val="none" w:sz="0" w:space="0" w:color="auto"/>
        <w:right w:val="none" w:sz="0" w:space="0" w:color="auto"/>
      </w:divBdr>
      <w:divsChild>
        <w:div w:id="721320567">
          <w:marLeft w:val="0"/>
          <w:marRight w:val="0"/>
          <w:marTop w:val="0"/>
          <w:marBottom w:val="0"/>
          <w:divBdr>
            <w:top w:val="none" w:sz="0" w:space="0" w:color="auto"/>
            <w:left w:val="none" w:sz="0" w:space="0" w:color="auto"/>
            <w:bottom w:val="none" w:sz="0" w:space="0" w:color="auto"/>
            <w:right w:val="none" w:sz="0" w:space="0" w:color="auto"/>
          </w:divBdr>
        </w:div>
      </w:divsChild>
    </w:div>
    <w:div w:id="1658996355">
      <w:bodyDiv w:val="1"/>
      <w:marLeft w:val="0"/>
      <w:marRight w:val="0"/>
      <w:marTop w:val="0"/>
      <w:marBottom w:val="0"/>
      <w:divBdr>
        <w:top w:val="none" w:sz="0" w:space="0" w:color="auto"/>
        <w:left w:val="none" w:sz="0" w:space="0" w:color="auto"/>
        <w:bottom w:val="none" w:sz="0" w:space="0" w:color="auto"/>
        <w:right w:val="none" w:sz="0" w:space="0" w:color="auto"/>
      </w:divBdr>
      <w:divsChild>
        <w:div w:id="1286086587">
          <w:marLeft w:val="0"/>
          <w:marRight w:val="0"/>
          <w:marTop w:val="0"/>
          <w:marBottom w:val="0"/>
          <w:divBdr>
            <w:top w:val="none" w:sz="0" w:space="0" w:color="auto"/>
            <w:left w:val="none" w:sz="0" w:space="0" w:color="auto"/>
            <w:bottom w:val="none" w:sz="0" w:space="0" w:color="auto"/>
            <w:right w:val="none" w:sz="0" w:space="0" w:color="auto"/>
          </w:divBdr>
        </w:div>
      </w:divsChild>
    </w:div>
    <w:div w:id="1680548377">
      <w:bodyDiv w:val="1"/>
      <w:marLeft w:val="0"/>
      <w:marRight w:val="0"/>
      <w:marTop w:val="0"/>
      <w:marBottom w:val="0"/>
      <w:divBdr>
        <w:top w:val="none" w:sz="0" w:space="0" w:color="auto"/>
        <w:left w:val="none" w:sz="0" w:space="0" w:color="auto"/>
        <w:bottom w:val="none" w:sz="0" w:space="0" w:color="auto"/>
        <w:right w:val="none" w:sz="0" w:space="0" w:color="auto"/>
      </w:divBdr>
    </w:div>
    <w:div w:id="1692340857">
      <w:bodyDiv w:val="1"/>
      <w:marLeft w:val="0"/>
      <w:marRight w:val="0"/>
      <w:marTop w:val="0"/>
      <w:marBottom w:val="0"/>
      <w:divBdr>
        <w:top w:val="none" w:sz="0" w:space="0" w:color="auto"/>
        <w:left w:val="none" w:sz="0" w:space="0" w:color="auto"/>
        <w:bottom w:val="none" w:sz="0" w:space="0" w:color="auto"/>
        <w:right w:val="none" w:sz="0" w:space="0" w:color="auto"/>
      </w:divBdr>
      <w:divsChild>
        <w:div w:id="948661341">
          <w:marLeft w:val="0"/>
          <w:marRight w:val="0"/>
          <w:marTop w:val="0"/>
          <w:marBottom w:val="0"/>
          <w:divBdr>
            <w:top w:val="none" w:sz="0" w:space="0" w:color="auto"/>
            <w:left w:val="none" w:sz="0" w:space="0" w:color="auto"/>
            <w:bottom w:val="none" w:sz="0" w:space="0" w:color="auto"/>
            <w:right w:val="none" w:sz="0" w:space="0" w:color="auto"/>
          </w:divBdr>
        </w:div>
      </w:divsChild>
    </w:div>
    <w:div w:id="1701319003">
      <w:bodyDiv w:val="1"/>
      <w:marLeft w:val="0"/>
      <w:marRight w:val="0"/>
      <w:marTop w:val="0"/>
      <w:marBottom w:val="0"/>
      <w:divBdr>
        <w:top w:val="none" w:sz="0" w:space="0" w:color="auto"/>
        <w:left w:val="none" w:sz="0" w:space="0" w:color="auto"/>
        <w:bottom w:val="none" w:sz="0" w:space="0" w:color="auto"/>
        <w:right w:val="none" w:sz="0" w:space="0" w:color="auto"/>
      </w:divBdr>
      <w:divsChild>
        <w:div w:id="1185092065">
          <w:marLeft w:val="0"/>
          <w:marRight w:val="0"/>
          <w:marTop w:val="0"/>
          <w:marBottom w:val="0"/>
          <w:divBdr>
            <w:top w:val="none" w:sz="0" w:space="0" w:color="auto"/>
            <w:left w:val="none" w:sz="0" w:space="0" w:color="auto"/>
            <w:bottom w:val="none" w:sz="0" w:space="0" w:color="auto"/>
            <w:right w:val="none" w:sz="0" w:space="0" w:color="auto"/>
          </w:divBdr>
        </w:div>
      </w:divsChild>
    </w:div>
    <w:div w:id="1736196914">
      <w:bodyDiv w:val="1"/>
      <w:marLeft w:val="0"/>
      <w:marRight w:val="0"/>
      <w:marTop w:val="0"/>
      <w:marBottom w:val="0"/>
      <w:divBdr>
        <w:top w:val="none" w:sz="0" w:space="0" w:color="auto"/>
        <w:left w:val="none" w:sz="0" w:space="0" w:color="auto"/>
        <w:bottom w:val="none" w:sz="0" w:space="0" w:color="auto"/>
        <w:right w:val="none" w:sz="0" w:space="0" w:color="auto"/>
      </w:divBdr>
      <w:divsChild>
        <w:div w:id="1856840392">
          <w:marLeft w:val="0"/>
          <w:marRight w:val="0"/>
          <w:marTop w:val="0"/>
          <w:marBottom w:val="0"/>
          <w:divBdr>
            <w:top w:val="none" w:sz="0" w:space="0" w:color="auto"/>
            <w:left w:val="none" w:sz="0" w:space="0" w:color="auto"/>
            <w:bottom w:val="none" w:sz="0" w:space="0" w:color="auto"/>
            <w:right w:val="none" w:sz="0" w:space="0" w:color="auto"/>
          </w:divBdr>
        </w:div>
      </w:divsChild>
    </w:div>
    <w:div w:id="1775520494">
      <w:bodyDiv w:val="1"/>
      <w:marLeft w:val="0"/>
      <w:marRight w:val="0"/>
      <w:marTop w:val="0"/>
      <w:marBottom w:val="0"/>
      <w:divBdr>
        <w:top w:val="none" w:sz="0" w:space="0" w:color="auto"/>
        <w:left w:val="none" w:sz="0" w:space="0" w:color="auto"/>
        <w:bottom w:val="none" w:sz="0" w:space="0" w:color="auto"/>
        <w:right w:val="none" w:sz="0" w:space="0" w:color="auto"/>
      </w:divBdr>
      <w:divsChild>
        <w:div w:id="259528935">
          <w:marLeft w:val="0"/>
          <w:marRight w:val="0"/>
          <w:marTop w:val="0"/>
          <w:marBottom w:val="0"/>
          <w:divBdr>
            <w:top w:val="none" w:sz="0" w:space="0" w:color="auto"/>
            <w:left w:val="none" w:sz="0" w:space="0" w:color="auto"/>
            <w:bottom w:val="none" w:sz="0" w:space="0" w:color="auto"/>
            <w:right w:val="none" w:sz="0" w:space="0" w:color="auto"/>
          </w:divBdr>
        </w:div>
      </w:divsChild>
    </w:div>
    <w:div w:id="1782216247">
      <w:bodyDiv w:val="1"/>
      <w:marLeft w:val="0"/>
      <w:marRight w:val="0"/>
      <w:marTop w:val="0"/>
      <w:marBottom w:val="0"/>
      <w:divBdr>
        <w:top w:val="none" w:sz="0" w:space="0" w:color="auto"/>
        <w:left w:val="none" w:sz="0" w:space="0" w:color="auto"/>
        <w:bottom w:val="none" w:sz="0" w:space="0" w:color="auto"/>
        <w:right w:val="none" w:sz="0" w:space="0" w:color="auto"/>
      </w:divBdr>
      <w:divsChild>
        <w:div w:id="287204799">
          <w:marLeft w:val="0"/>
          <w:marRight w:val="0"/>
          <w:marTop w:val="0"/>
          <w:marBottom w:val="0"/>
          <w:divBdr>
            <w:top w:val="none" w:sz="0" w:space="0" w:color="auto"/>
            <w:left w:val="none" w:sz="0" w:space="0" w:color="auto"/>
            <w:bottom w:val="none" w:sz="0" w:space="0" w:color="auto"/>
            <w:right w:val="none" w:sz="0" w:space="0" w:color="auto"/>
          </w:divBdr>
        </w:div>
      </w:divsChild>
    </w:div>
    <w:div w:id="1796752202">
      <w:bodyDiv w:val="1"/>
      <w:marLeft w:val="0"/>
      <w:marRight w:val="0"/>
      <w:marTop w:val="0"/>
      <w:marBottom w:val="0"/>
      <w:divBdr>
        <w:top w:val="none" w:sz="0" w:space="0" w:color="auto"/>
        <w:left w:val="none" w:sz="0" w:space="0" w:color="auto"/>
        <w:bottom w:val="none" w:sz="0" w:space="0" w:color="auto"/>
        <w:right w:val="none" w:sz="0" w:space="0" w:color="auto"/>
      </w:divBdr>
      <w:divsChild>
        <w:div w:id="1671323117">
          <w:marLeft w:val="0"/>
          <w:marRight w:val="0"/>
          <w:marTop w:val="0"/>
          <w:marBottom w:val="0"/>
          <w:divBdr>
            <w:top w:val="none" w:sz="0" w:space="0" w:color="auto"/>
            <w:left w:val="none" w:sz="0" w:space="0" w:color="auto"/>
            <w:bottom w:val="none" w:sz="0" w:space="0" w:color="auto"/>
            <w:right w:val="none" w:sz="0" w:space="0" w:color="auto"/>
          </w:divBdr>
        </w:div>
      </w:divsChild>
    </w:div>
    <w:div w:id="1801878572">
      <w:bodyDiv w:val="1"/>
      <w:marLeft w:val="0"/>
      <w:marRight w:val="0"/>
      <w:marTop w:val="0"/>
      <w:marBottom w:val="0"/>
      <w:divBdr>
        <w:top w:val="none" w:sz="0" w:space="0" w:color="auto"/>
        <w:left w:val="none" w:sz="0" w:space="0" w:color="auto"/>
        <w:bottom w:val="none" w:sz="0" w:space="0" w:color="auto"/>
        <w:right w:val="none" w:sz="0" w:space="0" w:color="auto"/>
      </w:divBdr>
    </w:div>
    <w:div w:id="1810976900">
      <w:bodyDiv w:val="1"/>
      <w:marLeft w:val="0"/>
      <w:marRight w:val="0"/>
      <w:marTop w:val="0"/>
      <w:marBottom w:val="0"/>
      <w:divBdr>
        <w:top w:val="none" w:sz="0" w:space="0" w:color="auto"/>
        <w:left w:val="none" w:sz="0" w:space="0" w:color="auto"/>
        <w:bottom w:val="none" w:sz="0" w:space="0" w:color="auto"/>
        <w:right w:val="none" w:sz="0" w:space="0" w:color="auto"/>
      </w:divBdr>
      <w:divsChild>
        <w:div w:id="1917519024">
          <w:marLeft w:val="0"/>
          <w:marRight w:val="0"/>
          <w:marTop w:val="0"/>
          <w:marBottom w:val="0"/>
          <w:divBdr>
            <w:top w:val="none" w:sz="0" w:space="0" w:color="auto"/>
            <w:left w:val="none" w:sz="0" w:space="0" w:color="auto"/>
            <w:bottom w:val="none" w:sz="0" w:space="0" w:color="auto"/>
            <w:right w:val="none" w:sz="0" w:space="0" w:color="auto"/>
          </w:divBdr>
        </w:div>
      </w:divsChild>
    </w:div>
    <w:div w:id="1812668420">
      <w:bodyDiv w:val="1"/>
      <w:marLeft w:val="0"/>
      <w:marRight w:val="0"/>
      <w:marTop w:val="0"/>
      <w:marBottom w:val="0"/>
      <w:divBdr>
        <w:top w:val="none" w:sz="0" w:space="0" w:color="auto"/>
        <w:left w:val="none" w:sz="0" w:space="0" w:color="auto"/>
        <w:bottom w:val="none" w:sz="0" w:space="0" w:color="auto"/>
        <w:right w:val="none" w:sz="0" w:space="0" w:color="auto"/>
      </w:divBdr>
      <w:divsChild>
        <w:div w:id="499318973">
          <w:marLeft w:val="0"/>
          <w:marRight w:val="0"/>
          <w:marTop w:val="0"/>
          <w:marBottom w:val="0"/>
          <w:divBdr>
            <w:top w:val="none" w:sz="0" w:space="0" w:color="auto"/>
            <w:left w:val="none" w:sz="0" w:space="0" w:color="auto"/>
            <w:bottom w:val="none" w:sz="0" w:space="0" w:color="auto"/>
            <w:right w:val="none" w:sz="0" w:space="0" w:color="auto"/>
          </w:divBdr>
        </w:div>
        <w:div w:id="746389751">
          <w:marLeft w:val="0"/>
          <w:marRight w:val="0"/>
          <w:marTop w:val="0"/>
          <w:marBottom w:val="0"/>
          <w:divBdr>
            <w:top w:val="none" w:sz="0" w:space="0" w:color="auto"/>
            <w:left w:val="none" w:sz="0" w:space="0" w:color="auto"/>
            <w:bottom w:val="none" w:sz="0" w:space="0" w:color="auto"/>
            <w:right w:val="none" w:sz="0" w:space="0" w:color="auto"/>
          </w:divBdr>
        </w:div>
        <w:div w:id="1428620858">
          <w:marLeft w:val="0"/>
          <w:marRight w:val="0"/>
          <w:marTop w:val="0"/>
          <w:marBottom w:val="0"/>
          <w:divBdr>
            <w:top w:val="none" w:sz="0" w:space="0" w:color="auto"/>
            <w:left w:val="none" w:sz="0" w:space="0" w:color="auto"/>
            <w:bottom w:val="none" w:sz="0" w:space="0" w:color="auto"/>
            <w:right w:val="none" w:sz="0" w:space="0" w:color="auto"/>
          </w:divBdr>
        </w:div>
      </w:divsChild>
    </w:div>
    <w:div w:id="1860583447">
      <w:bodyDiv w:val="1"/>
      <w:marLeft w:val="0"/>
      <w:marRight w:val="0"/>
      <w:marTop w:val="0"/>
      <w:marBottom w:val="0"/>
      <w:divBdr>
        <w:top w:val="none" w:sz="0" w:space="0" w:color="auto"/>
        <w:left w:val="none" w:sz="0" w:space="0" w:color="auto"/>
        <w:bottom w:val="none" w:sz="0" w:space="0" w:color="auto"/>
        <w:right w:val="none" w:sz="0" w:space="0" w:color="auto"/>
      </w:divBdr>
      <w:divsChild>
        <w:div w:id="85268955">
          <w:marLeft w:val="0"/>
          <w:marRight w:val="0"/>
          <w:marTop w:val="0"/>
          <w:marBottom w:val="0"/>
          <w:divBdr>
            <w:top w:val="none" w:sz="0" w:space="0" w:color="auto"/>
            <w:left w:val="none" w:sz="0" w:space="0" w:color="auto"/>
            <w:bottom w:val="none" w:sz="0" w:space="0" w:color="auto"/>
            <w:right w:val="none" w:sz="0" w:space="0" w:color="auto"/>
          </w:divBdr>
        </w:div>
        <w:div w:id="101074274">
          <w:marLeft w:val="0"/>
          <w:marRight w:val="0"/>
          <w:marTop w:val="0"/>
          <w:marBottom w:val="0"/>
          <w:divBdr>
            <w:top w:val="none" w:sz="0" w:space="0" w:color="auto"/>
            <w:left w:val="none" w:sz="0" w:space="0" w:color="auto"/>
            <w:bottom w:val="none" w:sz="0" w:space="0" w:color="auto"/>
            <w:right w:val="none" w:sz="0" w:space="0" w:color="auto"/>
          </w:divBdr>
        </w:div>
        <w:div w:id="158809056">
          <w:marLeft w:val="0"/>
          <w:marRight w:val="0"/>
          <w:marTop w:val="0"/>
          <w:marBottom w:val="0"/>
          <w:divBdr>
            <w:top w:val="none" w:sz="0" w:space="0" w:color="auto"/>
            <w:left w:val="none" w:sz="0" w:space="0" w:color="auto"/>
            <w:bottom w:val="none" w:sz="0" w:space="0" w:color="auto"/>
            <w:right w:val="none" w:sz="0" w:space="0" w:color="auto"/>
          </w:divBdr>
        </w:div>
        <w:div w:id="169873116">
          <w:marLeft w:val="0"/>
          <w:marRight w:val="0"/>
          <w:marTop w:val="0"/>
          <w:marBottom w:val="0"/>
          <w:divBdr>
            <w:top w:val="none" w:sz="0" w:space="0" w:color="auto"/>
            <w:left w:val="none" w:sz="0" w:space="0" w:color="auto"/>
            <w:bottom w:val="none" w:sz="0" w:space="0" w:color="auto"/>
            <w:right w:val="none" w:sz="0" w:space="0" w:color="auto"/>
          </w:divBdr>
        </w:div>
        <w:div w:id="457575685">
          <w:marLeft w:val="0"/>
          <w:marRight w:val="0"/>
          <w:marTop w:val="0"/>
          <w:marBottom w:val="0"/>
          <w:divBdr>
            <w:top w:val="none" w:sz="0" w:space="0" w:color="auto"/>
            <w:left w:val="none" w:sz="0" w:space="0" w:color="auto"/>
            <w:bottom w:val="none" w:sz="0" w:space="0" w:color="auto"/>
            <w:right w:val="none" w:sz="0" w:space="0" w:color="auto"/>
          </w:divBdr>
        </w:div>
        <w:div w:id="937762297">
          <w:marLeft w:val="0"/>
          <w:marRight w:val="0"/>
          <w:marTop w:val="0"/>
          <w:marBottom w:val="0"/>
          <w:divBdr>
            <w:top w:val="none" w:sz="0" w:space="0" w:color="auto"/>
            <w:left w:val="none" w:sz="0" w:space="0" w:color="auto"/>
            <w:bottom w:val="none" w:sz="0" w:space="0" w:color="auto"/>
            <w:right w:val="none" w:sz="0" w:space="0" w:color="auto"/>
          </w:divBdr>
        </w:div>
        <w:div w:id="990791655">
          <w:marLeft w:val="0"/>
          <w:marRight w:val="0"/>
          <w:marTop w:val="0"/>
          <w:marBottom w:val="0"/>
          <w:divBdr>
            <w:top w:val="none" w:sz="0" w:space="0" w:color="auto"/>
            <w:left w:val="none" w:sz="0" w:space="0" w:color="auto"/>
            <w:bottom w:val="none" w:sz="0" w:space="0" w:color="auto"/>
            <w:right w:val="none" w:sz="0" w:space="0" w:color="auto"/>
          </w:divBdr>
        </w:div>
        <w:div w:id="1532917038">
          <w:marLeft w:val="0"/>
          <w:marRight w:val="0"/>
          <w:marTop w:val="0"/>
          <w:marBottom w:val="0"/>
          <w:divBdr>
            <w:top w:val="none" w:sz="0" w:space="0" w:color="auto"/>
            <w:left w:val="none" w:sz="0" w:space="0" w:color="auto"/>
            <w:bottom w:val="none" w:sz="0" w:space="0" w:color="auto"/>
            <w:right w:val="none" w:sz="0" w:space="0" w:color="auto"/>
          </w:divBdr>
        </w:div>
        <w:div w:id="1835026275">
          <w:marLeft w:val="0"/>
          <w:marRight w:val="0"/>
          <w:marTop w:val="0"/>
          <w:marBottom w:val="0"/>
          <w:divBdr>
            <w:top w:val="none" w:sz="0" w:space="0" w:color="auto"/>
            <w:left w:val="none" w:sz="0" w:space="0" w:color="auto"/>
            <w:bottom w:val="none" w:sz="0" w:space="0" w:color="auto"/>
            <w:right w:val="none" w:sz="0" w:space="0" w:color="auto"/>
          </w:divBdr>
        </w:div>
      </w:divsChild>
    </w:div>
    <w:div w:id="1872837296">
      <w:bodyDiv w:val="1"/>
      <w:marLeft w:val="0"/>
      <w:marRight w:val="0"/>
      <w:marTop w:val="0"/>
      <w:marBottom w:val="0"/>
      <w:divBdr>
        <w:top w:val="none" w:sz="0" w:space="0" w:color="auto"/>
        <w:left w:val="none" w:sz="0" w:space="0" w:color="auto"/>
        <w:bottom w:val="none" w:sz="0" w:space="0" w:color="auto"/>
        <w:right w:val="none" w:sz="0" w:space="0" w:color="auto"/>
      </w:divBdr>
      <w:divsChild>
        <w:div w:id="1115639953">
          <w:marLeft w:val="0"/>
          <w:marRight w:val="0"/>
          <w:marTop w:val="0"/>
          <w:marBottom w:val="0"/>
          <w:divBdr>
            <w:top w:val="none" w:sz="0" w:space="0" w:color="auto"/>
            <w:left w:val="none" w:sz="0" w:space="0" w:color="auto"/>
            <w:bottom w:val="none" w:sz="0" w:space="0" w:color="auto"/>
            <w:right w:val="none" w:sz="0" w:space="0" w:color="auto"/>
          </w:divBdr>
        </w:div>
      </w:divsChild>
    </w:div>
    <w:div w:id="1873494238">
      <w:bodyDiv w:val="1"/>
      <w:marLeft w:val="0"/>
      <w:marRight w:val="0"/>
      <w:marTop w:val="0"/>
      <w:marBottom w:val="0"/>
      <w:divBdr>
        <w:top w:val="none" w:sz="0" w:space="0" w:color="auto"/>
        <w:left w:val="none" w:sz="0" w:space="0" w:color="auto"/>
        <w:bottom w:val="none" w:sz="0" w:space="0" w:color="auto"/>
        <w:right w:val="none" w:sz="0" w:space="0" w:color="auto"/>
      </w:divBdr>
      <w:divsChild>
        <w:div w:id="150954264">
          <w:marLeft w:val="0"/>
          <w:marRight w:val="0"/>
          <w:marTop w:val="0"/>
          <w:marBottom w:val="0"/>
          <w:divBdr>
            <w:top w:val="none" w:sz="0" w:space="0" w:color="auto"/>
            <w:left w:val="none" w:sz="0" w:space="0" w:color="auto"/>
            <w:bottom w:val="none" w:sz="0" w:space="0" w:color="auto"/>
            <w:right w:val="none" w:sz="0" w:space="0" w:color="auto"/>
          </w:divBdr>
        </w:div>
      </w:divsChild>
    </w:div>
    <w:div w:id="1902400217">
      <w:bodyDiv w:val="1"/>
      <w:marLeft w:val="0"/>
      <w:marRight w:val="0"/>
      <w:marTop w:val="0"/>
      <w:marBottom w:val="0"/>
      <w:divBdr>
        <w:top w:val="none" w:sz="0" w:space="0" w:color="auto"/>
        <w:left w:val="none" w:sz="0" w:space="0" w:color="auto"/>
        <w:bottom w:val="none" w:sz="0" w:space="0" w:color="auto"/>
        <w:right w:val="none" w:sz="0" w:space="0" w:color="auto"/>
      </w:divBdr>
      <w:divsChild>
        <w:div w:id="1262839675">
          <w:marLeft w:val="0"/>
          <w:marRight w:val="0"/>
          <w:marTop w:val="0"/>
          <w:marBottom w:val="0"/>
          <w:divBdr>
            <w:top w:val="none" w:sz="0" w:space="0" w:color="auto"/>
            <w:left w:val="none" w:sz="0" w:space="0" w:color="auto"/>
            <w:bottom w:val="none" w:sz="0" w:space="0" w:color="auto"/>
            <w:right w:val="none" w:sz="0" w:space="0" w:color="auto"/>
          </w:divBdr>
        </w:div>
      </w:divsChild>
    </w:div>
    <w:div w:id="1913348694">
      <w:bodyDiv w:val="1"/>
      <w:marLeft w:val="0"/>
      <w:marRight w:val="0"/>
      <w:marTop w:val="0"/>
      <w:marBottom w:val="0"/>
      <w:divBdr>
        <w:top w:val="none" w:sz="0" w:space="0" w:color="auto"/>
        <w:left w:val="none" w:sz="0" w:space="0" w:color="auto"/>
        <w:bottom w:val="none" w:sz="0" w:space="0" w:color="auto"/>
        <w:right w:val="none" w:sz="0" w:space="0" w:color="auto"/>
      </w:divBdr>
      <w:divsChild>
        <w:div w:id="206649588">
          <w:marLeft w:val="0"/>
          <w:marRight w:val="0"/>
          <w:marTop w:val="0"/>
          <w:marBottom w:val="0"/>
          <w:divBdr>
            <w:top w:val="none" w:sz="0" w:space="0" w:color="auto"/>
            <w:left w:val="none" w:sz="0" w:space="0" w:color="auto"/>
            <w:bottom w:val="none" w:sz="0" w:space="0" w:color="auto"/>
            <w:right w:val="none" w:sz="0" w:space="0" w:color="auto"/>
          </w:divBdr>
        </w:div>
      </w:divsChild>
    </w:div>
    <w:div w:id="1918634694">
      <w:bodyDiv w:val="1"/>
      <w:marLeft w:val="0"/>
      <w:marRight w:val="0"/>
      <w:marTop w:val="0"/>
      <w:marBottom w:val="0"/>
      <w:divBdr>
        <w:top w:val="none" w:sz="0" w:space="0" w:color="auto"/>
        <w:left w:val="none" w:sz="0" w:space="0" w:color="auto"/>
        <w:bottom w:val="none" w:sz="0" w:space="0" w:color="auto"/>
        <w:right w:val="none" w:sz="0" w:space="0" w:color="auto"/>
      </w:divBdr>
      <w:divsChild>
        <w:div w:id="590047599">
          <w:marLeft w:val="0"/>
          <w:marRight w:val="0"/>
          <w:marTop w:val="0"/>
          <w:marBottom w:val="0"/>
          <w:divBdr>
            <w:top w:val="none" w:sz="0" w:space="0" w:color="auto"/>
            <w:left w:val="none" w:sz="0" w:space="0" w:color="auto"/>
            <w:bottom w:val="none" w:sz="0" w:space="0" w:color="auto"/>
            <w:right w:val="none" w:sz="0" w:space="0" w:color="auto"/>
          </w:divBdr>
        </w:div>
      </w:divsChild>
    </w:div>
    <w:div w:id="1947344938">
      <w:bodyDiv w:val="1"/>
      <w:marLeft w:val="0"/>
      <w:marRight w:val="0"/>
      <w:marTop w:val="0"/>
      <w:marBottom w:val="0"/>
      <w:divBdr>
        <w:top w:val="none" w:sz="0" w:space="0" w:color="auto"/>
        <w:left w:val="none" w:sz="0" w:space="0" w:color="auto"/>
        <w:bottom w:val="none" w:sz="0" w:space="0" w:color="auto"/>
        <w:right w:val="none" w:sz="0" w:space="0" w:color="auto"/>
      </w:divBdr>
      <w:divsChild>
        <w:div w:id="298534429">
          <w:marLeft w:val="0"/>
          <w:marRight w:val="0"/>
          <w:marTop w:val="0"/>
          <w:marBottom w:val="0"/>
          <w:divBdr>
            <w:top w:val="none" w:sz="0" w:space="0" w:color="auto"/>
            <w:left w:val="none" w:sz="0" w:space="0" w:color="auto"/>
            <w:bottom w:val="none" w:sz="0" w:space="0" w:color="auto"/>
            <w:right w:val="none" w:sz="0" w:space="0" w:color="auto"/>
          </w:divBdr>
        </w:div>
      </w:divsChild>
    </w:div>
    <w:div w:id="1993678998">
      <w:bodyDiv w:val="1"/>
      <w:marLeft w:val="0"/>
      <w:marRight w:val="0"/>
      <w:marTop w:val="0"/>
      <w:marBottom w:val="0"/>
      <w:divBdr>
        <w:top w:val="none" w:sz="0" w:space="0" w:color="auto"/>
        <w:left w:val="none" w:sz="0" w:space="0" w:color="auto"/>
        <w:bottom w:val="none" w:sz="0" w:space="0" w:color="auto"/>
        <w:right w:val="none" w:sz="0" w:space="0" w:color="auto"/>
      </w:divBdr>
      <w:divsChild>
        <w:div w:id="1135022584">
          <w:marLeft w:val="0"/>
          <w:marRight w:val="0"/>
          <w:marTop w:val="0"/>
          <w:marBottom w:val="0"/>
          <w:divBdr>
            <w:top w:val="none" w:sz="0" w:space="0" w:color="auto"/>
            <w:left w:val="none" w:sz="0" w:space="0" w:color="auto"/>
            <w:bottom w:val="none" w:sz="0" w:space="0" w:color="auto"/>
            <w:right w:val="none" w:sz="0" w:space="0" w:color="auto"/>
          </w:divBdr>
        </w:div>
      </w:divsChild>
    </w:div>
    <w:div w:id="2036540468">
      <w:bodyDiv w:val="1"/>
      <w:marLeft w:val="0"/>
      <w:marRight w:val="0"/>
      <w:marTop w:val="0"/>
      <w:marBottom w:val="0"/>
      <w:divBdr>
        <w:top w:val="none" w:sz="0" w:space="0" w:color="auto"/>
        <w:left w:val="none" w:sz="0" w:space="0" w:color="auto"/>
        <w:bottom w:val="none" w:sz="0" w:space="0" w:color="auto"/>
        <w:right w:val="none" w:sz="0" w:space="0" w:color="auto"/>
      </w:divBdr>
      <w:divsChild>
        <w:div w:id="650332015">
          <w:marLeft w:val="0"/>
          <w:marRight w:val="0"/>
          <w:marTop w:val="0"/>
          <w:marBottom w:val="0"/>
          <w:divBdr>
            <w:top w:val="none" w:sz="0" w:space="0" w:color="auto"/>
            <w:left w:val="none" w:sz="0" w:space="0" w:color="auto"/>
            <w:bottom w:val="none" w:sz="0" w:space="0" w:color="auto"/>
            <w:right w:val="none" w:sz="0" w:space="0" w:color="auto"/>
          </w:divBdr>
        </w:div>
      </w:divsChild>
    </w:div>
    <w:div w:id="2043633120">
      <w:bodyDiv w:val="1"/>
      <w:marLeft w:val="0"/>
      <w:marRight w:val="0"/>
      <w:marTop w:val="0"/>
      <w:marBottom w:val="0"/>
      <w:divBdr>
        <w:top w:val="none" w:sz="0" w:space="0" w:color="auto"/>
        <w:left w:val="none" w:sz="0" w:space="0" w:color="auto"/>
        <w:bottom w:val="none" w:sz="0" w:space="0" w:color="auto"/>
        <w:right w:val="none" w:sz="0" w:space="0" w:color="auto"/>
      </w:divBdr>
      <w:divsChild>
        <w:div w:id="1436483664">
          <w:marLeft w:val="0"/>
          <w:marRight w:val="0"/>
          <w:marTop w:val="0"/>
          <w:marBottom w:val="0"/>
          <w:divBdr>
            <w:top w:val="none" w:sz="0" w:space="0" w:color="auto"/>
            <w:left w:val="none" w:sz="0" w:space="0" w:color="auto"/>
            <w:bottom w:val="none" w:sz="0" w:space="0" w:color="auto"/>
            <w:right w:val="none" w:sz="0" w:space="0" w:color="auto"/>
          </w:divBdr>
        </w:div>
      </w:divsChild>
    </w:div>
    <w:div w:id="2060668034">
      <w:bodyDiv w:val="1"/>
      <w:marLeft w:val="0"/>
      <w:marRight w:val="0"/>
      <w:marTop w:val="0"/>
      <w:marBottom w:val="0"/>
      <w:divBdr>
        <w:top w:val="none" w:sz="0" w:space="0" w:color="auto"/>
        <w:left w:val="none" w:sz="0" w:space="0" w:color="auto"/>
        <w:bottom w:val="none" w:sz="0" w:space="0" w:color="auto"/>
        <w:right w:val="none" w:sz="0" w:space="0" w:color="auto"/>
      </w:divBdr>
      <w:divsChild>
        <w:div w:id="1100027362">
          <w:marLeft w:val="0"/>
          <w:marRight w:val="0"/>
          <w:marTop w:val="0"/>
          <w:marBottom w:val="0"/>
          <w:divBdr>
            <w:top w:val="none" w:sz="0" w:space="0" w:color="auto"/>
            <w:left w:val="none" w:sz="0" w:space="0" w:color="auto"/>
            <w:bottom w:val="none" w:sz="0" w:space="0" w:color="auto"/>
            <w:right w:val="none" w:sz="0" w:space="0" w:color="auto"/>
          </w:divBdr>
        </w:div>
      </w:divsChild>
    </w:div>
    <w:div w:id="2061972250">
      <w:bodyDiv w:val="1"/>
      <w:marLeft w:val="0"/>
      <w:marRight w:val="0"/>
      <w:marTop w:val="0"/>
      <w:marBottom w:val="0"/>
      <w:divBdr>
        <w:top w:val="none" w:sz="0" w:space="0" w:color="auto"/>
        <w:left w:val="none" w:sz="0" w:space="0" w:color="auto"/>
        <w:bottom w:val="none" w:sz="0" w:space="0" w:color="auto"/>
        <w:right w:val="none" w:sz="0" w:space="0" w:color="auto"/>
      </w:divBdr>
      <w:divsChild>
        <w:div w:id="1969780040">
          <w:marLeft w:val="0"/>
          <w:marRight w:val="0"/>
          <w:marTop w:val="0"/>
          <w:marBottom w:val="0"/>
          <w:divBdr>
            <w:top w:val="none" w:sz="0" w:space="0" w:color="auto"/>
            <w:left w:val="none" w:sz="0" w:space="0" w:color="auto"/>
            <w:bottom w:val="none" w:sz="0" w:space="0" w:color="auto"/>
            <w:right w:val="none" w:sz="0" w:space="0" w:color="auto"/>
          </w:divBdr>
        </w:div>
      </w:divsChild>
    </w:div>
    <w:div w:id="2065634672">
      <w:bodyDiv w:val="1"/>
      <w:marLeft w:val="0"/>
      <w:marRight w:val="0"/>
      <w:marTop w:val="0"/>
      <w:marBottom w:val="0"/>
      <w:divBdr>
        <w:top w:val="none" w:sz="0" w:space="0" w:color="auto"/>
        <w:left w:val="none" w:sz="0" w:space="0" w:color="auto"/>
        <w:bottom w:val="none" w:sz="0" w:space="0" w:color="auto"/>
        <w:right w:val="none" w:sz="0" w:space="0" w:color="auto"/>
      </w:divBdr>
      <w:divsChild>
        <w:div w:id="329330331">
          <w:marLeft w:val="0"/>
          <w:marRight w:val="0"/>
          <w:marTop w:val="0"/>
          <w:marBottom w:val="0"/>
          <w:divBdr>
            <w:top w:val="none" w:sz="0" w:space="0" w:color="auto"/>
            <w:left w:val="none" w:sz="0" w:space="0" w:color="auto"/>
            <w:bottom w:val="none" w:sz="0" w:space="0" w:color="auto"/>
            <w:right w:val="none" w:sz="0" w:space="0" w:color="auto"/>
          </w:divBdr>
        </w:div>
      </w:divsChild>
    </w:div>
    <w:div w:id="2078047874">
      <w:bodyDiv w:val="1"/>
      <w:marLeft w:val="0"/>
      <w:marRight w:val="0"/>
      <w:marTop w:val="0"/>
      <w:marBottom w:val="0"/>
      <w:divBdr>
        <w:top w:val="none" w:sz="0" w:space="0" w:color="auto"/>
        <w:left w:val="none" w:sz="0" w:space="0" w:color="auto"/>
        <w:bottom w:val="none" w:sz="0" w:space="0" w:color="auto"/>
        <w:right w:val="none" w:sz="0" w:space="0" w:color="auto"/>
      </w:divBdr>
      <w:divsChild>
        <w:div w:id="601180515">
          <w:marLeft w:val="0"/>
          <w:marRight w:val="0"/>
          <w:marTop w:val="0"/>
          <w:marBottom w:val="0"/>
          <w:divBdr>
            <w:top w:val="none" w:sz="0" w:space="0" w:color="auto"/>
            <w:left w:val="none" w:sz="0" w:space="0" w:color="auto"/>
            <w:bottom w:val="none" w:sz="0" w:space="0" w:color="auto"/>
            <w:right w:val="none" w:sz="0" w:space="0" w:color="auto"/>
          </w:divBdr>
        </w:div>
      </w:divsChild>
    </w:div>
    <w:div w:id="2110390587">
      <w:bodyDiv w:val="1"/>
      <w:marLeft w:val="0"/>
      <w:marRight w:val="0"/>
      <w:marTop w:val="0"/>
      <w:marBottom w:val="0"/>
      <w:divBdr>
        <w:top w:val="none" w:sz="0" w:space="0" w:color="auto"/>
        <w:left w:val="none" w:sz="0" w:space="0" w:color="auto"/>
        <w:bottom w:val="none" w:sz="0" w:space="0" w:color="auto"/>
        <w:right w:val="none" w:sz="0" w:space="0" w:color="auto"/>
      </w:divBdr>
      <w:divsChild>
        <w:div w:id="1803842825">
          <w:marLeft w:val="0"/>
          <w:marRight w:val="0"/>
          <w:marTop w:val="0"/>
          <w:marBottom w:val="0"/>
          <w:divBdr>
            <w:top w:val="none" w:sz="0" w:space="0" w:color="auto"/>
            <w:left w:val="none" w:sz="0" w:space="0" w:color="auto"/>
            <w:bottom w:val="none" w:sz="0" w:space="0" w:color="auto"/>
            <w:right w:val="none" w:sz="0" w:space="0" w:color="auto"/>
          </w:divBdr>
        </w:div>
      </w:divsChild>
    </w:div>
    <w:div w:id="2124879520">
      <w:bodyDiv w:val="1"/>
      <w:marLeft w:val="0"/>
      <w:marRight w:val="0"/>
      <w:marTop w:val="0"/>
      <w:marBottom w:val="0"/>
      <w:divBdr>
        <w:top w:val="none" w:sz="0" w:space="0" w:color="auto"/>
        <w:left w:val="none" w:sz="0" w:space="0" w:color="auto"/>
        <w:bottom w:val="none" w:sz="0" w:space="0" w:color="auto"/>
        <w:right w:val="none" w:sz="0" w:space="0" w:color="auto"/>
      </w:divBdr>
      <w:divsChild>
        <w:div w:id="349066045">
          <w:marLeft w:val="0"/>
          <w:marRight w:val="0"/>
          <w:marTop w:val="0"/>
          <w:marBottom w:val="0"/>
          <w:divBdr>
            <w:top w:val="none" w:sz="0" w:space="0" w:color="auto"/>
            <w:left w:val="none" w:sz="0" w:space="0" w:color="auto"/>
            <w:bottom w:val="none" w:sz="0" w:space="0" w:color="auto"/>
            <w:right w:val="none" w:sz="0" w:space="0" w:color="auto"/>
          </w:divBdr>
        </w:div>
      </w:divsChild>
    </w:div>
    <w:div w:id="2140755860">
      <w:bodyDiv w:val="1"/>
      <w:marLeft w:val="0"/>
      <w:marRight w:val="0"/>
      <w:marTop w:val="0"/>
      <w:marBottom w:val="0"/>
      <w:divBdr>
        <w:top w:val="none" w:sz="0" w:space="0" w:color="auto"/>
        <w:left w:val="none" w:sz="0" w:space="0" w:color="auto"/>
        <w:bottom w:val="none" w:sz="0" w:space="0" w:color="auto"/>
        <w:right w:val="none" w:sz="0" w:space="0" w:color="auto"/>
      </w:divBdr>
      <w:divsChild>
        <w:div w:id="1913275110">
          <w:marLeft w:val="0"/>
          <w:marRight w:val="0"/>
          <w:marTop w:val="0"/>
          <w:marBottom w:val="0"/>
          <w:divBdr>
            <w:top w:val="none" w:sz="0" w:space="0" w:color="auto"/>
            <w:left w:val="none" w:sz="0" w:space="0" w:color="auto"/>
            <w:bottom w:val="none" w:sz="0" w:space="0" w:color="auto"/>
            <w:right w:val="none" w:sz="0" w:space="0" w:color="auto"/>
          </w:divBdr>
        </w:div>
      </w:divsChild>
    </w:div>
    <w:div w:id="2142457869">
      <w:bodyDiv w:val="1"/>
      <w:marLeft w:val="0"/>
      <w:marRight w:val="0"/>
      <w:marTop w:val="0"/>
      <w:marBottom w:val="0"/>
      <w:divBdr>
        <w:top w:val="none" w:sz="0" w:space="0" w:color="auto"/>
        <w:left w:val="none" w:sz="0" w:space="0" w:color="auto"/>
        <w:bottom w:val="none" w:sz="0" w:space="0" w:color="auto"/>
        <w:right w:val="none" w:sz="0" w:space="0" w:color="auto"/>
      </w:divBdr>
      <w:divsChild>
        <w:div w:id="15218898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08/JWAM-11-2019-0036" TargetMode="External"/><Relationship Id="rId18" Type="http://schemas.openxmlformats.org/officeDocument/2006/relationships/hyperlink" Target="https://www.nhsconfed.org/publications/nhs-workforce-plan"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doi.org/10.1186/s12960-016-0155-2" TargetMode="External"/><Relationship Id="rId7" Type="http://schemas.openxmlformats.org/officeDocument/2006/relationships/webSettings" Target="webSettings.xml"/><Relationship Id="rId12" Type="http://schemas.openxmlformats.org/officeDocument/2006/relationships/hyperlink" Target="https://shop.cipd.org/product?catalog=Strategic-Workforce-Planning" TargetMode="External"/><Relationship Id="rId17" Type="http://schemas.openxmlformats.org/officeDocument/2006/relationships/hyperlink" Target="https://doi.org/10.1186/s12960-024-00895-z" TargetMode="External"/><Relationship Id="rId25" Type="http://schemas.openxmlformats.org/officeDocument/2006/relationships/hyperlink" Target="https://www.who.int/hrh/resources/globstrathrh-2030/en/" TargetMode="External"/><Relationship Id="rId2" Type="http://schemas.openxmlformats.org/officeDocument/2006/relationships/customXml" Target="../customXml/item2.xml"/><Relationship Id="rId16" Type="http://schemas.openxmlformats.org/officeDocument/2006/relationships/hyperlink" Target="https://www.nuffieldtrust.org.uk/research/reshaping-the-workforce-to-deliver-the-care-patients-need" TargetMode="External"/><Relationship Id="rId20" Type="http://schemas.openxmlformats.org/officeDocument/2006/relationships/hyperlink" Target="https://www.skillsforhealth.org.uk/resources/six-steps-methodology-to-integrated-workforce%20plannin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ealth.gov.au/resources/publications/national-medical-workforce-strategy-2021-2031" TargetMode="External"/><Relationship Id="rId24" Type="http://schemas.openxmlformats.org/officeDocument/2006/relationships/hyperlink" Target="https://www.gov.wales/sites/default/files/publications/2022-07/more-than-just-words-action-plan-2022-2027.pdf" TargetMode="External"/><Relationship Id="rId5" Type="http://schemas.openxmlformats.org/officeDocument/2006/relationships/styles" Target="styles.xml"/><Relationship Id="rId15" Type="http://schemas.openxmlformats.org/officeDocument/2006/relationships/hyperlink" Target="https://socialcare.wales/cms-assets/documents/Workforce-strategy-ENG-March-2021.pdf" TargetMode="External"/><Relationship Id="rId23" Type="http://schemas.openxmlformats.org/officeDocument/2006/relationships/hyperlink" Target="https://www.gov.wales/sites/default/files/publications/2021-09/a-healthier-wales-our-plan-for-health-and-social-care.pdf" TargetMode="External"/><Relationship Id="rId28" Type="http://schemas.openxmlformats.org/officeDocument/2006/relationships/footer" Target="footer3.xml"/><Relationship Id="rId10" Type="http://schemas.openxmlformats.org/officeDocument/2006/relationships/hyperlink" Target="https://www.audit.wales/publication/addressing-workforce-challenges-nhs-wales" TargetMode="External"/><Relationship Id="rId19" Type="http://schemas.openxmlformats.org/officeDocument/2006/relationships/hyperlink" Target="https://doi.org/10.46743/2160-3715/2024.7632"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hee.nhs.uk/our-work/future-doctor" TargetMode="External"/><Relationship Id="rId22" Type="http://schemas.openxmlformats.org/officeDocument/2006/relationships/hyperlink" Target="https://doi.org/10.1093/heapol/czn024" TargetMode="External"/><Relationship Id="rId27" Type="http://schemas.openxmlformats.org/officeDocument/2006/relationships/footer" Target="footer2.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322D342E58A4FF59F5D28568960BE43"/>
        <w:category>
          <w:name w:val="General"/>
          <w:gallery w:val="placeholder"/>
        </w:category>
        <w:types>
          <w:type w:val="bbPlcHdr"/>
        </w:types>
        <w:behaviors>
          <w:behavior w:val="content"/>
        </w:behaviors>
        <w:guid w:val="{AC711CBF-D106-4674-9026-90E58F4B0BD7}"/>
      </w:docPartPr>
      <w:docPartBody>
        <w:p w:rsidR="00876CDE" w:rsidRDefault="00876CDE" w:rsidP="00876CDE">
          <w:pPr>
            <w:pStyle w:val="5322D342E58A4FF59F5D28568960BE43"/>
          </w:pPr>
          <w:r>
            <w:rPr>
              <w:color w:val="2F5496" w:themeColor="accent1" w:themeShade="BF"/>
            </w:rPr>
            <w:t>[Company name]</w:t>
          </w:r>
        </w:p>
      </w:docPartBody>
    </w:docPart>
    <w:docPart>
      <w:docPartPr>
        <w:name w:val="A4466F78F51948E6A6271F2CFE6D029E"/>
        <w:category>
          <w:name w:val="General"/>
          <w:gallery w:val="placeholder"/>
        </w:category>
        <w:types>
          <w:type w:val="bbPlcHdr"/>
        </w:types>
        <w:behaviors>
          <w:behavior w:val="content"/>
        </w:behaviors>
        <w:guid w:val="{0B3D8410-F436-491F-B4C1-C1756B64CADC}"/>
      </w:docPartPr>
      <w:docPartBody>
        <w:p w:rsidR="00876CDE" w:rsidRDefault="00876CDE" w:rsidP="00876CDE">
          <w:pPr>
            <w:pStyle w:val="A4466F78F51948E6A6271F2CFE6D029E"/>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CDE"/>
    <w:rsid w:val="0008724B"/>
    <w:rsid w:val="00095577"/>
    <w:rsid w:val="000B4EF1"/>
    <w:rsid w:val="00134313"/>
    <w:rsid w:val="001B37FB"/>
    <w:rsid w:val="00204688"/>
    <w:rsid w:val="002A39E2"/>
    <w:rsid w:val="002F4706"/>
    <w:rsid w:val="003C5AE7"/>
    <w:rsid w:val="004C16F0"/>
    <w:rsid w:val="00521A49"/>
    <w:rsid w:val="005448A9"/>
    <w:rsid w:val="00631BB0"/>
    <w:rsid w:val="006920FF"/>
    <w:rsid w:val="0073305E"/>
    <w:rsid w:val="007B0DD5"/>
    <w:rsid w:val="0082543E"/>
    <w:rsid w:val="00876CDE"/>
    <w:rsid w:val="008A1694"/>
    <w:rsid w:val="008E5E0C"/>
    <w:rsid w:val="00937D05"/>
    <w:rsid w:val="00980D55"/>
    <w:rsid w:val="009A6F0A"/>
    <w:rsid w:val="009E779F"/>
    <w:rsid w:val="00A210D5"/>
    <w:rsid w:val="00AF0B00"/>
    <w:rsid w:val="00CA2725"/>
    <w:rsid w:val="00D61345"/>
    <w:rsid w:val="00DD0BBA"/>
    <w:rsid w:val="00E16118"/>
    <w:rsid w:val="00E8752D"/>
    <w:rsid w:val="00EB671F"/>
    <w:rsid w:val="00F00981"/>
    <w:rsid w:val="00F83D62"/>
    <w:rsid w:val="00F84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22D342E58A4FF59F5D28568960BE43">
    <w:name w:val="5322D342E58A4FF59F5D28568960BE43"/>
    <w:rsid w:val="00876CDE"/>
  </w:style>
  <w:style w:type="paragraph" w:customStyle="1" w:styleId="A4466F78F51948E6A6271F2CFE6D029E">
    <w:name w:val="A4466F78F51948E6A6271F2CFE6D029E"/>
    <w:rsid w:val="00876C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2e9a08500d7461ccd48d21d9809c0fc4">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098a321657a9cf6f445da12a6d88a1a5"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7692B4-B4A0-4587-803D-FE7310151944}">
  <ds:schemaRefs>
    <ds:schemaRef ds:uri="http://schemas.microsoft.com/sharepoint/v3/contenttype/forms"/>
  </ds:schemaRefs>
</ds:datastoreItem>
</file>

<file path=customXml/itemProps2.xml><?xml version="1.0" encoding="utf-8"?>
<ds:datastoreItem xmlns:ds="http://schemas.openxmlformats.org/officeDocument/2006/customXml" ds:itemID="{8F004731-DD8B-445B-A6A7-1D7E9532353F}">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customXml/itemProps3.xml><?xml version="1.0" encoding="utf-8"?>
<ds:datastoreItem xmlns:ds="http://schemas.openxmlformats.org/officeDocument/2006/customXml" ds:itemID="{6E5F03D4-0810-4C8F-8CD9-D4595FFC80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5299</Words>
  <Characters>36671</Characters>
  <Application>Microsoft Office Word</Application>
  <DocSecurity>0</DocSecurity>
  <Lines>719</Lines>
  <Paragraphs>206</Paragraphs>
  <ScaleCrop>false</ScaleCrop>
  <HeadingPairs>
    <vt:vector size="2" baseType="variant">
      <vt:variant>
        <vt:lpstr>Title</vt:lpstr>
      </vt:variant>
      <vt:variant>
        <vt:i4>1</vt:i4>
      </vt:variant>
    </vt:vector>
  </HeadingPairs>
  <TitlesOfParts>
    <vt:vector size="1" baseType="lpstr">
      <vt:lpstr>Independent Study Module</vt:lpstr>
    </vt:vector>
  </TitlesOfParts>
  <Company>Assessment Component 1</Company>
  <LinksUpToDate>false</LinksUpToDate>
  <CharactersWithSpaces>41764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Study Module</dc:title>
  <dc:subject>Contents</dc:subject>
  <dc:creator>Mia Evans (Hywel Dda UHB - Project Manager - Workforce Planning)</dc:creator>
  <cp:keywords/>
  <dc:description/>
  <cp:lastModifiedBy>Mia Evans</cp:lastModifiedBy>
  <cp:revision>3</cp:revision>
  <dcterms:created xsi:type="dcterms:W3CDTF">2026-05-04T12:44:00Z</dcterms:created>
  <dcterms:modified xsi:type="dcterms:W3CDTF">2026-05-04T14:57:00Z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