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C6173" w14:textId="1B31438D" w:rsidR="000814C5" w:rsidRDefault="000814C5" w:rsidP="000814C5">
      <w:pPr>
        <w:jc w:val="center"/>
        <w:rPr>
          <w:rFonts w:ascii="Times New Roman" w:hAnsi="Times New Roman" w:cs="Times New Roman"/>
          <w:sz w:val="28"/>
          <w:szCs w:val="28"/>
        </w:rPr>
      </w:pPr>
      <w:r>
        <w:rPr>
          <w:noProof/>
        </w:rPr>
        <w:drawing>
          <wp:inline distT="0" distB="0" distL="0" distR="0" wp14:anchorId="4959270B" wp14:editId="7C3BB938">
            <wp:extent cx="3444688" cy="1325880"/>
            <wp:effectExtent l="0" t="0" r="381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3458222" cy="1331089"/>
                    </a:xfrm>
                    <a:prstGeom prst="rect">
                      <a:avLst/>
                    </a:prstGeom>
                  </pic:spPr>
                </pic:pic>
              </a:graphicData>
            </a:graphic>
          </wp:inline>
        </w:drawing>
      </w:r>
    </w:p>
    <w:p w14:paraId="69833B3D" w14:textId="77777777" w:rsidR="000814C5" w:rsidRPr="00DA6389" w:rsidRDefault="000814C5" w:rsidP="000814C5">
      <w:pPr>
        <w:jc w:val="center"/>
        <w:rPr>
          <w:rFonts w:ascii="Times New Roman" w:hAnsi="Times New Roman" w:cs="Times New Roman"/>
          <w:sz w:val="40"/>
          <w:szCs w:val="40"/>
        </w:rPr>
      </w:pPr>
      <w:proofErr w:type="spellStart"/>
      <w:r w:rsidRPr="00DA6389">
        <w:rPr>
          <w:rFonts w:ascii="Times New Roman" w:hAnsi="Times New Roman" w:cs="Times New Roman"/>
          <w:sz w:val="40"/>
          <w:szCs w:val="40"/>
        </w:rPr>
        <w:t>Programme</w:t>
      </w:r>
      <w:proofErr w:type="spellEnd"/>
      <w:r w:rsidRPr="00DA6389">
        <w:rPr>
          <w:rFonts w:ascii="Times New Roman" w:hAnsi="Times New Roman" w:cs="Times New Roman"/>
          <w:sz w:val="40"/>
          <w:szCs w:val="40"/>
        </w:rPr>
        <w:t>: BA Business Management</w:t>
      </w:r>
    </w:p>
    <w:p w14:paraId="6A84716B" w14:textId="77777777" w:rsidR="000814C5" w:rsidRPr="00DA6389" w:rsidRDefault="000814C5" w:rsidP="000814C5">
      <w:pPr>
        <w:jc w:val="center"/>
        <w:rPr>
          <w:rFonts w:ascii="Times New Roman" w:hAnsi="Times New Roman" w:cs="Times New Roman"/>
          <w:sz w:val="96"/>
          <w:szCs w:val="96"/>
        </w:rPr>
      </w:pPr>
      <w:r w:rsidRPr="00DA6389">
        <w:rPr>
          <w:rFonts w:ascii="Times New Roman" w:hAnsi="Times New Roman" w:cs="Times New Roman"/>
          <w:caps/>
          <w:sz w:val="44"/>
          <w:szCs w:val="44"/>
        </w:rPr>
        <w:t>international financial management</w:t>
      </w:r>
      <w:r w:rsidRPr="00DA6389">
        <w:rPr>
          <w:rFonts w:ascii="Times New Roman" w:hAnsi="Times New Roman" w:cs="Times New Roman"/>
          <w:sz w:val="96"/>
          <w:szCs w:val="96"/>
        </w:rPr>
        <w:t xml:space="preserve"> </w:t>
      </w:r>
    </w:p>
    <w:p w14:paraId="7981896B" w14:textId="0F22538A" w:rsidR="000814C5" w:rsidRPr="00DA6389" w:rsidRDefault="000814C5" w:rsidP="000814C5">
      <w:pPr>
        <w:jc w:val="center"/>
        <w:rPr>
          <w:rFonts w:ascii="Times New Roman" w:hAnsi="Times New Roman" w:cs="Times New Roman"/>
          <w:sz w:val="40"/>
          <w:szCs w:val="40"/>
        </w:rPr>
      </w:pPr>
      <w:r w:rsidRPr="00DA6389">
        <w:rPr>
          <w:rFonts w:ascii="Times New Roman" w:hAnsi="Times New Roman" w:cs="Times New Roman"/>
          <w:sz w:val="40"/>
          <w:szCs w:val="40"/>
        </w:rPr>
        <w:t>Module code: LCBB</w:t>
      </w:r>
      <w:r>
        <w:rPr>
          <w:rFonts w:ascii="Times New Roman" w:hAnsi="Times New Roman" w:cs="Times New Roman"/>
          <w:sz w:val="40"/>
          <w:szCs w:val="40"/>
        </w:rPr>
        <w:t>600</w:t>
      </w:r>
      <w:r w:rsidR="005A2022">
        <w:rPr>
          <w:rFonts w:ascii="Times New Roman" w:hAnsi="Times New Roman" w:cs="Times New Roman"/>
          <w:sz w:val="40"/>
          <w:szCs w:val="40"/>
        </w:rPr>
        <w:t>2</w:t>
      </w:r>
    </w:p>
    <w:p w14:paraId="7981D88F" w14:textId="77777777" w:rsidR="000814C5" w:rsidRPr="00DA6389" w:rsidRDefault="000814C5" w:rsidP="000814C5">
      <w:pPr>
        <w:jc w:val="center"/>
        <w:rPr>
          <w:rFonts w:ascii="Times New Roman" w:hAnsi="Times New Roman" w:cs="Times New Roman"/>
        </w:rPr>
      </w:pPr>
      <w:r w:rsidRPr="00DA6389">
        <w:rPr>
          <w:rFonts w:ascii="Times New Roman" w:hAnsi="Times New Roman" w:cs="Times New Roman"/>
          <w:sz w:val="40"/>
          <w:szCs w:val="40"/>
        </w:rPr>
        <w:t>Lecturer/Tutor:</w:t>
      </w:r>
      <w:r w:rsidRPr="00DA6389">
        <w:rPr>
          <w:rFonts w:ascii="Times New Roman" w:hAnsi="Times New Roman" w:cs="Times New Roman"/>
        </w:rPr>
        <w:t xml:space="preserve"> </w:t>
      </w:r>
      <w:r>
        <w:rPr>
          <w:rFonts w:ascii="Times New Roman" w:hAnsi="Times New Roman" w:cs="Times New Roman"/>
          <w:sz w:val="40"/>
          <w:szCs w:val="40"/>
        </w:rPr>
        <w:t>Dr. Hossein Shokri</w:t>
      </w:r>
    </w:p>
    <w:p w14:paraId="055DEE8C" w14:textId="47B67DE7" w:rsidR="000814C5" w:rsidRPr="00DA6389" w:rsidRDefault="000814C5" w:rsidP="000814C5">
      <w:pPr>
        <w:jc w:val="center"/>
        <w:rPr>
          <w:rFonts w:ascii="Times New Roman" w:hAnsi="Times New Roman" w:cs="Times New Roman"/>
          <w:sz w:val="40"/>
          <w:szCs w:val="40"/>
        </w:rPr>
      </w:pPr>
      <w:r>
        <w:rPr>
          <w:rFonts w:ascii="Times New Roman" w:hAnsi="Times New Roman" w:cs="Times New Roman"/>
          <w:sz w:val="40"/>
          <w:szCs w:val="40"/>
        </w:rPr>
        <w:t xml:space="preserve">Group Report </w:t>
      </w:r>
    </w:p>
    <w:p w14:paraId="7F95296D" w14:textId="4647180E" w:rsidR="000814C5" w:rsidRPr="00DA6389" w:rsidRDefault="000814C5" w:rsidP="000814C5">
      <w:pPr>
        <w:jc w:val="center"/>
        <w:rPr>
          <w:rFonts w:ascii="Times New Roman" w:hAnsi="Times New Roman" w:cs="Times New Roman"/>
          <w:sz w:val="40"/>
          <w:szCs w:val="40"/>
        </w:rPr>
      </w:pPr>
      <w:r w:rsidRPr="00DA6389">
        <w:rPr>
          <w:rFonts w:ascii="Times New Roman" w:hAnsi="Times New Roman" w:cs="Times New Roman"/>
          <w:sz w:val="40"/>
          <w:szCs w:val="40"/>
        </w:rPr>
        <w:t xml:space="preserve">Assessment </w:t>
      </w:r>
      <w:r>
        <w:rPr>
          <w:rFonts w:ascii="Times New Roman" w:hAnsi="Times New Roman" w:cs="Times New Roman"/>
          <w:sz w:val="40"/>
          <w:szCs w:val="40"/>
        </w:rPr>
        <w:t>2</w:t>
      </w:r>
    </w:p>
    <w:tbl>
      <w:tblPr>
        <w:tblW w:w="8799" w:type="dxa"/>
        <w:tblInd w:w="-719" w:type="dxa"/>
        <w:tblCellMar>
          <w:left w:w="0" w:type="dxa"/>
          <w:right w:w="0" w:type="dxa"/>
        </w:tblCellMar>
        <w:tblLook w:val="0420" w:firstRow="1" w:lastRow="0" w:firstColumn="0" w:lastColumn="0" w:noHBand="0" w:noVBand="1"/>
      </w:tblPr>
      <w:tblGrid>
        <w:gridCol w:w="4279"/>
        <w:gridCol w:w="4520"/>
      </w:tblGrid>
      <w:tr w:rsidR="000814C5" w:rsidRPr="000814C5" w14:paraId="4B1FDEDE" w14:textId="77777777" w:rsidTr="000814C5">
        <w:trPr>
          <w:trHeight w:val="543"/>
        </w:trPr>
        <w:tc>
          <w:tcPr>
            <w:tcW w:w="4279" w:type="dxa"/>
            <w:tcBorders>
              <w:top w:val="single" w:sz="8" w:space="0" w:color="FFFFFF"/>
              <w:left w:val="single" w:sz="8" w:space="0" w:color="FFFFFF"/>
              <w:bottom w:val="single" w:sz="24" w:space="0" w:color="FFFFFF"/>
              <w:right w:val="single" w:sz="8" w:space="0" w:color="FFFFFF"/>
            </w:tcBorders>
            <w:shd w:val="clear" w:color="auto" w:fill="90C226"/>
            <w:tcMar>
              <w:top w:w="72" w:type="dxa"/>
              <w:left w:w="144" w:type="dxa"/>
              <w:bottom w:w="72" w:type="dxa"/>
              <w:right w:w="144" w:type="dxa"/>
            </w:tcMar>
            <w:hideMark/>
          </w:tcPr>
          <w:p w14:paraId="7FC3DC54" w14:textId="6775E3DA"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b/>
                <w:bCs/>
                <w:sz w:val="40"/>
                <w:szCs w:val="40"/>
                <w:lang w:val="en-GB"/>
              </w:rPr>
              <w:t xml:space="preserve">Students’ names </w:t>
            </w:r>
          </w:p>
        </w:tc>
        <w:tc>
          <w:tcPr>
            <w:tcW w:w="4520" w:type="dxa"/>
            <w:tcBorders>
              <w:top w:val="single" w:sz="8" w:space="0" w:color="FFFFFF"/>
              <w:left w:val="single" w:sz="8" w:space="0" w:color="FFFFFF"/>
              <w:bottom w:val="single" w:sz="24" w:space="0" w:color="FFFFFF"/>
              <w:right w:val="single" w:sz="8" w:space="0" w:color="FFFFFF"/>
            </w:tcBorders>
            <w:shd w:val="clear" w:color="auto" w:fill="90C226"/>
            <w:tcMar>
              <w:top w:w="72" w:type="dxa"/>
              <w:left w:w="144" w:type="dxa"/>
              <w:bottom w:w="72" w:type="dxa"/>
              <w:right w:w="144" w:type="dxa"/>
            </w:tcMar>
            <w:hideMark/>
          </w:tcPr>
          <w:p w14:paraId="17E87010"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b/>
                <w:bCs/>
                <w:sz w:val="40"/>
                <w:szCs w:val="40"/>
                <w:lang w:val="en-GB"/>
              </w:rPr>
              <w:t>Student ID No:</w:t>
            </w:r>
          </w:p>
        </w:tc>
      </w:tr>
      <w:tr w:rsidR="000814C5" w:rsidRPr="000814C5" w14:paraId="38E63471" w14:textId="77777777" w:rsidTr="000814C5">
        <w:trPr>
          <w:trHeight w:val="543"/>
        </w:trPr>
        <w:tc>
          <w:tcPr>
            <w:tcW w:w="4279" w:type="dxa"/>
            <w:tcBorders>
              <w:top w:val="single" w:sz="24" w:space="0" w:color="FFFFFF"/>
              <w:left w:val="single" w:sz="8" w:space="0" w:color="FFFFFF"/>
              <w:bottom w:val="single" w:sz="8" w:space="0" w:color="FFFFFF"/>
              <w:right w:val="single" w:sz="8" w:space="0" w:color="FFFFFF"/>
            </w:tcBorders>
            <w:shd w:val="clear" w:color="auto" w:fill="DBE9CD"/>
            <w:tcMar>
              <w:top w:w="72" w:type="dxa"/>
              <w:left w:w="144" w:type="dxa"/>
              <w:bottom w:w="72" w:type="dxa"/>
              <w:right w:w="144" w:type="dxa"/>
            </w:tcMar>
            <w:hideMark/>
          </w:tcPr>
          <w:p w14:paraId="20B5C850" w14:textId="77777777" w:rsidR="000814C5" w:rsidRPr="000814C5" w:rsidRDefault="000814C5" w:rsidP="000814C5">
            <w:pPr>
              <w:jc w:val="center"/>
              <w:rPr>
                <w:rFonts w:ascii="Times New Roman" w:hAnsi="Times New Roman" w:cs="Times New Roman"/>
                <w:sz w:val="40"/>
                <w:szCs w:val="40"/>
                <w:lang w:val="en-GB"/>
              </w:rPr>
            </w:pPr>
            <w:proofErr w:type="spellStart"/>
            <w:r w:rsidRPr="000814C5">
              <w:rPr>
                <w:rFonts w:ascii="Times New Roman" w:hAnsi="Times New Roman" w:cs="Times New Roman"/>
                <w:sz w:val="40"/>
                <w:szCs w:val="40"/>
                <w:lang w:val="en-GB"/>
              </w:rPr>
              <w:t>Teodor</w:t>
            </w:r>
            <w:proofErr w:type="spellEnd"/>
            <w:r w:rsidRPr="000814C5">
              <w:rPr>
                <w:rFonts w:ascii="Times New Roman" w:hAnsi="Times New Roman" w:cs="Times New Roman"/>
                <w:sz w:val="40"/>
                <w:szCs w:val="40"/>
                <w:lang w:val="en-GB"/>
              </w:rPr>
              <w:t xml:space="preserve"> </w:t>
            </w:r>
            <w:proofErr w:type="spellStart"/>
            <w:r w:rsidRPr="000814C5">
              <w:rPr>
                <w:rFonts w:ascii="Times New Roman" w:hAnsi="Times New Roman" w:cs="Times New Roman"/>
                <w:sz w:val="40"/>
                <w:szCs w:val="40"/>
                <w:lang w:val="en-GB"/>
              </w:rPr>
              <w:t>Angelov</w:t>
            </w:r>
            <w:proofErr w:type="spellEnd"/>
          </w:p>
        </w:tc>
        <w:tc>
          <w:tcPr>
            <w:tcW w:w="4520" w:type="dxa"/>
            <w:tcBorders>
              <w:top w:val="single" w:sz="24" w:space="0" w:color="FFFFFF"/>
              <w:left w:val="single" w:sz="8" w:space="0" w:color="FFFFFF"/>
              <w:bottom w:val="single" w:sz="8" w:space="0" w:color="FFFFFF"/>
              <w:right w:val="single" w:sz="8" w:space="0" w:color="FFFFFF"/>
            </w:tcBorders>
            <w:shd w:val="clear" w:color="auto" w:fill="DBE9CD"/>
            <w:tcMar>
              <w:top w:w="72" w:type="dxa"/>
              <w:left w:w="144" w:type="dxa"/>
              <w:bottom w:w="72" w:type="dxa"/>
              <w:right w:w="144" w:type="dxa"/>
            </w:tcMar>
            <w:hideMark/>
          </w:tcPr>
          <w:p w14:paraId="78D25A7C"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sz w:val="40"/>
                <w:szCs w:val="40"/>
                <w:lang w:val="en-GB"/>
              </w:rPr>
              <w:t>1917363</w:t>
            </w:r>
          </w:p>
        </w:tc>
      </w:tr>
      <w:tr w:rsidR="000814C5" w:rsidRPr="000814C5" w14:paraId="5843FD1B" w14:textId="77777777" w:rsidTr="000814C5">
        <w:trPr>
          <w:trHeight w:val="543"/>
        </w:trPr>
        <w:tc>
          <w:tcPr>
            <w:tcW w:w="4279" w:type="dxa"/>
            <w:tcBorders>
              <w:top w:val="single" w:sz="8" w:space="0" w:color="FFFFFF"/>
              <w:left w:val="single" w:sz="8" w:space="0" w:color="FFFFFF"/>
              <w:bottom w:val="single" w:sz="8" w:space="0" w:color="FFFFFF"/>
              <w:right w:val="single" w:sz="8" w:space="0" w:color="FFFFFF"/>
            </w:tcBorders>
            <w:shd w:val="clear" w:color="auto" w:fill="EEF4E8"/>
            <w:tcMar>
              <w:top w:w="72" w:type="dxa"/>
              <w:left w:w="144" w:type="dxa"/>
              <w:bottom w:w="72" w:type="dxa"/>
              <w:right w:w="144" w:type="dxa"/>
            </w:tcMar>
            <w:hideMark/>
          </w:tcPr>
          <w:p w14:paraId="7276B461" w14:textId="77777777" w:rsidR="000814C5" w:rsidRPr="000814C5" w:rsidRDefault="000814C5" w:rsidP="000814C5">
            <w:pPr>
              <w:jc w:val="center"/>
              <w:rPr>
                <w:rFonts w:ascii="Times New Roman" w:hAnsi="Times New Roman" w:cs="Times New Roman"/>
                <w:sz w:val="40"/>
                <w:szCs w:val="40"/>
                <w:lang w:val="en-GB"/>
              </w:rPr>
            </w:pPr>
            <w:proofErr w:type="spellStart"/>
            <w:r w:rsidRPr="000814C5">
              <w:rPr>
                <w:rFonts w:ascii="Times New Roman" w:hAnsi="Times New Roman" w:cs="Times New Roman"/>
                <w:sz w:val="40"/>
                <w:szCs w:val="40"/>
                <w:lang w:val="en-GB"/>
              </w:rPr>
              <w:t>Desislava</w:t>
            </w:r>
            <w:proofErr w:type="spellEnd"/>
            <w:r w:rsidRPr="000814C5">
              <w:rPr>
                <w:rFonts w:ascii="Times New Roman" w:hAnsi="Times New Roman" w:cs="Times New Roman"/>
                <w:sz w:val="40"/>
                <w:szCs w:val="40"/>
                <w:lang w:val="en-GB"/>
              </w:rPr>
              <w:t xml:space="preserve"> </w:t>
            </w:r>
            <w:proofErr w:type="spellStart"/>
            <w:r w:rsidRPr="000814C5">
              <w:rPr>
                <w:rFonts w:ascii="Times New Roman" w:hAnsi="Times New Roman" w:cs="Times New Roman"/>
                <w:sz w:val="40"/>
                <w:szCs w:val="40"/>
                <w:lang w:val="en-GB"/>
              </w:rPr>
              <w:t>Zhelyazkova</w:t>
            </w:r>
            <w:proofErr w:type="spellEnd"/>
          </w:p>
        </w:tc>
        <w:tc>
          <w:tcPr>
            <w:tcW w:w="4520" w:type="dxa"/>
            <w:tcBorders>
              <w:top w:val="single" w:sz="8" w:space="0" w:color="FFFFFF"/>
              <w:left w:val="single" w:sz="8" w:space="0" w:color="FFFFFF"/>
              <w:bottom w:val="single" w:sz="8" w:space="0" w:color="FFFFFF"/>
              <w:right w:val="single" w:sz="8" w:space="0" w:color="FFFFFF"/>
            </w:tcBorders>
            <w:shd w:val="clear" w:color="auto" w:fill="EEF4E8"/>
            <w:tcMar>
              <w:top w:w="72" w:type="dxa"/>
              <w:left w:w="144" w:type="dxa"/>
              <w:bottom w:w="72" w:type="dxa"/>
              <w:right w:w="144" w:type="dxa"/>
            </w:tcMar>
            <w:hideMark/>
          </w:tcPr>
          <w:p w14:paraId="4EF2EB91"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sz w:val="40"/>
                <w:szCs w:val="40"/>
                <w:lang w:val="en-GB"/>
              </w:rPr>
              <w:t>1917424</w:t>
            </w:r>
          </w:p>
        </w:tc>
      </w:tr>
      <w:tr w:rsidR="000814C5" w:rsidRPr="000814C5" w14:paraId="31B43722" w14:textId="77777777" w:rsidTr="000814C5">
        <w:trPr>
          <w:trHeight w:val="543"/>
        </w:trPr>
        <w:tc>
          <w:tcPr>
            <w:tcW w:w="4279" w:type="dxa"/>
            <w:tcBorders>
              <w:top w:val="single" w:sz="8" w:space="0" w:color="FFFFFF"/>
              <w:left w:val="single" w:sz="8" w:space="0" w:color="FFFFFF"/>
              <w:bottom w:val="single" w:sz="8" w:space="0" w:color="FFFFFF"/>
              <w:right w:val="single" w:sz="8" w:space="0" w:color="FFFFFF"/>
            </w:tcBorders>
            <w:shd w:val="clear" w:color="auto" w:fill="DBE9CD"/>
            <w:tcMar>
              <w:top w:w="72" w:type="dxa"/>
              <w:left w:w="144" w:type="dxa"/>
              <w:bottom w:w="72" w:type="dxa"/>
              <w:right w:w="144" w:type="dxa"/>
            </w:tcMar>
            <w:hideMark/>
          </w:tcPr>
          <w:p w14:paraId="4351D012"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sz w:val="40"/>
                <w:szCs w:val="40"/>
                <w:lang w:val="en-GB"/>
              </w:rPr>
              <w:t xml:space="preserve">Petya </w:t>
            </w:r>
            <w:proofErr w:type="spellStart"/>
            <w:r w:rsidRPr="000814C5">
              <w:rPr>
                <w:rFonts w:ascii="Times New Roman" w:hAnsi="Times New Roman" w:cs="Times New Roman"/>
                <w:sz w:val="40"/>
                <w:szCs w:val="40"/>
                <w:lang w:val="en-GB"/>
              </w:rPr>
              <w:t>Niklenova</w:t>
            </w:r>
            <w:proofErr w:type="spellEnd"/>
            <w:r w:rsidRPr="000814C5">
              <w:rPr>
                <w:rFonts w:ascii="Times New Roman" w:hAnsi="Times New Roman" w:cs="Times New Roman"/>
                <w:sz w:val="40"/>
                <w:szCs w:val="40"/>
                <w:lang w:val="en-GB"/>
              </w:rPr>
              <w:t xml:space="preserve"> </w:t>
            </w:r>
          </w:p>
        </w:tc>
        <w:tc>
          <w:tcPr>
            <w:tcW w:w="4520" w:type="dxa"/>
            <w:tcBorders>
              <w:top w:val="single" w:sz="8" w:space="0" w:color="FFFFFF"/>
              <w:left w:val="single" w:sz="8" w:space="0" w:color="FFFFFF"/>
              <w:bottom w:val="single" w:sz="8" w:space="0" w:color="FFFFFF"/>
              <w:right w:val="single" w:sz="8" w:space="0" w:color="FFFFFF"/>
            </w:tcBorders>
            <w:shd w:val="clear" w:color="auto" w:fill="DBE9CD"/>
            <w:tcMar>
              <w:top w:w="72" w:type="dxa"/>
              <w:left w:w="144" w:type="dxa"/>
              <w:bottom w:w="72" w:type="dxa"/>
              <w:right w:w="144" w:type="dxa"/>
            </w:tcMar>
            <w:hideMark/>
          </w:tcPr>
          <w:p w14:paraId="34A82585"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sz w:val="40"/>
                <w:szCs w:val="40"/>
                <w:lang w:val="en-GB"/>
              </w:rPr>
              <w:t>1916916</w:t>
            </w:r>
          </w:p>
        </w:tc>
      </w:tr>
      <w:tr w:rsidR="000814C5" w:rsidRPr="000814C5" w14:paraId="3E4523E8" w14:textId="77777777" w:rsidTr="000814C5">
        <w:trPr>
          <w:trHeight w:val="682"/>
        </w:trPr>
        <w:tc>
          <w:tcPr>
            <w:tcW w:w="4279" w:type="dxa"/>
            <w:tcBorders>
              <w:top w:val="single" w:sz="8" w:space="0" w:color="FFFFFF"/>
              <w:left w:val="single" w:sz="8" w:space="0" w:color="FFFFFF"/>
              <w:bottom w:val="single" w:sz="8" w:space="0" w:color="FFFFFF"/>
              <w:right w:val="single" w:sz="8" w:space="0" w:color="FFFFFF"/>
            </w:tcBorders>
            <w:shd w:val="clear" w:color="auto" w:fill="EEF4E8"/>
            <w:tcMar>
              <w:top w:w="72" w:type="dxa"/>
              <w:left w:w="144" w:type="dxa"/>
              <w:bottom w:w="72" w:type="dxa"/>
              <w:right w:w="144" w:type="dxa"/>
            </w:tcMar>
            <w:hideMark/>
          </w:tcPr>
          <w:p w14:paraId="69B3E8B1" w14:textId="77777777" w:rsidR="000814C5" w:rsidRPr="000814C5" w:rsidRDefault="000814C5" w:rsidP="000814C5">
            <w:pPr>
              <w:jc w:val="center"/>
              <w:rPr>
                <w:rFonts w:ascii="Times New Roman" w:hAnsi="Times New Roman" w:cs="Times New Roman"/>
                <w:sz w:val="40"/>
                <w:szCs w:val="40"/>
                <w:lang w:val="en-GB"/>
              </w:rPr>
            </w:pPr>
            <w:proofErr w:type="spellStart"/>
            <w:r w:rsidRPr="000814C5">
              <w:rPr>
                <w:rFonts w:ascii="Times New Roman" w:hAnsi="Times New Roman" w:cs="Times New Roman"/>
                <w:sz w:val="40"/>
                <w:szCs w:val="40"/>
                <w:lang w:val="en-GB"/>
              </w:rPr>
              <w:t>Veselin</w:t>
            </w:r>
            <w:proofErr w:type="spellEnd"/>
            <w:r w:rsidRPr="000814C5">
              <w:rPr>
                <w:rFonts w:ascii="Times New Roman" w:hAnsi="Times New Roman" w:cs="Times New Roman"/>
                <w:sz w:val="40"/>
                <w:szCs w:val="40"/>
                <w:lang w:val="en-GB"/>
              </w:rPr>
              <w:t xml:space="preserve"> Ivanov</w:t>
            </w:r>
          </w:p>
        </w:tc>
        <w:tc>
          <w:tcPr>
            <w:tcW w:w="4520" w:type="dxa"/>
            <w:tcBorders>
              <w:top w:val="single" w:sz="8" w:space="0" w:color="FFFFFF"/>
              <w:left w:val="single" w:sz="8" w:space="0" w:color="FFFFFF"/>
              <w:bottom w:val="single" w:sz="8" w:space="0" w:color="FFFFFF"/>
              <w:right w:val="single" w:sz="8" w:space="0" w:color="FFFFFF"/>
            </w:tcBorders>
            <w:shd w:val="clear" w:color="auto" w:fill="EEF4E8"/>
            <w:tcMar>
              <w:top w:w="72" w:type="dxa"/>
              <w:left w:w="144" w:type="dxa"/>
              <w:bottom w:w="72" w:type="dxa"/>
              <w:right w:w="144" w:type="dxa"/>
            </w:tcMar>
            <w:hideMark/>
          </w:tcPr>
          <w:p w14:paraId="35F2CA3C" w14:textId="77777777" w:rsidR="000814C5" w:rsidRPr="000814C5" w:rsidRDefault="000814C5" w:rsidP="000814C5">
            <w:pPr>
              <w:jc w:val="center"/>
              <w:rPr>
                <w:rFonts w:ascii="Times New Roman" w:hAnsi="Times New Roman" w:cs="Times New Roman"/>
                <w:sz w:val="40"/>
                <w:szCs w:val="40"/>
                <w:lang w:val="en-GB"/>
              </w:rPr>
            </w:pPr>
            <w:r w:rsidRPr="000814C5">
              <w:rPr>
                <w:rFonts w:ascii="Times New Roman" w:hAnsi="Times New Roman" w:cs="Times New Roman"/>
                <w:sz w:val="40"/>
                <w:szCs w:val="40"/>
                <w:lang w:val="en-GB"/>
              </w:rPr>
              <w:t>1915946</w:t>
            </w:r>
          </w:p>
        </w:tc>
      </w:tr>
    </w:tbl>
    <w:p w14:paraId="2FBB9BC8" w14:textId="695DF823" w:rsidR="000814C5" w:rsidRPr="00DA6389" w:rsidRDefault="000814C5" w:rsidP="000814C5">
      <w:pPr>
        <w:jc w:val="center"/>
        <w:rPr>
          <w:rFonts w:ascii="Times New Roman" w:hAnsi="Times New Roman" w:cs="Times New Roman"/>
          <w:sz w:val="40"/>
          <w:szCs w:val="40"/>
        </w:rPr>
      </w:pPr>
      <w:r w:rsidRPr="00DA6389">
        <w:rPr>
          <w:rFonts w:ascii="Times New Roman" w:hAnsi="Times New Roman" w:cs="Times New Roman"/>
          <w:sz w:val="40"/>
          <w:szCs w:val="40"/>
        </w:rPr>
        <w:t>Date: 0</w:t>
      </w:r>
      <w:r w:rsidR="005A2022">
        <w:rPr>
          <w:rFonts w:ascii="Times New Roman" w:hAnsi="Times New Roman" w:cs="Times New Roman"/>
          <w:sz w:val="40"/>
          <w:szCs w:val="40"/>
        </w:rPr>
        <w:t>9</w:t>
      </w:r>
      <w:r w:rsidRPr="00DA6389">
        <w:rPr>
          <w:rFonts w:ascii="Times New Roman" w:hAnsi="Times New Roman" w:cs="Times New Roman"/>
          <w:sz w:val="40"/>
          <w:szCs w:val="40"/>
        </w:rPr>
        <w:t>/05/2022</w:t>
      </w:r>
    </w:p>
    <w:p w14:paraId="5062AABC" w14:textId="0A8F830E" w:rsidR="003638CC" w:rsidRPr="002F1DF7" w:rsidRDefault="000814C5" w:rsidP="002F1DF7">
      <w:pPr>
        <w:pStyle w:val="NoSpacing"/>
        <w:spacing w:before="40" w:after="40" w:line="480" w:lineRule="auto"/>
        <w:jc w:val="center"/>
        <w:rPr>
          <w:caps/>
          <w:sz w:val="32"/>
          <w:szCs w:val="32"/>
        </w:rPr>
      </w:pPr>
      <w:r w:rsidRPr="00DA6389">
        <w:rPr>
          <w:caps/>
          <w:sz w:val="32"/>
          <w:szCs w:val="32"/>
        </w:rPr>
        <w:t>BP (british petroleum) international financial management</w:t>
      </w:r>
    </w:p>
    <w:sdt>
      <w:sdtPr>
        <w:rPr>
          <w:rFonts w:ascii="Times New Roman" w:eastAsiaTheme="minorHAnsi" w:hAnsi="Times New Roman" w:cs="Times New Roman"/>
          <w:color w:val="auto"/>
          <w:sz w:val="24"/>
          <w:szCs w:val="24"/>
        </w:rPr>
        <w:id w:val="-583380014"/>
        <w:docPartObj>
          <w:docPartGallery w:val="Table of Contents"/>
          <w:docPartUnique/>
        </w:docPartObj>
      </w:sdtPr>
      <w:sdtEndPr>
        <w:rPr>
          <w:b/>
          <w:bCs/>
          <w:noProof/>
        </w:rPr>
      </w:sdtEndPr>
      <w:sdtContent>
        <w:p w14:paraId="1F478637" w14:textId="77777777" w:rsidR="003638CC" w:rsidRPr="005A0F0E" w:rsidRDefault="003638CC" w:rsidP="003638CC">
          <w:pPr>
            <w:pStyle w:val="TOCHeading"/>
            <w:rPr>
              <w:rFonts w:ascii="Times New Roman" w:hAnsi="Times New Roman" w:cs="Times New Roman"/>
              <w:sz w:val="24"/>
              <w:szCs w:val="24"/>
            </w:rPr>
          </w:pPr>
          <w:r w:rsidRPr="005A0F0E">
            <w:rPr>
              <w:rFonts w:ascii="Times New Roman" w:hAnsi="Times New Roman" w:cs="Times New Roman"/>
              <w:sz w:val="24"/>
              <w:szCs w:val="24"/>
            </w:rPr>
            <w:t>Contents</w:t>
          </w:r>
        </w:p>
        <w:p w14:paraId="15F49E2F" w14:textId="77777777" w:rsidR="003638CC" w:rsidRPr="005A0F0E" w:rsidRDefault="003638CC" w:rsidP="003638CC">
          <w:pPr>
            <w:pStyle w:val="TOC1"/>
            <w:tabs>
              <w:tab w:val="right" w:leader="dot" w:pos="9350"/>
            </w:tabs>
            <w:rPr>
              <w:rFonts w:ascii="Times New Roman" w:hAnsi="Times New Roman" w:cs="Times New Roman"/>
              <w:noProof/>
              <w:szCs w:val="24"/>
            </w:rPr>
          </w:pPr>
          <w:r w:rsidRPr="005A0F0E">
            <w:rPr>
              <w:rFonts w:ascii="Times New Roman" w:hAnsi="Times New Roman" w:cs="Times New Roman"/>
              <w:szCs w:val="24"/>
            </w:rPr>
            <w:fldChar w:fldCharType="begin"/>
          </w:r>
          <w:r w:rsidRPr="005A0F0E">
            <w:rPr>
              <w:rFonts w:ascii="Times New Roman" w:hAnsi="Times New Roman" w:cs="Times New Roman"/>
              <w:szCs w:val="24"/>
            </w:rPr>
            <w:instrText xml:space="preserve"> TOC \o "1-3" \h \z \u </w:instrText>
          </w:r>
          <w:r w:rsidRPr="005A0F0E">
            <w:rPr>
              <w:rFonts w:ascii="Times New Roman" w:hAnsi="Times New Roman" w:cs="Times New Roman"/>
              <w:szCs w:val="24"/>
            </w:rPr>
            <w:fldChar w:fldCharType="separate"/>
          </w:r>
          <w:hyperlink w:anchor="_Toc101744046" w:history="1">
            <w:r w:rsidRPr="005A0F0E">
              <w:rPr>
                <w:rStyle w:val="Hyperlink"/>
                <w:rFonts w:ascii="Times New Roman" w:hAnsi="Times New Roman" w:cs="Times New Roman"/>
                <w:noProof/>
                <w:szCs w:val="24"/>
              </w:rPr>
              <w:t>Introduction</w:t>
            </w:r>
            <w:r w:rsidRPr="005A0F0E">
              <w:rPr>
                <w:rFonts w:ascii="Times New Roman" w:hAnsi="Times New Roman" w:cs="Times New Roman"/>
                <w:noProof/>
                <w:webHidden/>
                <w:szCs w:val="24"/>
              </w:rPr>
              <w:tab/>
            </w:r>
            <w:r w:rsidRPr="005A0F0E">
              <w:rPr>
                <w:rFonts w:ascii="Times New Roman" w:hAnsi="Times New Roman" w:cs="Times New Roman"/>
                <w:noProof/>
                <w:webHidden/>
                <w:szCs w:val="24"/>
              </w:rPr>
              <w:fldChar w:fldCharType="begin"/>
            </w:r>
            <w:r w:rsidRPr="005A0F0E">
              <w:rPr>
                <w:rFonts w:ascii="Times New Roman" w:hAnsi="Times New Roman" w:cs="Times New Roman"/>
                <w:noProof/>
                <w:webHidden/>
                <w:szCs w:val="24"/>
              </w:rPr>
              <w:instrText xml:space="preserve"> PAGEREF _Toc101744046 \h </w:instrText>
            </w:r>
            <w:r w:rsidRPr="005A0F0E">
              <w:rPr>
                <w:rFonts w:ascii="Times New Roman" w:hAnsi="Times New Roman" w:cs="Times New Roman"/>
                <w:noProof/>
                <w:webHidden/>
                <w:szCs w:val="24"/>
              </w:rPr>
            </w:r>
            <w:r w:rsidRPr="005A0F0E">
              <w:rPr>
                <w:rFonts w:ascii="Times New Roman" w:hAnsi="Times New Roman" w:cs="Times New Roman"/>
                <w:noProof/>
                <w:webHidden/>
                <w:szCs w:val="24"/>
              </w:rPr>
              <w:fldChar w:fldCharType="separate"/>
            </w:r>
            <w:r w:rsidRPr="005A0F0E">
              <w:rPr>
                <w:rFonts w:ascii="Times New Roman" w:hAnsi="Times New Roman" w:cs="Times New Roman"/>
                <w:noProof/>
                <w:webHidden/>
                <w:szCs w:val="24"/>
              </w:rPr>
              <w:t>3</w:t>
            </w:r>
            <w:r w:rsidRPr="005A0F0E">
              <w:rPr>
                <w:rFonts w:ascii="Times New Roman" w:hAnsi="Times New Roman" w:cs="Times New Roman"/>
                <w:noProof/>
                <w:webHidden/>
                <w:szCs w:val="24"/>
              </w:rPr>
              <w:fldChar w:fldCharType="end"/>
            </w:r>
          </w:hyperlink>
        </w:p>
        <w:p w14:paraId="64653F5F"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47" w:history="1">
            <w:r w:rsidR="003638CC" w:rsidRPr="005A0F0E">
              <w:rPr>
                <w:rStyle w:val="Hyperlink"/>
                <w:rFonts w:ascii="Times New Roman" w:hAnsi="Times New Roman" w:cs="Times New Roman"/>
                <w:noProof/>
                <w:szCs w:val="24"/>
              </w:rPr>
              <w:t>How BP Corporation manages and controls their working capital.</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_Toc101744047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4</w:t>
            </w:r>
            <w:r w:rsidR="003638CC" w:rsidRPr="005A0F0E">
              <w:rPr>
                <w:rFonts w:ascii="Times New Roman" w:hAnsi="Times New Roman" w:cs="Times New Roman"/>
                <w:noProof/>
                <w:webHidden/>
                <w:szCs w:val="24"/>
              </w:rPr>
              <w:fldChar w:fldCharType="end"/>
            </w:r>
          </w:hyperlink>
        </w:p>
        <w:p w14:paraId="1B3D1899"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48" w:history="1">
            <w:r w:rsidR="003638CC" w:rsidRPr="005A0F0E">
              <w:rPr>
                <w:rStyle w:val="Hyperlink"/>
                <w:rFonts w:ascii="Times New Roman" w:hAnsi="Times New Roman" w:cs="Times New Roman"/>
                <w:noProof/>
                <w:szCs w:val="24"/>
                <w:lang w:val="en-GB"/>
              </w:rPr>
              <w:t>How country risks may affect BP’s investments opportunities in host countries.</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_Toc101744048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6</w:t>
            </w:r>
            <w:r w:rsidR="003638CC" w:rsidRPr="005A0F0E">
              <w:rPr>
                <w:rFonts w:ascii="Times New Roman" w:hAnsi="Times New Roman" w:cs="Times New Roman"/>
                <w:noProof/>
                <w:webHidden/>
                <w:szCs w:val="24"/>
              </w:rPr>
              <w:fldChar w:fldCharType="end"/>
            </w:r>
          </w:hyperlink>
        </w:p>
        <w:p w14:paraId="11E56D71"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49" w:history="1">
            <w:r w:rsidR="003638CC" w:rsidRPr="005A0F0E">
              <w:rPr>
                <w:rStyle w:val="Hyperlink"/>
                <w:rFonts w:ascii="Times New Roman" w:hAnsi="Times New Roman" w:cs="Times New Roman"/>
                <w:noProof/>
                <w:szCs w:val="24"/>
                <w:lang w:val="en-GB"/>
              </w:rPr>
              <w:t>Critically analyses and evaluates BP Corporation’s capital structure</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_Toc101744049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9</w:t>
            </w:r>
            <w:r w:rsidR="003638CC" w:rsidRPr="005A0F0E">
              <w:rPr>
                <w:rFonts w:ascii="Times New Roman" w:hAnsi="Times New Roman" w:cs="Times New Roman"/>
                <w:noProof/>
                <w:webHidden/>
                <w:szCs w:val="24"/>
              </w:rPr>
              <w:fldChar w:fldCharType="end"/>
            </w:r>
          </w:hyperlink>
        </w:p>
        <w:p w14:paraId="29A442F2"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50" w:history="1">
            <w:r w:rsidR="003638CC" w:rsidRPr="005A0F0E">
              <w:rPr>
                <w:rStyle w:val="Hyperlink"/>
                <w:rFonts w:ascii="Times New Roman" w:hAnsi="Times New Roman" w:cs="Times New Roman"/>
                <w:noProof/>
                <w:szCs w:val="24"/>
                <w:lang w:val="en-GB"/>
              </w:rPr>
              <w:t>Strategies that BP corporation has adopted in managing their financial risks.</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_Toc101744050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12</w:t>
            </w:r>
            <w:r w:rsidR="003638CC" w:rsidRPr="005A0F0E">
              <w:rPr>
                <w:rFonts w:ascii="Times New Roman" w:hAnsi="Times New Roman" w:cs="Times New Roman"/>
                <w:noProof/>
                <w:webHidden/>
                <w:szCs w:val="24"/>
              </w:rPr>
              <w:fldChar w:fldCharType="end"/>
            </w:r>
          </w:hyperlink>
        </w:p>
        <w:p w14:paraId="1DA90EEA"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51" w:history="1">
            <w:r w:rsidR="003638CC" w:rsidRPr="005A0F0E">
              <w:rPr>
                <w:rStyle w:val="Hyperlink"/>
                <w:rFonts w:ascii="Times New Roman" w:hAnsi="Times New Roman" w:cs="Times New Roman"/>
                <w:noProof/>
                <w:szCs w:val="24"/>
                <w:lang w:val="en-GB"/>
              </w:rPr>
              <w:t>Strategies that BP Corporation uses to manage their exposure to foreign exchange risks;</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_Toc101744051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14</w:t>
            </w:r>
            <w:r w:rsidR="003638CC" w:rsidRPr="005A0F0E">
              <w:rPr>
                <w:rFonts w:ascii="Times New Roman" w:hAnsi="Times New Roman" w:cs="Times New Roman"/>
                <w:noProof/>
                <w:webHidden/>
                <w:szCs w:val="24"/>
              </w:rPr>
              <w:fldChar w:fldCharType="end"/>
            </w:r>
          </w:hyperlink>
        </w:p>
        <w:p w14:paraId="79ADE80B" w14:textId="77777777" w:rsidR="003638CC" w:rsidRPr="005A0F0E" w:rsidRDefault="001C189D" w:rsidP="003638CC">
          <w:pPr>
            <w:pStyle w:val="TOC1"/>
            <w:tabs>
              <w:tab w:val="right" w:leader="dot" w:pos="9350"/>
            </w:tabs>
            <w:rPr>
              <w:rFonts w:ascii="Times New Roman" w:hAnsi="Times New Roman" w:cs="Times New Roman"/>
              <w:noProof/>
              <w:szCs w:val="24"/>
            </w:rPr>
          </w:pPr>
          <w:hyperlink w:anchor="_Toc101744052" w:history="1">
            <w:r w:rsidR="003638CC" w:rsidRPr="005A0F0E">
              <w:rPr>
                <w:rStyle w:val="Hyperlink"/>
                <w:rFonts w:ascii="Times New Roman" w:hAnsi="Times New Roman" w:cs="Times New Roman"/>
                <w:noProof/>
                <w:szCs w:val="24"/>
                <w:lang w:val="en-GB"/>
              </w:rPr>
              <w:t>References</w:t>
            </w:r>
            <w:r w:rsidR="003638CC" w:rsidRPr="005A0F0E">
              <w:rPr>
                <w:rFonts w:ascii="Times New Roman" w:hAnsi="Times New Roman" w:cs="Times New Roman"/>
                <w:noProof/>
                <w:webHidden/>
                <w:szCs w:val="24"/>
              </w:rPr>
              <w:tab/>
            </w:r>
            <w:r w:rsidR="003638CC" w:rsidRPr="005A0F0E">
              <w:rPr>
                <w:rFonts w:ascii="Times New Roman" w:hAnsi="Times New Roman" w:cs="Times New Roman"/>
                <w:noProof/>
                <w:webHidden/>
                <w:szCs w:val="24"/>
              </w:rPr>
              <w:fldChar w:fldCharType="begin"/>
            </w:r>
            <w:r w:rsidR="003638CC" w:rsidRPr="005A0F0E">
              <w:rPr>
                <w:rFonts w:ascii="Times New Roman" w:hAnsi="Times New Roman" w:cs="Times New Roman"/>
                <w:noProof/>
                <w:webHidden/>
                <w:szCs w:val="24"/>
              </w:rPr>
              <w:instrText xml:space="preserve"> PAGEREF _Toc101744052 \h </w:instrText>
            </w:r>
            <w:r w:rsidR="003638CC" w:rsidRPr="005A0F0E">
              <w:rPr>
                <w:rFonts w:ascii="Times New Roman" w:hAnsi="Times New Roman" w:cs="Times New Roman"/>
                <w:noProof/>
                <w:webHidden/>
                <w:szCs w:val="24"/>
              </w:rPr>
            </w:r>
            <w:r w:rsidR="003638CC" w:rsidRPr="005A0F0E">
              <w:rPr>
                <w:rFonts w:ascii="Times New Roman" w:hAnsi="Times New Roman" w:cs="Times New Roman"/>
                <w:noProof/>
                <w:webHidden/>
                <w:szCs w:val="24"/>
              </w:rPr>
              <w:fldChar w:fldCharType="separate"/>
            </w:r>
            <w:r w:rsidR="003638CC" w:rsidRPr="005A0F0E">
              <w:rPr>
                <w:rFonts w:ascii="Times New Roman" w:hAnsi="Times New Roman" w:cs="Times New Roman"/>
                <w:noProof/>
                <w:webHidden/>
                <w:szCs w:val="24"/>
              </w:rPr>
              <w:t>16</w:t>
            </w:r>
            <w:r w:rsidR="003638CC" w:rsidRPr="005A0F0E">
              <w:rPr>
                <w:rFonts w:ascii="Times New Roman" w:hAnsi="Times New Roman" w:cs="Times New Roman"/>
                <w:noProof/>
                <w:webHidden/>
                <w:szCs w:val="24"/>
              </w:rPr>
              <w:fldChar w:fldCharType="end"/>
            </w:r>
          </w:hyperlink>
        </w:p>
        <w:p w14:paraId="1FABE150" w14:textId="77777777" w:rsidR="003638CC" w:rsidRPr="005A0F0E" w:rsidRDefault="003638CC" w:rsidP="003638CC">
          <w:pPr>
            <w:rPr>
              <w:rFonts w:ascii="Times New Roman" w:hAnsi="Times New Roman" w:cs="Times New Roman"/>
              <w:szCs w:val="24"/>
            </w:rPr>
          </w:pPr>
          <w:r w:rsidRPr="005A0F0E">
            <w:rPr>
              <w:rFonts w:ascii="Times New Roman" w:hAnsi="Times New Roman" w:cs="Times New Roman"/>
              <w:b/>
              <w:bCs/>
              <w:noProof/>
              <w:szCs w:val="24"/>
            </w:rPr>
            <w:fldChar w:fldCharType="end"/>
          </w:r>
        </w:p>
      </w:sdtContent>
    </w:sdt>
    <w:p w14:paraId="1FEF8285" w14:textId="77777777" w:rsidR="003638CC" w:rsidRPr="005A0F0E" w:rsidRDefault="003638CC" w:rsidP="003638CC">
      <w:pPr>
        <w:spacing w:after="0"/>
        <w:rPr>
          <w:rFonts w:ascii="Times New Roman" w:hAnsi="Times New Roman" w:cs="Times New Roman"/>
          <w:szCs w:val="24"/>
        </w:rPr>
      </w:pPr>
    </w:p>
    <w:p w14:paraId="4D9333AB" w14:textId="1BF93563" w:rsidR="002F1DF7" w:rsidRPr="002F1DF7" w:rsidRDefault="003638CC" w:rsidP="002F1DF7">
      <w:pPr>
        <w:rPr>
          <w:rFonts w:ascii="Times New Roman" w:hAnsi="Times New Roman" w:cs="Times New Roman"/>
          <w:szCs w:val="24"/>
        </w:rPr>
      </w:pPr>
      <w:r w:rsidRPr="005A0F0E">
        <w:rPr>
          <w:rFonts w:ascii="Times New Roman" w:hAnsi="Times New Roman" w:cs="Times New Roman"/>
          <w:szCs w:val="24"/>
        </w:rPr>
        <w:br w:type="page"/>
      </w:r>
      <w:bookmarkStart w:id="0" w:name="_Toc101744046"/>
      <w:proofErr w:type="spellStart"/>
      <w:r w:rsidR="002F1DF7" w:rsidRPr="002F1DF7">
        <w:rPr>
          <w:rFonts w:ascii="Times New Roman" w:hAnsi="Times New Roman" w:cs="Times New Roman"/>
          <w:color w:val="000000" w:themeColor="text1"/>
          <w:szCs w:val="24"/>
        </w:rPr>
        <w:lastRenderedPageBreak/>
        <w:t>Teodor</w:t>
      </w:r>
      <w:proofErr w:type="spellEnd"/>
      <w:r w:rsidR="002F1DF7" w:rsidRPr="002F1DF7">
        <w:rPr>
          <w:rFonts w:ascii="Times New Roman" w:hAnsi="Times New Roman" w:cs="Times New Roman"/>
          <w:color w:val="000000" w:themeColor="text1"/>
          <w:szCs w:val="24"/>
        </w:rPr>
        <w:t xml:space="preserve"> </w:t>
      </w:r>
      <w:proofErr w:type="spellStart"/>
      <w:r w:rsidR="002F1DF7" w:rsidRPr="002F1DF7">
        <w:rPr>
          <w:rFonts w:ascii="Times New Roman" w:hAnsi="Times New Roman" w:cs="Times New Roman"/>
          <w:color w:val="000000" w:themeColor="text1"/>
          <w:szCs w:val="24"/>
        </w:rPr>
        <w:t>Angelov</w:t>
      </w:r>
      <w:proofErr w:type="spellEnd"/>
      <w:r w:rsidR="002F1DF7" w:rsidRPr="002F1DF7">
        <w:rPr>
          <w:rFonts w:ascii="Times New Roman" w:hAnsi="Times New Roman" w:cs="Times New Roman"/>
          <w:color w:val="000000" w:themeColor="text1"/>
          <w:szCs w:val="24"/>
        </w:rPr>
        <w:t xml:space="preserve">, </w:t>
      </w:r>
      <w:proofErr w:type="spellStart"/>
      <w:r w:rsidR="002F1DF7" w:rsidRPr="000814C5">
        <w:rPr>
          <w:rFonts w:ascii="Times New Roman" w:hAnsi="Times New Roman" w:cs="Times New Roman"/>
          <w:color w:val="000000" w:themeColor="text1"/>
          <w:szCs w:val="24"/>
          <w:lang w:val="en-GB"/>
        </w:rPr>
        <w:t>Desislava</w:t>
      </w:r>
      <w:proofErr w:type="spellEnd"/>
      <w:r w:rsidR="002F1DF7" w:rsidRPr="000814C5">
        <w:rPr>
          <w:rFonts w:ascii="Times New Roman" w:hAnsi="Times New Roman" w:cs="Times New Roman"/>
          <w:color w:val="000000" w:themeColor="text1"/>
          <w:szCs w:val="24"/>
          <w:lang w:val="en-GB"/>
        </w:rPr>
        <w:t xml:space="preserve"> </w:t>
      </w:r>
      <w:proofErr w:type="spellStart"/>
      <w:r w:rsidR="002F1DF7" w:rsidRPr="000814C5">
        <w:rPr>
          <w:rFonts w:ascii="Times New Roman" w:hAnsi="Times New Roman" w:cs="Times New Roman"/>
          <w:color w:val="000000" w:themeColor="text1"/>
          <w:szCs w:val="24"/>
          <w:lang w:val="en-GB"/>
        </w:rPr>
        <w:t>Zhelyazkova</w:t>
      </w:r>
      <w:proofErr w:type="spellEnd"/>
      <w:r w:rsidR="002F1DF7" w:rsidRPr="002F1DF7">
        <w:rPr>
          <w:rFonts w:ascii="Times New Roman" w:hAnsi="Times New Roman" w:cs="Times New Roman"/>
          <w:color w:val="000000" w:themeColor="text1"/>
          <w:szCs w:val="24"/>
          <w:lang w:val="en-GB"/>
        </w:rPr>
        <w:t xml:space="preserve">, </w:t>
      </w:r>
      <w:r w:rsidR="002F1DF7" w:rsidRPr="000814C5">
        <w:rPr>
          <w:rFonts w:ascii="Times New Roman" w:hAnsi="Times New Roman" w:cs="Times New Roman"/>
          <w:color w:val="000000" w:themeColor="text1"/>
          <w:szCs w:val="24"/>
          <w:lang w:val="en-GB"/>
        </w:rPr>
        <w:t xml:space="preserve">Petya </w:t>
      </w:r>
      <w:proofErr w:type="spellStart"/>
      <w:r w:rsidR="002F1DF7" w:rsidRPr="000814C5">
        <w:rPr>
          <w:rFonts w:ascii="Times New Roman" w:hAnsi="Times New Roman" w:cs="Times New Roman"/>
          <w:color w:val="000000" w:themeColor="text1"/>
          <w:szCs w:val="24"/>
          <w:lang w:val="en-GB"/>
        </w:rPr>
        <w:t>Niklenova</w:t>
      </w:r>
      <w:proofErr w:type="spellEnd"/>
      <w:r w:rsidR="002F1DF7" w:rsidRPr="002F1DF7">
        <w:rPr>
          <w:rFonts w:ascii="Times New Roman" w:hAnsi="Times New Roman" w:cs="Times New Roman"/>
          <w:color w:val="000000" w:themeColor="text1"/>
          <w:szCs w:val="24"/>
          <w:lang w:val="en-GB"/>
        </w:rPr>
        <w:t xml:space="preserve">, </w:t>
      </w:r>
      <w:proofErr w:type="spellStart"/>
      <w:r w:rsidR="002F1DF7" w:rsidRPr="000814C5">
        <w:rPr>
          <w:rFonts w:ascii="Times New Roman" w:hAnsi="Times New Roman" w:cs="Times New Roman"/>
          <w:color w:val="000000" w:themeColor="text1"/>
          <w:szCs w:val="24"/>
          <w:lang w:val="en-GB"/>
        </w:rPr>
        <w:t>Veselin</w:t>
      </w:r>
      <w:proofErr w:type="spellEnd"/>
      <w:r w:rsidR="002F1DF7" w:rsidRPr="000814C5">
        <w:rPr>
          <w:rFonts w:ascii="Times New Roman" w:hAnsi="Times New Roman" w:cs="Times New Roman"/>
          <w:color w:val="000000" w:themeColor="text1"/>
          <w:szCs w:val="24"/>
          <w:lang w:val="en-GB"/>
        </w:rPr>
        <w:t xml:space="preserve"> Ivanov</w:t>
      </w:r>
    </w:p>
    <w:p w14:paraId="35AA419D" w14:textId="6BF5BE52" w:rsidR="003638CC" w:rsidRPr="005A0F0E" w:rsidRDefault="003638CC" w:rsidP="003638CC">
      <w:pPr>
        <w:pStyle w:val="Heading1"/>
        <w:rPr>
          <w:rFonts w:ascii="Times New Roman" w:hAnsi="Times New Roman" w:cs="Times New Roman"/>
          <w:sz w:val="24"/>
          <w:szCs w:val="24"/>
        </w:rPr>
      </w:pPr>
      <w:r w:rsidRPr="005A0F0E">
        <w:rPr>
          <w:rFonts w:ascii="Times New Roman" w:hAnsi="Times New Roman" w:cs="Times New Roman"/>
          <w:sz w:val="24"/>
          <w:szCs w:val="24"/>
        </w:rPr>
        <w:t>Introduction</w:t>
      </w:r>
      <w:bookmarkEnd w:id="0"/>
    </w:p>
    <w:p w14:paraId="5FA3E812" w14:textId="77777777" w:rsidR="003638CC" w:rsidRPr="005A0F0E" w:rsidRDefault="003638CC" w:rsidP="003638CC">
      <w:pPr>
        <w:spacing w:after="0" w:line="480" w:lineRule="auto"/>
        <w:ind w:firstLine="720"/>
        <w:rPr>
          <w:rFonts w:ascii="Times New Roman" w:hAnsi="Times New Roman" w:cs="Times New Roman"/>
          <w:szCs w:val="24"/>
        </w:rPr>
      </w:pPr>
      <w:r w:rsidRPr="005A0F0E">
        <w:rPr>
          <w:rFonts w:ascii="Times New Roman" w:hAnsi="Times New Roman" w:cs="Times New Roman"/>
          <w:szCs w:val="24"/>
        </w:rPr>
        <w:t xml:space="preserve">Financial economics activities rely heavily on international finance management. It mostly deals with concerns surrounding international monetary transactions involving two or more countries. Currency exchange rates, financial systems around the world, foreign investment, and other major worldwide financial issues and corporate operations are the subject of international finance management. Multinational companies (MNCs) evolve from businesses that take advantage of international prospects. Their financial managers must be able to analyses the worldwide environment, spot possibilities, put plans in place, estimate risk exposure, and manage risk. Profits and financial freedom are rewarded to MNCs that are most capable of responding to changes in the worldwide financial environment. BP PLC is one of the leading companies in the petroleum market dealing with oil and gas products. Among the factors leading to the continued success of the company include their financial management global protocol as analyzed this paper. </w:t>
      </w:r>
    </w:p>
    <w:p w14:paraId="15944872" w14:textId="77777777" w:rsidR="009119A6" w:rsidRDefault="003638CC" w:rsidP="009119A6">
      <w:pPr>
        <w:pStyle w:val="Heading1"/>
        <w:rPr>
          <w:rFonts w:ascii="Times New Roman" w:hAnsi="Times New Roman" w:cs="Times New Roman"/>
          <w:sz w:val="24"/>
          <w:szCs w:val="24"/>
        </w:rPr>
      </w:pPr>
      <w:r w:rsidRPr="005A0F0E">
        <w:rPr>
          <w:rFonts w:ascii="Times New Roman" w:hAnsi="Times New Roman" w:cs="Times New Roman"/>
          <w:sz w:val="24"/>
          <w:szCs w:val="24"/>
        </w:rPr>
        <w:br w:type="page"/>
      </w:r>
      <w:bookmarkStart w:id="1" w:name="_Toc101744047"/>
      <w:r w:rsidRPr="005A0F0E">
        <w:rPr>
          <w:rFonts w:ascii="Times New Roman" w:hAnsi="Times New Roman" w:cs="Times New Roman"/>
          <w:sz w:val="24"/>
          <w:szCs w:val="24"/>
        </w:rPr>
        <w:lastRenderedPageBreak/>
        <w:t>How BP Corporation manages and controls their working capital.</w:t>
      </w:r>
      <w:bookmarkEnd w:id="1"/>
      <w:r w:rsidR="009119A6">
        <w:rPr>
          <w:rFonts w:ascii="Times New Roman" w:hAnsi="Times New Roman" w:cs="Times New Roman"/>
          <w:sz w:val="24"/>
          <w:szCs w:val="24"/>
        </w:rPr>
        <w:t xml:space="preserve"> - </w:t>
      </w:r>
      <w:proofErr w:type="spellStart"/>
      <w:r w:rsidR="009119A6" w:rsidRPr="009119A6">
        <w:rPr>
          <w:rFonts w:ascii="Times New Roman" w:hAnsi="Times New Roman" w:cs="Times New Roman"/>
          <w:color w:val="000000" w:themeColor="text1"/>
          <w:sz w:val="24"/>
          <w:szCs w:val="24"/>
          <w:highlight w:val="yellow"/>
        </w:rPr>
        <w:t>Teodor</w:t>
      </w:r>
      <w:proofErr w:type="spellEnd"/>
      <w:r w:rsidR="009119A6" w:rsidRPr="009119A6">
        <w:rPr>
          <w:rFonts w:ascii="Times New Roman" w:hAnsi="Times New Roman" w:cs="Times New Roman"/>
          <w:color w:val="000000" w:themeColor="text1"/>
          <w:sz w:val="24"/>
          <w:szCs w:val="24"/>
          <w:highlight w:val="yellow"/>
        </w:rPr>
        <w:t xml:space="preserve"> </w:t>
      </w:r>
      <w:proofErr w:type="spellStart"/>
      <w:r w:rsidR="009119A6" w:rsidRPr="009119A6">
        <w:rPr>
          <w:rFonts w:ascii="Times New Roman" w:hAnsi="Times New Roman" w:cs="Times New Roman"/>
          <w:color w:val="000000" w:themeColor="text1"/>
          <w:sz w:val="24"/>
          <w:szCs w:val="24"/>
          <w:highlight w:val="yellow"/>
        </w:rPr>
        <w:t>Angelov</w:t>
      </w:r>
      <w:proofErr w:type="spellEnd"/>
    </w:p>
    <w:p w14:paraId="701AE390" w14:textId="77777777" w:rsidR="003638CC" w:rsidRPr="005A0F0E" w:rsidRDefault="003638CC" w:rsidP="009119A6">
      <w:pPr>
        <w:spacing w:after="0" w:line="480" w:lineRule="auto"/>
        <w:rPr>
          <w:rFonts w:ascii="Times New Roman" w:hAnsi="Times New Roman" w:cs="Times New Roman"/>
          <w:szCs w:val="24"/>
          <w:lang w:val="en-GB"/>
        </w:rPr>
      </w:pPr>
      <w:r w:rsidRPr="005A0F0E">
        <w:rPr>
          <w:rFonts w:ascii="Times New Roman" w:hAnsi="Times New Roman" w:cs="Times New Roman"/>
          <w:szCs w:val="24"/>
          <w:lang w:val="en-GB"/>
        </w:rPr>
        <w:t>Working capital analysis is the managing of an organizations ability to pay financial demands. This includes keeping a reasonable balance of profitability of the company like as receivables, inventories, and accounts payable, as well as correctly using cash for the day operations. Working capital balance management comprises lowering working capital needs while increasing income. Working capital management that is effective increases a corporation's free cash flow. which boosts its growth potential and returns to shareholders (</w:t>
      </w:r>
      <w:r w:rsidRPr="005A0F0E">
        <w:rPr>
          <w:rFonts w:ascii="Times New Roman" w:hAnsi="Times New Roman" w:cs="Times New Roman"/>
          <w:color w:val="222222"/>
          <w:szCs w:val="24"/>
          <w:shd w:val="clear" w:color="auto" w:fill="FFFFFF"/>
        </w:rPr>
        <w:t xml:space="preserve">Martin, Keown, and Titman, 2020) </w:t>
      </w:r>
      <w:r w:rsidRPr="005A0F0E">
        <w:rPr>
          <w:rFonts w:ascii="Times New Roman" w:hAnsi="Times New Roman" w:cs="Times New Roman"/>
          <w:szCs w:val="24"/>
          <w:lang w:val="en-GB"/>
        </w:rPr>
        <w:t xml:space="preserve">In today's market, </w:t>
      </w:r>
      <w:proofErr w:type="gramStart"/>
      <w:r w:rsidRPr="005A0F0E">
        <w:rPr>
          <w:rFonts w:ascii="Times New Roman" w:hAnsi="Times New Roman" w:cs="Times New Roman"/>
          <w:szCs w:val="24"/>
          <w:lang w:val="en-GB"/>
        </w:rPr>
        <w:t>the majority of</w:t>
      </w:r>
      <w:proofErr w:type="gramEnd"/>
      <w:r w:rsidRPr="005A0F0E">
        <w:rPr>
          <w:rFonts w:ascii="Times New Roman" w:hAnsi="Times New Roman" w:cs="Times New Roman"/>
          <w:szCs w:val="24"/>
          <w:lang w:val="en-GB"/>
        </w:rPr>
        <w:t xml:space="preserve"> BP Plc investment managers are seeking for prospective investment opportunities by examining a number of BP Plc expansion rates as well as constant indicators. Fundamental ratios that rise or decline over time generally suggest a prospective pattern that may be successfully turned into earnings.</w:t>
      </w:r>
    </w:p>
    <w:p w14:paraId="529905F8"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BP Plc uses working capital as a criterion to evaluate its performance and service liquidity. Working capital is a crucial measure of an organizations ability to enhance operations. It is computed by subtracting current obligations from current assets regularly without incurring additional debt (</w:t>
      </w:r>
      <w:r w:rsidRPr="005A0F0E">
        <w:rPr>
          <w:rFonts w:ascii="Times New Roman" w:hAnsi="Times New Roman" w:cs="Times New Roman"/>
          <w:color w:val="222222"/>
          <w:szCs w:val="24"/>
          <w:shd w:val="clear" w:color="auto" w:fill="FFFFFF"/>
        </w:rPr>
        <w:t xml:space="preserve">Shapiro, and </w:t>
      </w:r>
      <w:proofErr w:type="spellStart"/>
      <w:r w:rsidRPr="005A0F0E">
        <w:rPr>
          <w:rFonts w:ascii="Times New Roman" w:hAnsi="Times New Roman" w:cs="Times New Roman"/>
          <w:color w:val="222222"/>
          <w:szCs w:val="24"/>
          <w:shd w:val="clear" w:color="auto" w:fill="FFFFFF"/>
        </w:rPr>
        <w:t>Hanouna</w:t>
      </w:r>
      <w:proofErr w:type="spellEnd"/>
      <w:r w:rsidRPr="005A0F0E">
        <w:rPr>
          <w:rFonts w:ascii="Times New Roman" w:hAnsi="Times New Roman" w:cs="Times New Roman"/>
          <w:color w:val="222222"/>
          <w:szCs w:val="24"/>
          <w:shd w:val="clear" w:color="auto" w:fill="FFFFFF"/>
        </w:rPr>
        <w:t>, 2019)</w:t>
      </w:r>
      <w:r w:rsidRPr="005A0F0E">
        <w:rPr>
          <w:rFonts w:ascii="Times New Roman" w:hAnsi="Times New Roman" w:cs="Times New Roman"/>
          <w:szCs w:val="24"/>
          <w:lang w:val="en-GB"/>
        </w:rPr>
        <w:t xml:space="preserve">. In comparison to previous years, BP Plc Invested Capital is now </w:t>
      </w:r>
      <w:proofErr w:type="gramStart"/>
      <w:r w:rsidRPr="005A0F0E">
        <w:rPr>
          <w:rFonts w:ascii="Times New Roman" w:hAnsi="Times New Roman" w:cs="Times New Roman"/>
          <w:szCs w:val="24"/>
          <w:lang w:val="en-GB"/>
        </w:rPr>
        <w:t>fairly steady</w:t>
      </w:r>
      <w:proofErr w:type="gramEnd"/>
      <w:r w:rsidRPr="005A0F0E">
        <w:rPr>
          <w:rFonts w:ascii="Times New Roman" w:hAnsi="Times New Roman" w:cs="Times New Roman"/>
          <w:szCs w:val="24"/>
          <w:lang w:val="en-GB"/>
        </w:rPr>
        <w:t xml:space="preserve">. Last year, BP Plc reported a total invested capital of 246.45 billion pounds. As of </w:t>
      </w:r>
      <w:proofErr w:type="gramStart"/>
      <w:r w:rsidRPr="005A0F0E">
        <w:rPr>
          <w:rFonts w:ascii="Times New Roman" w:hAnsi="Times New Roman" w:cs="Times New Roman"/>
          <w:szCs w:val="24"/>
          <w:lang w:val="en-GB"/>
        </w:rPr>
        <w:t>April,</w:t>
      </w:r>
      <w:proofErr w:type="gramEnd"/>
      <w:r w:rsidRPr="005A0F0E">
        <w:rPr>
          <w:rFonts w:ascii="Times New Roman" w:hAnsi="Times New Roman" w:cs="Times New Roman"/>
          <w:szCs w:val="24"/>
          <w:lang w:val="en-GB"/>
        </w:rPr>
        <w:t xml:space="preserve"> 2022, the Invested Capital Average is expected to rise to around 276.9 billion dollars, while Working Capital is expected to fall by roughly 10.9 billion dollars (</w:t>
      </w:r>
      <w:r w:rsidRPr="005A0F0E">
        <w:rPr>
          <w:rFonts w:ascii="Times New Roman" w:hAnsi="Times New Roman" w:cs="Times New Roman"/>
          <w:color w:val="000000"/>
          <w:szCs w:val="24"/>
          <w:shd w:val="clear" w:color="auto" w:fill="FFFFFF"/>
        </w:rPr>
        <w:t>BP. 2022. </w:t>
      </w:r>
      <w:r w:rsidRPr="005A0F0E">
        <w:rPr>
          <w:rFonts w:ascii="Times New Roman" w:hAnsi="Times New Roman" w:cs="Times New Roman"/>
          <w:i/>
          <w:iCs/>
          <w:color w:val="000000"/>
          <w:szCs w:val="24"/>
          <w:shd w:val="clear" w:color="auto" w:fill="FFFFFF"/>
        </w:rPr>
        <w:t>Annual Report and Form 20-F 2021)</w:t>
      </w:r>
      <w:r w:rsidRPr="005A0F0E">
        <w:rPr>
          <w:rFonts w:ascii="Times New Roman" w:hAnsi="Times New Roman" w:cs="Times New Roman"/>
          <w:szCs w:val="24"/>
          <w:lang w:val="en-GB"/>
        </w:rPr>
        <w:t xml:space="preserve">. The key accounts in BP Plc's financial reports are all linked and interdependent, hence it is critical for the managers to </w:t>
      </w:r>
      <w:proofErr w:type="gramStart"/>
      <w:r w:rsidRPr="005A0F0E">
        <w:rPr>
          <w:rFonts w:ascii="Times New Roman" w:hAnsi="Times New Roman" w:cs="Times New Roman"/>
          <w:szCs w:val="24"/>
          <w:lang w:val="en-GB"/>
        </w:rPr>
        <w:t>look into</w:t>
      </w:r>
      <w:proofErr w:type="gramEnd"/>
      <w:r w:rsidRPr="005A0F0E">
        <w:rPr>
          <w:rFonts w:ascii="Times New Roman" w:hAnsi="Times New Roman" w:cs="Times New Roman"/>
          <w:szCs w:val="24"/>
          <w:lang w:val="en-GB"/>
        </w:rPr>
        <w:t xml:space="preserve"> any conceivable connections between related accounts.</w:t>
      </w:r>
    </w:p>
    <w:p w14:paraId="5386E245" w14:textId="77777777" w:rsidR="003638CC" w:rsidRPr="005A0F0E" w:rsidRDefault="003638CC" w:rsidP="003638CC">
      <w:pPr>
        <w:spacing w:after="0" w:line="480" w:lineRule="auto"/>
        <w:ind w:firstLine="720"/>
        <w:rPr>
          <w:rFonts w:ascii="Times New Roman" w:hAnsi="Times New Roman" w:cs="Times New Roman"/>
          <w:color w:val="000000"/>
          <w:szCs w:val="24"/>
          <w:shd w:val="clear" w:color="auto" w:fill="FFFFFF"/>
        </w:rPr>
      </w:pPr>
      <w:r w:rsidRPr="005A0F0E">
        <w:rPr>
          <w:rFonts w:ascii="Times New Roman" w:hAnsi="Times New Roman" w:cs="Times New Roman"/>
          <w:szCs w:val="24"/>
          <w:lang w:val="en-GB"/>
        </w:rPr>
        <w:t xml:space="preserve">BP has been a leader in creating high underlying profits and working capital while retaining a commitment to safe and dependable operations. The firm has worked hard to provide </w:t>
      </w:r>
      <w:r w:rsidRPr="005A0F0E">
        <w:rPr>
          <w:rFonts w:ascii="Times New Roman" w:hAnsi="Times New Roman" w:cs="Times New Roman"/>
          <w:szCs w:val="24"/>
          <w:lang w:val="en-GB"/>
        </w:rPr>
        <w:lastRenderedPageBreak/>
        <w:t>substantial cash to improve our finances, increase shareholder pay-outs, and invest in our strategic change. Some of the activities the corporation engages in include meeting a six-year objective for major project completion on time and on budget. A $1.25 billion repurchase is intended to meet the company's commitment to dividends (</w:t>
      </w:r>
      <w:r w:rsidRPr="005A0F0E">
        <w:rPr>
          <w:rFonts w:ascii="Times New Roman" w:hAnsi="Times New Roman" w:cs="Times New Roman"/>
          <w:color w:val="000000"/>
          <w:szCs w:val="24"/>
          <w:shd w:val="clear" w:color="auto" w:fill="FFFFFF"/>
        </w:rPr>
        <w:t xml:space="preserve">BP. 2022 </w:t>
      </w:r>
      <w:r w:rsidRPr="005A0F0E">
        <w:rPr>
          <w:rFonts w:ascii="Times New Roman" w:hAnsi="Times New Roman" w:cs="Times New Roman"/>
          <w:i/>
          <w:iCs/>
          <w:color w:val="000000"/>
          <w:szCs w:val="24"/>
          <w:shd w:val="clear" w:color="auto" w:fill="FFFFFF"/>
        </w:rPr>
        <w:t>Fourth quarter and full year 2021 results</w:t>
      </w:r>
      <w:r w:rsidRPr="005A0F0E">
        <w:rPr>
          <w:rFonts w:ascii="Times New Roman" w:hAnsi="Times New Roman" w:cs="Times New Roman"/>
          <w:color w:val="000000"/>
          <w:szCs w:val="24"/>
          <w:shd w:val="clear" w:color="auto" w:fill="FFFFFF"/>
        </w:rPr>
        <w:t>)</w:t>
      </w:r>
      <w:r w:rsidRPr="005A0F0E">
        <w:rPr>
          <w:rFonts w:ascii="Times New Roman" w:hAnsi="Times New Roman" w:cs="Times New Roman"/>
          <w:szCs w:val="24"/>
          <w:lang w:val="en-GB"/>
        </w:rPr>
        <w:t>. Continued net debt reduction is supported by strong underlying profitability and cash flow. Continuation of momentum is key vital sectors.</w:t>
      </w:r>
    </w:p>
    <w:p w14:paraId="78A34F79"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The push for a stable cash flow, such as their management of activities and sales, payment terms and timeliness, and collections and billing procedure, are best practices that grow the financial position of the BP PLC as a firm. Digital technology can aid in the maintenance and generation of cash flow. Automation solutions and powerful software capabilities make cash flow management and internal efficiency improvements much easier. This gives BP PLC extra liquidity by allowing them to retain their cash reserves for longer. Working capital cash flow may also be used as a source of finance for expansion and improvement initiatives.</w:t>
      </w:r>
    </w:p>
    <w:p w14:paraId="2C2CD011"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BP PLC's key focus continues to be strengthening cash flow. However, considerable obstacles must be overcome </w:t>
      </w:r>
      <w:proofErr w:type="gramStart"/>
      <w:r w:rsidRPr="005A0F0E">
        <w:rPr>
          <w:rFonts w:ascii="Times New Roman" w:hAnsi="Times New Roman" w:cs="Times New Roman"/>
          <w:szCs w:val="24"/>
          <w:lang w:val="en-GB"/>
        </w:rPr>
        <w:t>in order to</w:t>
      </w:r>
      <w:proofErr w:type="gramEnd"/>
      <w:r w:rsidRPr="005A0F0E">
        <w:rPr>
          <w:rFonts w:ascii="Times New Roman" w:hAnsi="Times New Roman" w:cs="Times New Roman"/>
          <w:szCs w:val="24"/>
          <w:lang w:val="en-GB"/>
        </w:rPr>
        <w:t xml:space="preserve"> promote advancement in terms of availability, management, and forecasting (</w:t>
      </w:r>
      <w:r w:rsidRPr="005A0F0E">
        <w:rPr>
          <w:rFonts w:ascii="Times New Roman" w:hAnsi="Times New Roman" w:cs="Times New Roman"/>
          <w:color w:val="222222"/>
          <w:szCs w:val="24"/>
          <w:shd w:val="clear" w:color="auto" w:fill="FFFFFF"/>
        </w:rPr>
        <w:t xml:space="preserve">Bekaert, and </w:t>
      </w:r>
      <w:proofErr w:type="spellStart"/>
      <w:r w:rsidRPr="005A0F0E">
        <w:rPr>
          <w:rFonts w:ascii="Times New Roman" w:hAnsi="Times New Roman" w:cs="Times New Roman"/>
          <w:color w:val="222222"/>
          <w:szCs w:val="24"/>
          <w:shd w:val="clear" w:color="auto" w:fill="FFFFFF"/>
        </w:rPr>
        <w:t>Hodrick</w:t>
      </w:r>
      <w:proofErr w:type="spellEnd"/>
      <w:r w:rsidRPr="005A0F0E">
        <w:rPr>
          <w:rFonts w:ascii="Times New Roman" w:hAnsi="Times New Roman" w:cs="Times New Roman"/>
          <w:color w:val="222222"/>
          <w:szCs w:val="24"/>
          <w:shd w:val="clear" w:color="auto" w:fill="FFFFFF"/>
        </w:rPr>
        <w:t>, 2013)</w:t>
      </w:r>
      <w:r w:rsidRPr="005A0F0E">
        <w:rPr>
          <w:rFonts w:ascii="Times New Roman" w:hAnsi="Times New Roman" w:cs="Times New Roman"/>
          <w:szCs w:val="24"/>
          <w:lang w:val="en-GB"/>
        </w:rPr>
        <w:t>. For the petroleum industry, the future will be crucial. There is no one-size-fits-all method for increasing a company's working capital. BP PLC will need to continuously innovate to maximize cash flow while embracing a cash culture and making sure you have defined cash flow management targets for a specific term, even though each industry has priority areas for intervention.</w:t>
      </w:r>
    </w:p>
    <w:p w14:paraId="2A4CEE5F" w14:textId="48016DE8" w:rsidR="003638CC" w:rsidRPr="009119A6" w:rsidRDefault="003638CC" w:rsidP="009119A6">
      <w:pPr>
        <w:rPr>
          <w:rFonts w:ascii="Times New Roman" w:hAnsi="Times New Roman" w:cs="Times New Roman"/>
          <w:b/>
          <w:bCs/>
          <w:szCs w:val="24"/>
          <w:lang w:val="en-GB"/>
        </w:rPr>
      </w:pPr>
      <w:r w:rsidRPr="005A0F0E">
        <w:rPr>
          <w:rFonts w:ascii="Times New Roman" w:hAnsi="Times New Roman" w:cs="Times New Roman"/>
          <w:b/>
          <w:bCs/>
          <w:szCs w:val="24"/>
          <w:lang w:val="en-GB"/>
        </w:rPr>
        <w:br w:type="page"/>
      </w:r>
      <w:bookmarkStart w:id="2" w:name="_Toc101744048"/>
      <w:r w:rsidRPr="005A0F0E">
        <w:rPr>
          <w:rFonts w:ascii="Times New Roman" w:hAnsi="Times New Roman" w:cs="Times New Roman"/>
          <w:szCs w:val="24"/>
          <w:lang w:val="en-GB"/>
        </w:rPr>
        <w:lastRenderedPageBreak/>
        <w:t>How country risks may affect BP’s investments opportunities in host countries.</w:t>
      </w:r>
      <w:bookmarkEnd w:id="2"/>
      <w:r w:rsidR="009119A6">
        <w:rPr>
          <w:rFonts w:ascii="Times New Roman" w:hAnsi="Times New Roman" w:cs="Times New Roman"/>
          <w:szCs w:val="24"/>
          <w:lang w:val="en-GB"/>
        </w:rPr>
        <w:t xml:space="preserve"> - </w:t>
      </w:r>
      <w:proofErr w:type="spellStart"/>
      <w:r w:rsidR="009119A6" w:rsidRPr="000814C5">
        <w:rPr>
          <w:rFonts w:ascii="Times New Roman" w:hAnsi="Times New Roman" w:cs="Times New Roman"/>
          <w:color w:val="000000" w:themeColor="text1"/>
          <w:szCs w:val="24"/>
          <w:highlight w:val="yellow"/>
          <w:lang w:val="en-GB"/>
        </w:rPr>
        <w:t>Desislava</w:t>
      </w:r>
      <w:proofErr w:type="spellEnd"/>
      <w:r w:rsidR="009119A6" w:rsidRPr="000814C5">
        <w:rPr>
          <w:rFonts w:ascii="Times New Roman" w:hAnsi="Times New Roman" w:cs="Times New Roman"/>
          <w:color w:val="000000" w:themeColor="text1"/>
          <w:szCs w:val="24"/>
          <w:highlight w:val="yellow"/>
          <w:lang w:val="en-GB"/>
        </w:rPr>
        <w:t xml:space="preserve"> </w:t>
      </w:r>
      <w:proofErr w:type="spellStart"/>
      <w:r w:rsidR="009119A6" w:rsidRPr="000814C5">
        <w:rPr>
          <w:rFonts w:ascii="Times New Roman" w:hAnsi="Times New Roman" w:cs="Times New Roman"/>
          <w:color w:val="000000" w:themeColor="text1"/>
          <w:szCs w:val="24"/>
          <w:highlight w:val="yellow"/>
          <w:lang w:val="en-GB"/>
        </w:rPr>
        <w:t>Zhelyazkova</w:t>
      </w:r>
      <w:proofErr w:type="spellEnd"/>
    </w:p>
    <w:p w14:paraId="64618980"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Many investors' portfolios command a significant </w:t>
      </w:r>
      <w:proofErr w:type="gramStart"/>
      <w:r w:rsidRPr="005A0F0E">
        <w:rPr>
          <w:rFonts w:ascii="Times New Roman" w:hAnsi="Times New Roman" w:cs="Times New Roman"/>
          <w:szCs w:val="24"/>
          <w:lang w:val="en-GB"/>
        </w:rPr>
        <w:t>amount</w:t>
      </w:r>
      <w:proofErr w:type="gramEnd"/>
      <w:r w:rsidRPr="005A0F0E">
        <w:rPr>
          <w:rFonts w:ascii="Times New Roman" w:hAnsi="Times New Roman" w:cs="Times New Roman"/>
          <w:szCs w:val="24"/>
          <w:lang w:val="en-GB"/>
        </w:rPr>
        <w:t xml:space="preserve"> of foreign securities. Companies must understand that foreign investment needs a comprehensive examination of a diverse range of equity funds, exchange-traded funds, and stocks and bonds offerings; </w:t>
      </w:r>
      <w:proofErr w:type="gramStart"/>
      <w:r w:rsidRPr="005A0F0E">
        <w:rPr>
          <w:rFonts w:ascii="Times New Roman" w:hAnsi="Times New Roman" w:cs="Times New Roman"/>
          <w:szCs w:val="24"/>
          <w:lang w:val="en-GB"/>
        </w:rPr>
        <w:t>yet,</w:t>
      </w:r>
      <w:proofErr w:type="gramEnd"/>
      <w:r w:rsidRPr="005A0F0E">
        <w:rPr>
          <w:rFonts w:ascii="Times New Roman" w:hAnsi="Times New Roman" w:cs="Times New Roman"/>
          <w:szCs w:val="24"/>
          <w:lang w:val="en-GB"/>
        </w:rPr>
        <w:t xml:space="preserve"> investors usually overlook a critical initial step in the global requires a great deal. The very first step in deciding </w:t>
      </w:r>
      <w:proofErr w:type="gramStart"/>
      <w:r w:rsidRPr="005A0F0E">
        <w:rPr>
          <w:rFonts w:ascii="Times New Roman" w:hAnsi="Times New Roman" w:cs="Times New Roman"/>
          <w:szCs w:val="24"/>
          <w:lang w:val="en-GB"/>
        </w:rPr>
        <w:t>whether or not</w:t>
      </w:r>
      <w:proofErr w:type="gramEnd"/>
      <w:r w:rsidRPr="005A0F0E">
        <w:rPr>
          <w:rFonts w:ascii="Times New Roman" w:hAnsi="Times New Roman" w:cs="Times New Roman"/>
          <w:szCs w:val="24"/>
          <w:lang w:val="en-GB"/>
        </w:rPr>
        <w:t xml:space="preserve"> to invest overseas is to assess the susceptibility of the nation in question's business climate. Country risk is a component of the financial, geopolitical, and business risks specific to a country, and it can result in unanticipated investment losses (</w:t>
      </w:r>
      <w:r w:rsidRPr="005A0F0E">
        <w:rPr>
          <w:rFonts w:ascii="Times New Roman" w:hAnsi="Times New Roman" w:cs="Times New Roman"/>
          <w:color w:val="222222"/>
          <w:szCs w:val="24"/>
          <w:shd w:val="clear" w:color="auto" w:fill="FFFFFF"/>
        </w:rPr>
        <w:t xml:space="preserve">Shapiro, and </w:t>
      </w:r>
      <w:proofErr w:type="spellStart"/>
      <w:r w:rsidRPr="005A0F0E">
        <w:rPr>
          <w:rFonts w:ascii="Times New Roman" w:hAnsi="Times New Roman" w:cs="Times New Roman"/>
          <w:color w:val="222222"/>
          <w:szCs w:val="24"/>
          <w:shd w:val="clear" w:color="auto" w:fill="FFFFFF"/>
        </w:rPr>
        <w:t>Hanouna</w:t>
      </w:r>
      <w:proofErr w:type="spellEnd"/>
      <w:r w:rsidRPr="005A0F0E">
        <w:rPr>
          <w:rFonts w:ascii="Times New Roman" w:hAnsi="Times New Roman" w:cs="Times New Roman"/>
          <w:color w:val="222222"/>
          <w:szCs w:val="24"/>
          <w:shd w:val="clear" w:color="auto" w:fill="FFFFFF"/>
        </w:rPr>
        <w:t>, 2019)</w:t>
      </w:r>
      <w:r w:rsidRPr="005A0F0E">
        <w:rPr>
          <w:rFonts w:ascii="Times New Roman" w:hAnsi="Times New Roman" w:cs="Times New Roman"/>
          <w:szCs w:val="24"/>
          <w:lang w:val="en-GB"/>
        </w:rPr>
        <w:t xml:space="preserve">. It is therefore important for BP PLC to access the respective country risks and analyse them before increasing their investment in the market or introducing their products in new concept country. Some of the country risks that BP Plc needs to consider are the economic and political risks, sovereign risk, competitor risk. </w:t>
      </w:r>
    </w:p>
    <w:p w14:paraId="0CE4EF49"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Political risk suggests that government activities that might cause investors to suffer an unanticipated loss. Political risk is described as a country's willingness to service the debt or create a business-friendly atmosphere, whereas economic risk is defined as a state's ability to meet its debts (</w:t>
      </w:r>
      <w:r w:rsidRPr="005A0F0E">
        <w:rPr>
          <w:rFonts w:ascii="Times New Roman" w:hAnsi="Times New Roman" w:cs="Times New Roman"/>
          <w:color w:val="222222"/>
          <w:szCs w:val="24"/>
          <w:shd w:val="clear" w:color="auto" w:fill="FFFFFF"/>
        </w:rPr>
        <w:t>Brink, 2017)</w:t>
      </w:r>
      <w:r w:rsidRPr="005A0F0E">
        <w:rPr>
          <w:rFonts w:ascii="Times New Roman" w:hAnsi="Times New Roman" w:cs="Times New Roman"/>
          <w:szCs w:val="24"/>
          <w:lang w:val="en-GB"/>
        </w:rPr>
        <w:t>. Even though a country's economy is strong, it may not be a suitable location to invest if its political atmosphere is unfriendly to foreign investors or becomes hostile.</w:t>
      </w:r>
    </w:p>
    <w:p w14:paraId="45BC79B1"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Politics may have had a huge regulatory influence on oil, but it is not the only option. A system of guidelines governs BP PLC, limiting where, when, and how exploitation is carried out. The interpretation of rules and regulations differs by state. In most cases, political risks for BP PLC arise when the company needs to invest while their deposits </w:t>
      </w:r>
      <w:proofErr w:type="gramStart"/>
      <w:r w:rsidRPr="005A0F0E">
        <w:rPr>
          <w:rFonts w:ascii="Times New Roman" w:hAnsi="Times New Roman" w:cs="Times New Roman"/>
          <w:szCs w:val="24"/>
          <w:lang w:val="en-GB"/>
        </w:rPr>
        <w:t>are located in</w:t>
      </w:r>
      <w:proofErr w:type="gramEnd"/>
      <w:r w:rsidRPr="005A0F0E">
        <w:rPr>
          <w:rFonts w:ascii="Times New Roman" w:hAnsi="Times New Roman" w:cs="Times New Roman"/>
          <w:szCs w:val="24"/>
          <w:lang w:val="en-GB"/>
        </w:rPr>
        <w:t xml:space="preserve"> a different country. In different localities, there are different hazards. In locations like Algeria, along the Libyan border, businesses face physical dangers (</w:t>
      </w:r>
      <w:r w:rsidRPr="005A0F0E">
        <w:rPr>
          <w:rFonts w:ascii="Times New Roman" w:hAnsi="Times New Roman" w:cs="Times New Roman"/>
          <w:color w:val="222222"/>
          <w:szCs w:val="24"/>
          <w:shd w:val="clear" w:color="auto" w:fill="FFFFFF"/>
        </w:rPr>
        <w:t>Brink, 2017)</w:t>
      </w:r>
      <w:r w:rsidRPr="005A0F0E">
        <w:rPr>
          <w:rFonts w:ascii="Times New Roman" w:hAnsi="Times New Roman" w:cs="Times New Roman"/>
          <w:szCs w:val="24"/>
          <w:lang w:val="en-GB"/>
        </w:rPr>
        <w:t xml:space="preserve">. In such cases, unstable </w:t>
      </w:r>
      <w:r w:rsidRPr="005A0F0E">
        <w:rPr>
          <w:rFonts w:ascii="Times New Roman" w:hAnsi="Times New Roman" w:cs="Times New Roman"/>
          <w:szCs w:val="24"/>
          <w:lang w:val="en-GB"/>
        </w:rPr>
        <w:lastRenderedPageBreak/>
        <w:t>governments may seek a greater part of the profits regardless of whether the environments are favourable for operation or not. Some governments may also alter the taxation systems (</w:t>
      </w:r>
      <w:r w:rsidRPr="005A0F0E">
        <w:rPr>
          <w:rFonts w:ascii="Times New Roman" w:hAnsi="Times New Roman" w:cs="Times New Roman"/>
          <w:color w:val="222222"/>
          <w:szCs w:val="24"/>
          <w:shd w:val="clear" w:color="auto" w:fill="FFFFFF"/>
        </w:rPr>
        <w:t xml:space="preserve">Shapiro, and </w:t>
      </w:r>
      <w:proofErr w:type="spellStart"/>
      <w:r w:rsidRPr="005A0F0E">
        <w:rPr>
          <w:rFonts w:ascii="Times New Roman" w:hAnsi="Times New Roman" w:cs="Times New Roman"/>
          <w:color w:val="222222"/>
          <w:szCs w:val="24"/>
          <w:shd w:val="clear" w:color="auto" w:fill="FFFFFF"/>
        </w:rPr>
        <w:t>Hanouna</w:t>
      </w:r>
      <w:proofErr w:type="spellEnd"/>
      <w:r w:rsidRPr="005A0F0E">
        <w:rPr>
          <w:rFonts w:ascii="Times New Roman" w:hAnsi="Times New Roman" w:cs="Times New Roman"/>
          <w:color w:val="222222"/>
          <w:szCs w:val="24"/>
          <w:shd w:val="clear" w:color="auto" w:fill="FFFFFF"/>
        </w:rPr>
        <w:t>, 2019)</w:t>
      </w:r>
      <w:r w:rsidRPr="005A0F0E">
        <w:rPr>
          <w:rFonts w:ascii="Times New Roman" w:hAnsi="Times New Roman" w:cs="Times New Roman"/>
          <w:szCs w:val="24"/>
          <w:lang w:val="en-GB"/>
        </w:rPr>
        <w:t>. Such risks would greatly affect the profitability of the BP investment in the respective country.</w:t>
      </w:r>
    </w:p>
    <w:p w14:paraId="45E3B961" w14:textId="77777777" w:rsidR="009119A6" w:rsidRDefault="003638CC" w:rsidP="009119A6">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Political risks are often coupled with economic risks. Economic risks refer to the ability of the respective country to pay back its dets. When a country has a stable economy and finance structure, they are in a better position to provide more reliable investment opportunities than countries with a weak structure (</w:t>
      </w:r>
      <w:proofErr w:type="spellStart"/>
      <w:r w:rsidRPr="005A0F0E">
        <w:rPr>
          <w:rFonts w:ascii="Times New Roman" w:hAnsi="Times New Roman" w:cs="Times New Roman"/>
          <w:color w:val="222222"/>
          <w:szCs w:val="24"/>
          <w:shd w:val="clear" w:color="auto" w:fill="FFFFFF"/>
        </w:rPr>
        <w:t>Trigeorgis</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Reuer</w:t>
      </w:r>
      <w:proofErr w:type="spellEnd"/>
      <w:r w:rsidRPr="005A0F0E">
        <w:rPr>
          <w:rFonts w:ascii="Times New Roman" w:hAnsi="Times New Roman" w:cs="Times New Roman"/>
          <w:color w:val="222222"/>
          <w:szCs w:val="24"/>
          <w:shd w:val="clear" w:color="auto" w:fill="FFFFFF"/>
        </w:rPr>
        <w:t>, 2017)</w:t>
      </w:r>
      <w:r w:rsidRPr="005A0F0E">
        <w:rPr>
          <w:rFonts w:ascii="Times New Roman" w:hAnsi="Times New Roman" w:cs="Times New Roman"/>
          <w:szCs w:val="24"/>
          <w:lang w:val="en-GB"/>
        </w:rPr>
        <w:t xml:space="preserve">. This might result in </w:t>
      </w:r>
      <w:proofErr w:type="gramStart"/>
      <w:r w:rsidRPr="005A0F0E">
        <w:rPr>
          <w:rFonts w:ascii="Times New Roman" w:hAnsi="Times New Roman" w:cs="Times New Roman"/>
          <w:szCs w:val="24"/>
          <w:lang w:val="en-GB"/>
        </w:rPr>
        <w:t>a number of</w:t>
      </w:r>
      <w:proofErr w:type="gramEnd"/>
      <w:r w:rsidRPr="005A0F0E">
        <w:rPr>
          <w:rFonts w:ascii="Times New Roman" w:hAnsi="Times New Roman" w:cs="Times New Roman"/>
          <w:szCs w:val="24"/>
          <w:lang w:val="en-GB"/>
        </w:rPr>
        <w:t xml:space="preserve"> issues, such as quick privatisation and/or altering economic conditions that alter the working environment. It however depends on the respective country where oil and gas exploitation take place and therefore, the economic model that BP plc begins with might not be what takes it to the end.</w:t>
      </w:r>
    </w:p>
    <w:p w14:paraId="7FD02226" w14:textId="6BAF79E2" w:rsidR="003638CC" w:rsidRPr="005A0F0E" w:rsidRDefault="003638CC" w:rsidP="009119A6">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Foreign companies, such as BP PLC, are susceptible to sovereign risks when they enter new markets. This is the danger that a local reserve bank will modify its foreign exchange regulations, leading its foreign currency obligations to lose value or be revoked. Both stock and bond investors gain from the assessment of sovereign risk indicators, albeit stock investors may earn more directly (</w:t>
      </w:r>
      <w:r w:rsidRPr="005A0F0E">
        <w:rPr>
          <w:rFonts w:ascii="Times New Roman" w:hAnsi="Times New Roman" w:cs="Times New Roman"/>
          <w:color w:val="222222"/>
          <w:szCs w:val="24"/>
          <w:shd w:val="clear" w:color="auto" w:fill="FFFFFF"/>
        </w:rPr>
        <w:t xml:space="preserve">Shapiro, and </w:t>
      </w:r>
      <w:proofErr w:type="spellStart"/>
      <w:r w:rsidRPr="005A0F0E">
        <w:rPr>
          <w:rFonts w:ascii="Times New Roman" w:hAnsi="Times New Roman" w:cs="Times New Roman"/>
          <w:color w:val="222222"/>
          <w:szCs w:val="24"/>
          <w:shd w:val="clear" w:color="auto" w:fill="FFFFFF"/>
        </w:rPr>
        <w:t>Hanouna</w:t>
      </w:r>
      <w:proofErr w:type="spellEnd"/>
      <w:r w:rsidRPr="005A0F0E">
        <w:rPr>
          <w:rFonts w:ascii="Times New Roman" w:hAnsi="Times New Roman" w:cs="Times New Roman"/>
          <w:color w:val="222222"/>
          <w:szCs w:val="24"/>
          <w:shd w:val="clear" w:color="auto" w:fill="FFFFFF"/>
        </w:rPr>
        <w:t>, 2019)</w:t>
      </w:r>
      <w:r w:rsidRPr="005A0F0E">
        <w:rPr>
          <w:rFonts w:ascii="Times New Roman" w:hAnsi="Times New Roman" w:cs="Times New Roman"/>
          <w:szCs w:val="24"/>
          <w:lang w:val="en-GB"/>
        </w:rPr>
        <w:t>. The possibility of losing money due to a change in the exchange rate could cause a dip in the company’s financial strength. For instance, if the British pound depreciates against the US dollar, BP’s British pounds equities will lose value in US dollars.</w:t>
      </w:r>
    </w:p>
    <w:p w14:paraId="6EBB0DE1"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BP cannot completely exclude the </w:t>
      </w:r>
      <w:proofErr w:type="gramStart"/>
      <w:r w:rsidRPr="005A0F0E">
        <w:rPr>
          <w:rFonts w:ascii="Times New Roman" w:hAnsi="Times New Roman" w:cs="Times New Roman"/>
          <w:szCs w:val="24"/>
          <w:lang w:val="en-GB"/>
        </w:rPr>
        <w:t>aforementioned uncertainty</w:t>
      </w:r>
      <w:proofErr w:type="gramEnd"/>
      <w:r w:rsidRPr="005A0F0E">
        <w:rPr>
          <w:rFonts w:ascii="Times New Roman" w:hAnsi="Times New Roman" w:cs="Times New Roman"/>
          <w:szCs w:val="24"/>
          <w:lang w:val="en-GB"/>
        </w:rPr>
        <w:t xml:space="preserve"> from their portfolio, but trading in emerging and frontier economies may subject investors to a higher potential interest rate – as well as a higher chance of loss – than investing in mature markets. Investing in various </w:t>
      </w:r>
      <w:r w:rsidRPr="005A0F0E">
        <w:rPr>
          <w:rFonts w:ascii="Times New Roman" w:hAnsi="Times New Roman" w:cs="Times New Roman"/>
          <w:szCs w:val="24"/>
          <w:lang w:val="en-GB"/>
        </w:rPr>
        <w:lastRenderedPageBreak/>
        <w:t xml:space="preserve">overseas marketplaces might provide you access to market sectors that aren't available in Europe or America. </w:t>
      </w:r>
    </w:p>
    <w:p w14:paraId="1910572B" w14:textId="77777777" w:rsidR="003638CC" w:rsidRPr="005A0F0E" w:rsidRDefault="003638CC" w:rsidP="003638CC">
      <w:pPr>
        <w:rPr>
          <w:rFonts w:ascii="Times New Roman" w:hAnsi="Times New Roman" w:cs="Times New Roman"/>
          <w:b/>
          <w:bCs/>
          <w:szCs w:val="24"/>
          <w:lang w:val="en-GB"/>
        </w:rPr>
      </w:pPr>
      <w:r w:rsidRPr="005A0F0E">
        <w:rPr>
          <w:rFonts w:ascii="Times New Roman" w:hAnsi="Times New Roman" w:cs="Times New Roman"/>
          <w:b/>
          <w:bCs/>
          <w:szCs w:val="24"/>
          <w:lang w:val="en-GB"/>
        </w:rPr>
        <w:br w:type="page"/>
      </w:r>
    </w:p>
    <w:p w14:paraId="22ECCBCA" w14:textId="5C003F33" w:rsidR="003638CC" w:rsidRPr="005A0F0E" w:rsidRDefault="003638CC" w:rsidP="003638CC">
      <w:pPr>
        <w:pStyle w:val="Heading1"/>
        <w:rPr>
          <w:rFonts w:ascii="Times New Roman" w:hAnsi="Times New Roman" w:cs="Times New Roman"/>
          <w:sz w:val="24"/>
          <w:szCs w:val="24"/>
        </w:rPr>
      </w:pPr>
      <w:bookmarkStart w:id="3" w:name="_Toc101744049"/>
      <w:r w:rsidRPr="005A0F0E">
        <w:rPr>
          <w:rFonts w:ascii="Times New Roman" w:hAnsi="Times New Roman" w:cs="Times New Roman"/>
          <w:sz w:val="24"/>
          <w:szCs w:val="24"/>
          <w:lang w:val="en-GB"/>
        </w:rPr>
        <w:lastRenderedPageBreak/>
        <w:t>Critically analyses and evaluates BP Corporation’s capital structure</w:t>
      </w:r>
      <w:bookmarkEnd w:id="3"/>
      <w:r w:rsidRPr="005A0F0E">
        <w:rPr>
          <w:rFonts w:ascii="Times New Roman" w:hAnsi="Times New Roman" w:cs="Times New Roman"/>
          <w:sz w:val="24"/>
          <w:szCs w:val="24"/>
          <w:lang w:val="en-GB"/>
        </w:rPr>
        <w:t xml:space="preserve"> </w:t>
      </w:r>
      <w:r w:rsidR="009119A6">
        <w:rPr>
          <w:rFonts w:ascii="Times New Roman" w:hAnsi="Times New Roman" w:cs="Times New Roman"/>
          <w:sz w:val="24"/>
          <w:szCs w:val="24"/>
          <w:lang w:val="en-GB"/>
        </w:rPr>
        <w:t xml:space="preserve">- </w:t>
      </w:r>
      <w:r w:rsidR="009119A6" w:rsidRPr="000814C5">
        <w:rPr>
          <w:rFonts w:ascii="Times New Roman" w:hAnsi="Times New Roman" w:cs="Times New Roman"/>
          <w:color w:val="000000" w:themeColor="text1"/>
          <w:sz w:val="24"/>
          <w:szCs w:val="24"/>
          <w:highlight w:val="yellow"/>
          <w:lang w:val="en-GB"/>
        </w:rPr>
        <w:t xml:space="preserve">Petya </w:t>
      </w:r>
      <w:proofErr w:type="spellStart"/>
      <w:r w:rsidR="009119A6" w:rsidRPr="000814C5">
        <w:rPr>
          <w:rFonts w:ascii="Times New Roman" w:hAnsi="Times New Roman" w:cs="Times New Roman"/>
          <w:color w:val="000000" w:themeColor="text1"/>
          <w:sz w:val="24"/>
          <w:szCs w:val="24"/>
          <w:highlight w:val="yellow"/>
          <w:lang w:val="en-GB"/>
        </w:rPr>
        <w:t>Niklenova</w:t>
      </w:r>
      <w:proofErr w:type="spellEnd"/>
    </w:p>
    <w:p w14:paraId="7152BC94"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An organization's capital structure is the specific capital investment it employs to invest its assets and create income. Equity capital is offered by the organization’s equity securities, as well as commitments on potential revenues and earnings. Short-term loans or borrowings are also sometimes added to the asset base. Analysts usually refer to a firm’s capital structure when they discuss its debt-to-equity ratio, which indicates how vulnerable the firm is to borrowing activities (</w:t>
      </w:r>
      <w:proofErr w:type="spellStart"/>
      <w:r w:rsidRPr="005A0F0E">
        <w:rPr>
          <w:rFonts w:ascii="Times New Roman" w:hAnsi="Times New Roman" w:cs="Times New Roman"/>
          <w:color w:val="222222"/>
          <w:szCs w:val="24"/>
          <w:shd w:val="clear" w:color="auto" w:fill="FFFFFF"/>
        </w:rPr>
        <w:t>Brusov</w:t>
      </w:r>
      <w:proofErr w:type="spellEnd"/>
      <w:r w:rsidRPr="005A0F0E">
        <w:rPr>
          <w:rFonts w:ascii="Times New Roman" w:hAnsi="Times New Roman" w:cs="Times New Roman"/>
          <w:color w:val="222222"/>
          <w:szCs w:val="24"/>
          <w:shd w:val="clear" w:color="auto" w:fill="FFFFFF"/>
        </w:rPr>
        <w:t xml:space="preserve"> et al, 2018)</w:t>
      </w:r>
      <w:r w:rsidRPr="005A0F0E">
        <w:rPr>
          <w:rFonts w:ascii="Times New Roman" w:hAnsi="Times New Roman" w:cs="Times New Roman"/>
          <w:szCs w:val="24"/>
          <w:lang w:val="en-GB"/>
        </w:rPr>
        <w:t>. Any firm with a large debt-to-equity ratio often has a stronger link to profitability, putting stockholders at risk. On the other hand, this risk might be the company's largest revenue generator.</w:t>
      </w:r>
    </w:p>
    <w:p w14:paraId="0E195C73"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Borrowing is one of the possible ways for a corporation to obtain funding from the financial system. Debt may benefit businesses financially because interest costs incurred </w:t>
      </w:r>
      <w:proofErr w:type="gramStart"/>
      <w:r w:rsidRPr="005A0F0E">
        <w:rPr>
          <w:rFonts w:ascii="Times New Roman" w:hAnsi="Times New Roman" w:cs="Times New Roman"/>
          <w:szCs w:val="24"/>
          <w:lang w:val="en-GB"/>
        </w:rPr>
        <w:t>as a result of</w:t>
      </w:r>
      <w:proofErr w:type="gramEnd"/>
      <w:r w:rsidRPr="005A0F0E">
        <w:rPr>
          <w:rFonts w:ascii="Times New Roman" w:hAnsi="Times New Roman" w:cs="Times New Roman"/>
          <w:szCs w:val="24"/>
          <w:lang w:val="en-GB"/>
        </w:rPr>
        <w:t xml:space="preserve"> borrowed money cash may be eligible for deduction. Unlike stocks, borrowing allows a firm or organization to keep control of its assets. In addition, when interest rates fall, debt is readily available and inexpensive. A company's stock can be purchased by external investors who want to own a portion of it (</w:t>
      </w:r>
      <w:proofErr w:type="spellStart"/>
      <w:r w:rsidRPr="005A0F0E">
        <w:rPr>
          <w:rFonts w:ascii="Times New Roman" w:hAnsi="Times New Roman" w:cs="Times New Roman"/>
          <w:color w:val="222222"/>
          <w:szCs w:val="24"/>
          <w:shd w:val="clear" w:color="auto" w:fill="FFFFFF"/>
        </w:rPr>
        <w:t>Trigeorgis</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Reuer</w:t>
      </w:r>
      <w:proofErr w:type="spellEnd"/>
      <w:r w:rsidRPr="005A0F0E">
        <w:rPr>
          <w:rFonts w:ascii="Times New Roman" w:hAnsi="Times New Roman" w:cs="Times New Roman"/>
          <w:color w:val="222222"/>
          <w:szCs w:val="24"/>
          <w:shd w:val="clear" w:color="auto" w:fill="FFFFFF"/>
        </w:rPr>
        <w:t>, 2017)</w:t>
      </w:r>
      <w:r w:rsidRPr="005A0F0E">
        <w:rPr>
          <w:rFonts w:ascii="Times New Roman" w:hAnsi="Times New Roman" w:cs="Times New Roman"/>
          <w:szCs w:val="24"/>
          <w:lang w:val="en-GB"/>
        </w:rPr>
        <w:t>. Equity is more costly than debt as interest rates fall. Equity, unlike debt, does not require repayment. This is favourable to the firm in the scenario of lower earnings. On the other hand, equities are the management's claims on the company's future earnings.</w:t>
      </w:r>
    </w:p>
    <w:p w14:paraId="7DFC63CB"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At the end of the third quarter of 2021, the company’s long-term credit was 59 billion dollars, decreasing 3.68 % annually. The debt ratio indicates how much borrowing is being utilized to finance the corporate resources. A reduced debt ratio is advantageous since it shows that the company is becoming less dependent on debt for equity funding. The debt ratio of BP has been trending upwards, indicating a growing reliance on debt to finance activities (</w:t>
      </w:r>
      <w:r w:rsidRPr="005A0F0E">
        <w:rPr>
          <w:rFonts w:ascii="Times New Roman" w:hAnsi="Times New Roman" w:cs="Times New Roman"/>
          <w:color w:val="000000"/>
          <w:szCs w:val="24"/>
          <w:shd w:val="clear" w:color="auto" w:fill="FFFFFF"/>
        </w:rPr>
        <w:t xml:space="preserve">BP. </w:t>
      </w:r>
      <w:r w:rsidRPr="005A0F0E">
        <w:rPr>
          <w:rFonts w:ascii="Times New Roman" w:hAnsi="Times New Roman" w:cs="Times New Roman"/>
          <w:color w:val="000000"/>
          <w:szCs w:val="24"/>
          <w:shd w:val="clear" w:color="auto" w:fill="FFFFFF"/>
        </w:rPr>
        <w:lastRenderedPageBreak/>
        <w:t>2022. </w:t>
      </w:r>
      <w:r w:rsidRPr="005A0F0E">
        <w:rPr>
          <w:rFonts w:ascii="Times New Roman" w:hAnsi="Times New Roman" w:cs="Times New Roman"/>
          <w:i/>
          <w:iCs/>
          <w:color w:val="000000"/>
          <w:szCs w:val="24"/>
          <w:shd w:val="clear" w:color="auto" w:fill="FFFFFF"/>
        </w:rPr>
        <w:t>Annual Report and Form 20-F 2021)</w:t>
      </w:r>
      <w:r w:rsidRPr="005A0F0E">
        <w:rPr>
          <w:rFonts w:ascii="Times New Roman" w:hAnsi="Times New Roman" w:cs="Times New Roman"/>
          <w:szCs w:val="24"/>
          <w:lang w:val="en-GB"/>
        </w:rPr>
        <w:t>. Stockholders benefit from this because it increases their leverage by magnifying predicted earnings. Debt isn't necessarily a bad thing for a business; it may be beneficial if it's used to improve the company's profitability possibilities.</w:t>
      </w:r>
    </w:p>
    <w:p w14:paraId="568D4F8A"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Since the 2010 Gulf of Mexico oil disaster, which followed the explosion of BP's Deepwater Horizon rig, the British energy giant has come a long way. The corporation went on a big asset sale campaign and depended heavily on borrowed financing to offset its high legal expenditures resulting from the tragedy (</w:t>
      </w:r>
      <w:r w:rsidRPr="005A0F0E">
        <w:rPr>
          <w:rFonts w:ascii="Times New Roman" w:hAnsi="Times New Roman" w:cs="Times New Roman"/>
          <w:color w:val="222222"/>
          <w:szCs w:val="24"/>
          <w:shd w:val="clear" w:color="auto" w:fill="FFFFFF"/>
        </w:rPr>
        <w:t xml:space="preserve">Arora, and </w:t>
      </w:r>
      <w:proofErr w:type="spellStart"/>
      <w:r w:rsidRPr="005A0F0E">
        <w:rPr>
          <w:rFonts w:ascii="Times New Roman" w:hAnsi="Times New Roman" w:cs="Times New Roman"/>
          <w:color w:val="222222"/>
          <w:szCs w:val="24"/>
          <w:shd w:val="clear" w:color="auto" w:fill="FFFFFF"/>
        </w:rPr>
        <w:t>Lodhia</w:t>
      </w:r>
      <w:proofErr w:type="spellEnd"/>
      <w:r w:rsidRPr="005A0F0E">
        <w:rPr>
          <w:rFonts w:ascii="Times New Roman" w:hAnsi="Times New Roman" w:cs="Times New Roman"/>
          <w:color w:val="222222"/>
          <w:szCs w:val="24"/>
          <w:shd w:val="clear" w:color="auto" w:fill="FFFFFF"/>
        </w:rPr>
        <w:t>, 2017)</w:t>
      </w:r>
      <w:r w:rsidRPr="005A0F0E">
        <w:rPr>
          <w:rFonts w:ascii="Times New Roman" w:hAnsi="Times New Roman" w:cs="Times New Roman"/>
          <w:szCs w:val="24"/>
          <w:lang w:val="en-GB"/>
        </w:rPr>
        <w:t xml:space="preserve">. </w:t>
      </w:r>
      <w:proofErr w:type="gramStart"/>
      <w:r w:rsidRPr="005A0F0E">
        <w:rPr>
          <w:rFonts w:ascii="Times New Roman" w:hAnsi="Times New Roman" w:cs="Times New Roman"/>
          <w:szCs w:val="24"/>
          <w:lang w:val="en-GB"/>
        </w:rPr>
        <w:t>All of</w:t>
      </w:r>
      <w:proofErr w:type="gramEnd"/>
      <w:r w:rsidRPr="005A0F0E">
        <w:rPr>
          <w:rFonts w:ascii="Times New Roman" w:hAnsi="Times New Roman" w:cs="Times New Roman"/>
          <w:szCs w:val="24"/>
          <w:lang w:val="en-GB"/>
        </w:rPr>
        <w:t xml:space="preserve"> the action was effectively settled by BP, with just minor monetary outlays left. BP has been relying on the strength of its upstream project portfolio. BP is also well positioned to benefit from the global economy's shift to lower-carbon fuels. The corporation has been investing in renewable energy with the intention of increasing non-oil and gas capital investment.</w:t>
      </w:r>
    </w:p>
    <w:p w14:paraId="06315773"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Net debt was projected to rise in the first half of 2021, owing to severance payments spread over both quarters. However, BP now expects to have attained its net debt objective of $35 billion in the first quarter of 2021, attributable to trade, the price environment, and robust operations. BP has pledged to repaying at least 60% of surplus cash flow to shareholders through share buybacks if it achieves its net debt objective, subject to retaining a good investment grade credit rating. Net debt decreased to 30 billion dollars in 2021 for the seventh quarter in a row, with dividends distributed - a cumulative buyback of 4.15 billion dollars from excess cash flow within the same year.</w:t>
      </w:r>
    </w:p>
    <w:p w14:paraId="2DF482FD"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For the quarter ending September 30, 2021, BP's revenue was $37.867 billion dollars, increasing 44.18 % year on year. The accrued revenue for the fiscal year ending September 2021 was 217 billion dollars, rising 45% percent compared to the previous year. In 2021, BP's yearly revenue was $164.195 billion, dropping 10.52 percent from the previous year (</w:t>
      </w:r>
      <w:r w:rsidRPr="005A0F0E">
        <w:rPr>
          <w:rFonts w:ascii="Times New Roman" w:hAnsi="Times New Roman" w:cs="Times New Roman"/>
          <w:color w:val="000000"/>
          <w:szCs w:val="24"/>
          <w:shd w:val="clear" w:color="auto" w:fill="FFFFFF"/>
        </w:rPr>
        <w:t>BP. 2022. </w:t>
      </w:r>
      <w:r w:rsidRPr="005A0F0E">
        <w:rPr>
          <w:rFonts w:ascii="Times New Roman" w:hAnsi="Times New Roman" w:cs="Times New Roman"/>
          <w:i/>
          <w:iCs/>
          <w:color w:val="000000"/>
          <w:szCs w:val="24"/>
          <w:shd w:val="clear" w:color="auto" w:fill="FFFFFF"/>
        </w:rPr>
        <w:t xml:space="preserve">Annual </w:t>
      </w:r>
      <w:r w:rsidRPr="005A0F0E">
        <w:rPr>
          <w:rFonts w:ascii="Times New Roman" w:hAnsi="Times New Roman" w:cs="Times New Roman"/>
          <w:i/>
          <w:iCs/>
          <w:color w:val="000000"/>
          <w:szCs w:val="24"/>
          <w:shd w:val="clear" w:color="auto" w:fill="FFFFFF"/>
        </w:rPr>
        <w:lastRenderedPageBreak/>
        <w:t>Report and Form 20-F 2021)</w:t>
      </w:r>
      <w:r w:rsidRPr="005A0F0E">
        <w:rPr>
          <w:rFonts w:ascii="Times New Roman" w:hAnsi="Times New Roman" w:cs="Times New Roman"/>
          <w:szCs w:val="24"/>
          <w:lang w:val="en-GB"/>
        </w:rPr>
        <w:t>. It is evident that the company's revenue has been on the rise after the covid pandemic, a move indicating the positive strides the company is undertaking to create a better financial setting for the shareholders. </w:t>
      </w:r>
    </w:p>
    <w:p w14:paraId="1851DDD5" w14:textId="77777777" w:rsidR="003638CC" w:rsidRPr="005A0F0E" w:rsidRDefault="003638CC" w:rsidP="003638CC">
      <w:pPr>
        <w:rPr>
          <w:rFonts w:ascii="Times New Roman" w:hAnsi="Times New Roman" w:cs="Times New Roman"/>
          <w:b/>
          <w:bCs/>
          <w:szCs w:val="24"/>
          <w:lang w:val="en-GB"/>
        </w:rPr>
      </w:pPr>
      <w:r w:rsidRPr="005A0F0E">
        <w:rPr>
          <w:rFonts w:ascii="Times New Roman" w:hAnsi="Times New Roman" w:cs="Times New Roman"/>
          <w:b/>
          <w:bCs/>
          <w:szCs w:val="24"/>
          <w:lang w:val="en-GB"/>
        </w:rPr>
        <w:br w:type="page"/>
      </w:r>
    </w:p>
    <w:p w14:paraId="17B7F784" w14:textId="185E6C8C" w:rsidR="003638CC" w:rsidRPr="005A0F0E" w:rsidRDefault="003638CC" w:rsidP="003638CC">
      <w:pPr>
        <w:pStyle w:val="Heading1"/>
        <w:rPr>
          <w:rFonts w:ascii="Times New Roman" w:hAnsi="Times New Roman" w:cs="Times New Roman"/>
          <w:sz w:val="24"/>
          <w:szCs w:val="24"/>
          <w:lang w:val="en-GB"/>
        </w:rPr>
      </w:pPr>
      <w:bookmarkStart w:id="4" w:name="_Toc101744050"/>
      <w:r w:rsidRPr="005A0F0E">
        <w:rPr>
          <w:rFonts w:ascii="Times New Roman" w:hAnsi="Times New Roman" w:cs="Times New Roman"/>
          <w:sz w:val="24"/>
          <w:szCs w:val="24"/>
          <w:lang w:val="en-GB"/>
        </w:rPr>
        <w:lastRenderedPageBreak/>
        <w:t>Strategies that BP corporation has adopted in managing their financial risks.</w:t>
      </w:r>
      <w:bookmarkEnd w:id="4"/>
      <w:r w:rsidR="009119A6">
        <w:rPr>
          <w:rFonts w:ascii="Times New Roman" w:hAnsi="Times New Roman" w:cs="Times New Roman"/>
          <w:sz w:val="24"/>
          <w:szCs w:val="24"/>
          <w:lang w:val="en-GB"/>
        </w:rPr>
        <w:t xml:space="preserve"> - </w:t>
      </w:r>
      <w:proofErr w:type="spellStart"/>
      <w:r w:rsidR="009119A6" w:rsidRPr="000814C5">
        <w:rPr>
          <w:rFonts w:ascii="Times New Roman" w:hAnsi="Times New Roman" w:cs="Times New Roman"/>
          <w:color w:val="000000" w:themeColor="text1"/>
          <w:sz w:val="24"/>
          <w:szCs w:val="24"/>
          <w:highlight w:val="yellow"/>
          <w:lang w:val="en-GB"/>
        </w:rPr>
        <w:t>Veselin</w:t>
      </w:r>
      <w:proofErr w:type="spellEnd"/>
      <w:r w:rsidR="009119A6" w:rsidRPr="000814C5">
        <w:rPr>
          <w:rFonts w:ascii="Times New Roman" w:hAnsi="Times New Roman" w:cs="Times New Roman"/>
          <w:color w:val="000000" w:themeColor="text1"/>
          <w:sz w:val="24"/>
          <w:szCs w:val="24"/>
          <w:highlight w:val="yellow"/>
          <w:lang w:val="en-GB"/>
        </w:rPr>
        <w:t xml:space="preserve"> Ivanov</w:t>
      </w:r>
    </w:p>
    <w:p w14:paraId="079F5335" w14:textId="6586AEB1"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Financial risk is generally the potential aspect of losing investment capital within </w:t>
      </w:r>
      <w:r w:rsidR="009119A6" w:rsidRPr="005A0F0E">
        <w:rPr>
          <w:rFonts w:ascii="Times New Roman" w:hAnsi="Times New Roman" w:cs="Times New Roman"/>
          <w:szCs w:val="24"/>
          <w:lang w:val="en-GB"/>
        </w:rPr>
        <w:t>a</w:t>
      </w:r>
      <w:r w:rsidRPr="005A0F0E">
        <w:rPr>
          <w:rFonts w:ascii="Times New Roman" w:hAnsi="Times New Roman" w:cs="Times New Roman"/>
          <w:szCs w:val="24"/>
          <w:lang w:val="en-GB"/>
        </w:rPr>
        <w:t xml:space="preserve"> new or already established market venture. Three of the major commonly diversified fiscal dangers include the credit risk, bankruptcy risk, and operating risk. Financial risk is a hazard that can lead to lost revenue for those involved. Governments may lose control of fiscal and monetary policies, as well as default on debt or other forms of credit and collections (</w:t>
      </w:r>
      <w:r w:rsidRPr="005A0F0E">
        <w:rPr>
          <w:rFonts w:ascii="Times New Roman" w:hAnsi="Times New Roman" w:cs="Times New Roman"/>
          <w:color w:val="222222"/>
          <w:szCs w:val="24"/>
          <w:shd w:val="clear" w:color="auto" w:fill="FFFFFF"/>
        </w:rPr>
        <w:t>Madura, 2020)</w:t>
      </w:r>
      <w:r w:rsidRPr="005A0F0E">
        <w:rPr>
          <w:rFonts w:ascii="Times New Roman" w:hAnsi="Times New Roman" w:cs="Times New Roman"/>
          <w:szCs w:val="24"/>
          <w:lang w:val="en-GB"/>
        </w:rPr>
        <w:t>. Corporations also risk defaulting on debts they take out, as well as failing to fulfil a mission, putting the company in a financial dilemma.</w:t>
      </w:r>
    </w:p>
    <w:p w14:paraId="0647B9FA"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A combination of macroeconomic pressures, lending rate movements, and the prospect of sector or substantial firm insolvency all endanger financial markets (</w:t>
      </w:r>
      <w:proofErr w:type="spellStart"/>
      <w:r w:rsidRPr="005A0F0E">
        <w:rPr>
          <w:rFonts w:ascii="Times New Roman" w:hAnsi="Times New Roman" w:cs="Times New Roman"/>
          <w:color w:val="222222"/>
          <w:szCs w:val="24"/>
          <w:shd w:val="clear" w:color="auto" w:fill="FFFFFF"/>
        </w:rPr>
        <w:t>Trigeorgis</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Reuer</w:t>
      </w:r>
      <w:proofErr w:type="spellEnd"/>
      <w:r w:rsidRPr="005A0F0E">
        <w:rPr>
          <w:rFonts w:ascii="Times New Roman" w:hAnsi="Times New Roman" w:cs="Times New Roman"/>
          <w:color w:val="222222"/>
          <w:szCs w:val="24"/>
          <w:shd w:val="clear" w:color="auto" w:fill="FFFFFF"/>
        </w:rPr>
        <w:t>, 2017)</w:t>
      </w:r>
      <w:r w:rsidRPr="005A0F0E">
        <w:rPr>
          <w:rFonts w:ascii="Times New Roman" w:hAnsi="Times New Roman" w:cs="Times New Roman"/>
          <w:szCs w:val="24"/>
          <w:lang w:val="en-GB"/>
        </w:rPr>
        <w:t>. If BP takes actions that compromise their capacity to make money or fulfil a loan, they risk losing money. Financial risks occur in many forms and types, and they affect nearly everyone. Any investor or company should be informed that there are some financial risks associated with this (</w:t>
      </w:r>
      <w:proofErr w:type="spellStart"/>
      <w:r w:rsidRPr="005A0F0E">
        <w:rPr>
          <w:rFonts w:ascii="Times New Roman" w:hAnsi="Times New Roman" w:cs="Times New Roman"/>
          <w:color w:val="222222"/>
          <w:szCs w:val="24"/>
          <w:shd w:val="clear" w:color="auto" w:fill="FFFFFF"/>
        </w:rPr>
        <w:t>Mojarad</w:t>
      </w:r>
      <w:proofErr w:type="spellEnd"/>
      <w:r w:rsidRPr="005A0F0E">
        <w:rPr>
          <w:rFonts w:ascii="Times New Roman" w:hAnsi="Times New Roman" w:cs="Times New Roman"/>
          <w:color w:val="222222"/>
          <w:szCs w:val="24"/>
          <w:shd w:val="clear" w:color="auto" w:fill="FFFFFF"/>
        </w:rPr>
        <w:t xml:space="preserve">, </w:t>
      </w:r>
      <w:proofErr w:type="spellStart"/>
      <w:r w:rsidRPr="005A0F0E">
        <w:rPr>
          <w:rFonts w:ascii="Times New Roman" w:hAnsi="Times New Roman" w:cs="Times New Roman"/>
          <w:color w:val="222222"/>
          <w:szCs w:val="24"/>
          <w:shd w:val="clear" w:color="auto" w:fill="FFFFFF"/>
        </w:rPr>
        <w:t>Atashbari</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Tantau</w:t>
      </w:r>
      <w:proofErr w:type="spellEnd"/>
      <w:r w:rsidRPr="005A0F0E">
        <w:rPr>
          <w:rFonts w:ascii="Times New Roman" w:hAnsi="Times New Roman" w:cs="Times New Roman"/>
          <w:color w:val="222222"/>
          <w:szCs w:val="24"/>
          <w:shd w:val="clear" w:color="auto" w:fill="FFFFFF"/>
        </w:rPr>
        <w:t>, 2018)</w:t>
      </w:r>
      <w:r w:rsidRPr="005A0F0E">
        <w:rPr>
          <w:rFonts w:ascii="Times New Roman" w:hAnsi="Times New Roman" w:cs="Times New Roman"/>
          <w:szCs w:val="24"/>
          <w:lang w:val="en-GB"/>
        </w:rPr>
        <w:t xml:space="preserve">. Understanding the risks and how to avoid them will not eliminate the </w:t>
      </w:r>
      <w:proofErr w:type="gramStart"/>
      <w:r w:rsidRPr="005A0F0E">
        <w:rPr>
          <w:rFonts w:ascii="Times New Roman" w:hAnsi="Times New Roman" w:cs="Times New Roman"/>
          <w:szCs w:val="24"/>
          <w:lang w:val="en-GB"/>
        </w:rPr>
        <w:t>possibility, but</w:t>
      </w:r>
      <w:proofErr w:type="gramEnd"/>
      <w:r w:rsidRPr="005A0F0E">
        <w:rPr>
          <w:rFonts w:ascii="Times New Roman" w:hAnsi="Times New Roman" w:cs="Times New Roman"/>
          <w:szCs w:val="24"/>
          <w:lang w:val="en-GB"/>
        </w:rPr>
        <w:t xml:space="preserve"> will help to lessen the damage and lower the likelihood of a negative consequence.</w:t>
      </w:r>
    </w:p>
    <w:p w14:paraId="08B65542"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Financial risk management is defined by BP plc as a process aimed at identifying and implementing effective steps to reduce financial risk and minimize financial loss. BP PLC has pushed for resource diversification as a financial risk management technique. BP recently unveiled a new plan to help it shift from a multinational petroleum industry focused on productivity to a comprehensive energy company attention to the consumer solutions.</w:t>
      </w:r>
    </w:p>
    <w:p w14:paraId="55F1899C"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BP's petroleum and energy output </w:t>
      </w:r>
      <w:proofErr w:type="gramStart"/>
      <w:r w:rsidRPr="005A0F0E">
        <w:rPr>
          <w:rFonts w:ascii="Times New Roman" w:hAnsi="Times New Roman" w:cs="Times New Roman"/>
          <w:szCs w:val="24"/>
          <w:lang w:val="en-GB"/>
        </w:rPr>
        <w:t>is</w:t>
      </w:r>
      <w:proofErr w:type="gramEnd"/>
      <w:r w:rsidRPr="005A0F0E">
        <w:rPr>
          <w:rFonts w:ascii="Times New Roman" w:hAnsi="Times New Roman" w:cs="Times New Roman"/>
          <w:szCs w:val="24"/>
          <w:lang w:val="en-GB"/>
        </w:rPr>
        <w:t xml:space="preserve"> expected to fall by around a million barrels or nearly equal daily, or 40%, from 2019 levels. In the future, it expects a more price and carbon-resilient </w:t>
      </w:r>
      <w:r w:rsidRPr="005A0F0E">
        <w:rPr>
          <w:rFonts w:ascii="Times New Roman" w:hAnsi="Times New Roman" w:cs="Times New Roman"/>
          <w:szCs w:val="24"/>
          <w:lang w:val="en-GB"/>
        </w:rPr>
        <w:lastRenderedPageBreak/>
        <w:t>hydrocarbon portfolio. BP devised a new financial framework to allow for a considerable shift in resource allocation, with an emphasis on minimizing and other energy-transition activities (</w:t>
      </w:r>
      <w:r w:rsidRPr="005A0F0E">
        <w:rPr>
          <w:rFonts w:ascii="Times New Roman" w:hAnsi="Times New Roman" w:cs="Times New Roman"/>
          <w:color w:val="000000"/>
          <w:szCs w:val="24"/>
          <w:shd w:val="clear" w:color="auto" w:fill="FFFFFF"/>
        </w:rPr>
        <w:t xml:space="preserve">BP. </w:t>
      </w:r>
      <w:proofErr w:type="gramStart"/>
      <w:r w:rsidRPr="005A0F0E">
        <w:rPr>
          <w:rFonts w:ascii="Times New Roman" w:hAnsi="Times New Roman" w:cs="Times New Roman"/>
          <w:color w:val="000000"/>
          <w:szCs w:val="24"/>
          <w:shd w:val="clear" w:color="auto" w:fill="FFFFFF"/>
        </w:rPr>
        <w:t>2022</w:t>
      </w:r>
      <w:r w:rsidRPr="005A0F0E">
        <w:rPr>
          <w:rFonts w:ascii="Times New Roman" w:hAnsi="Times New Roman" w:cs="Times New Roman"/>
          <w:i/>
          <w:iCs/>
          <w:color w:val="000000"/>
          <w:szCs w:val="24"/>
          <w:shd w:val="clear" w:color="auto" w:fill="FFFFFF"/>
        </w:rPr>
        <w:t xml:space="preserve"> ,</w:t>
      </w:r>
      <w:proofErr w:type="gramEnd"/>
      <w:r w:rsidRPr="005A0F0E">
        <w:rPr>
          <w:rFonts w:ascii="Times New Roman" w:hAnsi="Times New Roman" w:cs="Times New Roman"/>
          <w:i/>
          <w:iCs/>
          <w:color w:val="000000"/>
          <w:szCs w:val="24"/>
          <w:shd w:val="clear" w:color="auto" w:fill="FFFFFF"/>
        </w:rPr>
        <w:t xml:space="preserve"> Fourth quarter and full year 2021 results)</w:t>
      </w:r>
      <w:r w:rsidRPr="005A0F0E">
        <w:rPr>
          <w:rFonts w:ascii="Times New Roman" w:hAnsi="Times New Roman" w:cs="Times New Roman"/>
          <w:szCs w:val="24"/>
          <w:lang w:val="en-GB"/>
        </w:rPr>
        <w:t>. The methodology and fiscal structure are designed to produce long-term value for bp's stakeholders by providing a consistent and appealing investment proposal. The goal of this approach is to strike a balance between tailored distributions, sustainable expansion, and long-term wealth creation.</w:t>
      </w:r>
    </w:p>
    <w:p w14:paraId="2E390E33"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As a financial management strategy bp </w:t>
      </w:r>
      <w:proofErr w:type="gramStart"/>
      <w:r w:rsidRPr="005A0F0E">
        <w:rPr>
          <w:rFonts w:ascii="Times New Roman" w:hAnsi="Times New Roman" w:cs="Times New Roman"/>
          <w:szCs w:val="24"/>
          <w:lang w:val="en-GB"/>
        </w:rPr>
        <w:t>is dedicated to providing</w:t>
      </w:r>
      <w:proofErr w:type="gramEnd"/>
      <w:r w:rsidRPr="005A0F0E">
        <w:rPr>
          <w:rFonts w:ascii="Times New Roman" w:hAnsi="Times New Roman" w:cs="Times New Roman"/>
          <w:szCs w:val="24"/>
          <w:lang w:val="en-GB"/>
        </w:rPr>
        <w:t xml:space="preserve"> shareholders with favourable returns (</w:t>
      </w:r>
      <w:r w:rsidRPr="005A0F0E">
        <w:rPr>
          <w:rFonts w:ascii="Times New Roman" w:hAnsi="Times New Roman" w:cs="Times New Roman"/>
          <w:color w:val="222222"/>
          <w:szCs w:val="24"/>
          <w:shd w:val="clear" w:color="auto" w:fill="FFFFFF"/>
        </w:rPr>
        <w:t>Madura, 2020)</w:t>
      </w:r>
      <w:r w:rsidRPr="005A0F0E">
        <w:rPr>
          <w:rFonts w:ascii="Times New Roman" w:hAnsi="Times New Roman" w:cs="Times New Roman"/>
          <w:szCs w:val="24"/>
          <w:lang w:val="en-GB"/>
        </w:rPr>
        <w:t xml:space="preserve">. As a result, as a component of the economic structure, bp's board has implemented a new allocation policy, which includes two elements: a steady dividend </w:t>
      </w:r>
      <w:proofErr w:type="spellStart"/>
      <w:proofErr w:type="gramStart"/>
      <w:r w:rsidRPr="005A0F0E">
        <w:rPr>
          <w:rFonts w:ascii="Times New Roman" w:hAnsi="Times New Roman" w:cs="Times New Roman"/>
          <w:szCs w:val="24"/>
          <w:lang w:val="en-GB"/>
        </w:rPr>
        <w:t>pay</w:t>
      </w:r>
      <w:proofErr w:type="gramEnd"/>
      <w:r w:rsidRPr="005A0F0E">
        <w:rPr>
          <w:rFonts w:ascii="Times New Roman" w:hAnsi="Times New Roman" w:cs="Times New Roman"/>
          <w:szCs w:val="24"/>
          <w:lang w:val="en-GB"/>
        </w:rPr>
        <w:t xml:space="preserve"> out</w:t>
      </w:r>
      <w:proofErr w:type="spellEnd"/>
      <w:r w:rsidRPr="005A0F0E">
        <w:rPr>
          <w:rFonts w:ascii="Times New Roman" w:hAnsi="Times New Roman" w:cs="Times New Roman"/>
          <w:szCs w:val="24"/>
          <w:lang w:val="en-GB"/>
        </w:rPr>
        <w:t xml:space="preserve"> of 5.25 cents per share with the purpose of retaining it; a promise to return at least 60% of excess cash flow to stakeholders via stock buybacks until net debt is lowered to $35 billion; and a good investment grade.</w:t>
      </w:r>
    </w:p>
    <w:p w14:paraId="5DE27CEA" w14:textId="77777777" w:rsidR="003638CC" w:rsidRPr="005A0F0E" w:rsidRDefault="003638CC" w:rsidP="003638CC">
      <w:pPr>
        <w:rPr>
          <w:rFonts w:ascii="Times New Roman" w:hAnsi="Times New Roman" w:cs="Times New Roman"/>
          <w:b/>
          <w:bCs/>
          <w:szCs w:val="24"/>
          <w:lang w:val="en-GB"/>
        </w:rPr>
      </w:pPr>
      <w:r w:rsidRPr="005A0F0E">
        <w:rPr>
          <w:rFonts w:ascii="Times New Roman" w:hAnsi="Times New Roman" w:cs="Times New Roman"/>
          <w:b/>
          <w:bCs/>
          <w:szCs w:val="24"/>
          <w:lang w:val="en-GB"/>
        </w:rPr>
        <w:br w:type="page"/>
      </w:r>
    </w:p>
    <w:p w14:paraId="1D499ADF" w14:textId="2BC71E33" w:rsidR="00054076" w:rsidRDefault="00054076" w:rsidP="003638CC">
      <w:pPr>
        <w:pStyle w:val="Heading1"/>
        <w:rPr>
          <w:rFonts w:ascii="Times New Roman" w:hAnsi="Times New Roman" w:cs="Times New Roman"/>
          <w:sz w:val="24"/>
          <w:szCs w:val="24"/>
          <w:lang w:val="en-GB"/>
        </w:rPr>
      </w:pPr>
      <w:bookmarkStart w:id="5" w:name="_Toc101744051"/>
      <w:proofErr w:type="spellStart"/>
      <w:r w:rsidRPr="002F1DF7">
        <w:rPr>
          <w:rFonts w:ascii="Times New Roman" w:hAnsi="Times New Roman" w:cs="Times New Roman"/>
          <w:color w:val="000000" w:themeColor="text1"/>
          <w:sz w:val="24"/>
          <w:szCs w:val="24"/>
        </w:rPr>
        <w:lastRenderedPageBreak/>
        <w:t>Teodor</w:t>
      </w:r>
      <w:proofErr w:type="spellEnd"/>
      <w:r w:rsidRPr="002F1DF7">
        <w:rPr>
          <w:rFonts w:ascii="Times New Roman" w:hAnsi="Times New Roman" w:cs="Times New Roman"/>
          <w:color w:val="000000" w:themeColor="text1"/>
          <w:sz w:val="24"/>
          <w:szCs w:val="24"/>
        </w:rPr>
        <w:t xml:space="preserve"> </w:t>
      </w:r>
      <w:proofErr w:type="spellStart"/>
      <w:r w:rsidRPr="002F1DF7">
        <w:rPr>
          <w:rFonts w:ascii="Times New Roman" w:hAnsi="Times New Roman" w:cs="Times New Roman"/>
          <w:color w:val="000000" w:themeColor="text1"/>
          <w:sz w:val="24"/>
          <w:szCs w:val="24"/>
        </w:rPr>
        <w:t>Angelov</w:t>
      </w:r>
      <w:proofErr w:type="spellEnd"/>
      <w:r w:rsidRPr="002F1DF7">
        <w:rPr>
          <w:rFonts w:ascii="Times New Roman" w:hAnsi="Times New Roman" w:cs="Times New Roman"/>
          <w:color w:val="000000" w:themeColor="text1"/>
          <w:sz w:val="24"/>
          <w:szCs w:val="24"/>
        </w:rPr>
        <w:t xml:space="preserve">, </w:t>
      </w:r>
      <w:proofErr w:type="spellStart"/>
      <w:r w:rsidRPr="000814C5">
        <w:rPr>
          <w:rFonts w:ascii="Times New Roman" w:hAnsi="Times New Roman" w:cs="Times New Roman"/>
          <w:color w:val="000000" w:themeColor="text1"/>
          <w:sz w:val="24"/>
          <w:szCs w:val="24"/>
          <w:lang w:val="en-GB"/>
        </w:rPr>
        <w:t>Desislava</w:t>
      </w:r>
      <w:proofErr w:type="spellEnd"/>
      <w:r w:rsidRPr="000814C5">
        <w:rPr>
          <w:rFonts w:ascii="Times New Roman" w:hAnsi="Times New Roman" w:cs="Times New Roman"/>
          <w:color w:val="000000" w:themeColor="text1"/>
          <w:sz w:val="24"/>
          <w:szCs w:val="24"/>
          <w:lang w:val="en-GB"/>
        </w:rPr>
        <w:t xml:space="preserve"> </w:t>
      </w:r>
      <w:proofErr w:type="spellStart"/>
      <w:r w:rsidRPr="000814C5">
        <w:rPr>
          <w:rFonts w:ascii="Times New Roman" w:hAnsi="Times New Roman" w:cs="Times New Roman"/>
          <w:color w:val="000000" w:themeColor="text1"/>
          <w:sz w:val="24"/>
          <w:szCs w:val="24"/>
          <w:lang w:val="en-GB"/>
        </w:rPr>
        <w:t>Zhelyazkova</w:t>
      </w:r>
      <w:proofErr w:type="spellEnd"/>
      <w:r w:rsidRPr="002F1DF7">
        <w:rPr>
          <w:rFonts w:ascii="Times New Roman" w:hAnsi="Times New Roman" w:cs="Times New Roman"/>
          <w:color w:val="000000" w:themeColor="text1"/>
          <w:sz w:val="24"/>
          <w:szCs w:val="24"/>
          <w:lang w:val="en-GB"/>
        </w:rPr>
        <w:t xml:space="preserve">, </w:t>
      </w:r>
      <w:r w:rsidRPr="000814C5">
        <w:rPr>
          <w:rFonts w:ascii="Times New Roman" w:hAnsi="Times New Roman" w:cs="Times New Roman"/>
          <w:color w:val="000000" w:themeColor="text1"/>
          <w:sz w:val="24"/>
          <w:szCs w:val="24"/>
          <w:lang w:val="en-GB"/>
        </w:rPr>
        <w:t xml:space="preserve">Petya </w:t>
      </w:r>
      <w:proofErr w:type="spellStart"/>
      <w:r w:rsidRPr="000814C5">
        <w:rPr>
          <w:rFonts w:ascii="Times New Roman" w:hAnsi="Times New Roman" w:cs="Times New Roman"/>
          <w:color w:val="000000" w:themeColor="text1"/>
          <w:sz w:val="24"/>
          <w:szCs w:val="24"/>
          <w:lang w:val="en-GB"/>
        </w:rPr>
        <w:t>Niklenova</w:t>
      </w:r>
      <w:proofErr w:type="spellEnd"/>
      <w:r w:rsidRPr="002F1DF7">
        <w:rPr>
          <w:rFonts w:ascii="Times New Roman" w:hAnsi="Times New Roman" w:cs="Times New Roman"/>
          <w:color w:val="000000" w:themeColor="text1"/>
          <w:sz w:val="24"/>
          <w:szCs w:val="24"/>
          <w:lang w:val="en-GB"/>
        </w:rPr>
        <w:t xml:space="preserve">, </w:t>
      </w:r>
      <w:proofErr w:type="spellStart"/>
      <w:r w:rsidRPr="000814C5">
        <w:rPr>
          <w:rFonts w:ascii="Times New Roman" w:hAnsi="Times New Roman" w:cs="Times New Roman"/>
          <w:color w:val="000000" w:themeColor="text1"/>
          <w:sz w:val="24"/>
          <w:szCs w:val="24"/>
          <w:lang w:val="en-GB"/>
        </w:rPr>
        <w:t>Veselin</w:t>
      </w:r>
      <w:proofErr w:type="spellEnd"/>
      <w:r w:rsidRPr="000814C5">
        <w:rPr>
          <w:rFonts w:ascii="Times New Roman" w:hAnsi="Times New Roman" w:cs="Times New Roman"/>
          <w:color w:val="000000" w:themeColor="text1"/>
          <w:sz w:val="24"/>
          <w:szCs w:val="24"/>
          <w:lang w:val="en-GB"/>
        </w:rPr>
        <w:t xml:space="preserve"> Ivanov</w:t>
      </w:r>
    </w:p>
    <w:p w14:paraId="54DEF44C" w14:textId="1EC59749" w:rsidR="003638CC" w:rsidRPr="005A0F0E" w:rsidRDefault="003638CC" w:rsidP="003638CC">
      <w:pPr>
        <w:pStyle w:val="Heading1"/>
        <w:rPr>
          <w:rFonts w:ascii="Times New Roman" w:hAnsi="Times New Roman" w:cs="Times New Roman"/>
          <w:sz w:val="24"/>
          <w:szCs w:val="24"/>
          <w:lang w:val="en-GB"/>
        </w:rPr>
      </w:pPr>
      <w:r w:rsidRPr="005A0F0E">
        <w:rPr>
          <w:rFonts w:ascii="Times New Roman" w:hAnsi="Times New Roman" w:cs="Times New Roman"/>
          <w:sz w:val="24"/>
          <w:szCs w:val="24"/>
          <w:lang w:val="en-GB"/>
        </w:rPr>
        <w:t xml:space="preserve">Strategies that BP Corporation uses to manage their exposure to foreign exchange </w:t>
      </w:r>
      <w:proofErr w:type="gramStart"/>
      <w:r w:rsidRPr="005A0F0E">
        <w:rPr>
          <w:rFonts w:ascii="Times New Roman" w:hAnsi="Times New Roman" w:cs="Times New Roman"/>
          <w:sz w:val="24"/>
          <w:szCs w:val="24"/>
          <w:lang w:val="en-GB"/>
        </w:rPr>
        <w:t>risks;</w:t>
      </w:r>
      <w:bookmarkEnd w:id="5"/>
      <w:proofErr w:type="gramEnd"/>
      <w:r w:rsidRPr="005A0F0E">
        <w:rPr>
          <w:rFonts w:ascii="Times New Roman" w:hAnsi="Times New Roman" w:cs="Times New Roman"/>
          <w:sz w:val="24"/>
          <w:szCs w:val="24"/>
          <w:lang w:val="en-GB"/>
        </w:rPr>
        <w:t xml:space="preserve"> </w:t>
      </w:r>
    </w:p>
    <w:p w14:paraId="084EF8E8"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Due to the increased globalization of world markets, as well as greater exposure of enterprises involved in international commerce, foreign exchange risk has become a more essential component of risk management. In today's unpredictable financial markets, companies involved in international commerce face dangers posed by unanticipated changes in currency rates. In today's unpredictable financial markets, companies involved in international commerce face dangers posed by unanticipated changes in currency rates (</w:t>
      </w:r>
      <w:proofErr w:type="spellStart"/>
      <w:r w:rsidRPr="005A0F0E">
        <w:rPr>
          <w:rFonts w:ascii="Times New Roman" w:hAnsi="Times New Roman" w:cs="Times New Roman"/>
          <w:color w:val="222222"/>
          <w:szCs w:val="24"/>
          <w:shd w:val="clear" w:color="auto" w:fill="FFFFFF"/>
        </w:rPr>
        <w:t>Mojarad</w:t>
      </w:r>
      <w:proofErr w:type="spellEnd"/>
      <w:r w:rsidRPr="005A0F0E">
        <w:rPr>
          <w:rFonts w:ascii="Times New Roman" w:hAnsi="Times New Roman" w:cs="Times New Roman"/>
          <w:color w:val="222222"/>
          <w:szCs w:val="24"/>
          <w:shd w:val="clear" w:color="auto" w:fill="FFFFFF"/>
        </w:rPr>
        <w:t xml:space="preserve">, </w:t>
      </w:r>
      <w:proofErr w:type="spellStart"/>
      <w:r w:rsidRPr="005A0F0E">
        <w:rPr>
          <w:rFonts w:ascii="Times New Roman" w:hAnsi="Times New Roman" w:cs="Times New Roman"/>
          <w:color w:val="222222"/>
          <w:szCs w:val="24"/>
          <w:shd w:val="clear" w:color="auto" w:fill="FFFFFF"/>
        </w:rPr>
        <w:t>Atashbari</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Tantau</w:t>
      </w:r>
      <w:proofErr w:type="spellEnd"/>
      <w:r w:rsidRPr="005A0F0E">
        <w:rPr>
          <w:rFonts w:ascii="Times New Roman" w:hAnsi="Times New Roman" w:cs="Times New Roman"/>
          <w:color w:val="222222"/>
          <w:szCs w:val="24"/>
          <w:shd w:val="clear" w:color="auto" w:fill="FFFFFF"/>
        </w:rPr>
        <w:t>, 2018)</w:t>
      </w:r>
      <w:r w:rsidRPr="005A0F0E">
        <w:rPr>
          <w:rFonts w:ascii="Times New Roman" w:hAnsi="Times New Roman" w:cs="Times New Roman"/>
          <w:szCs w:val="24"/>
          <w:lang w:val="en-GB"/>
        </w:rPr>
        <w:t>. The management of this risk has become critical for such businesses' existence.</w:t>
      </w:r>
    </w:p>
    <w:p w14:paraId="58AF81F8"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Managing foreign exchange risk requires keeping a close eye on foreign currency holdings </w:t>
      </w:r>
      <w:proofErr w:type="gramStart"/>
      <w:r w:rsidRPr="005A0F0E">
        <w:rPr>
          <w:rFonts w:ascii="Times New Roman" w:hAnsi="Times New Roman" w:cs="Times New Roman"/>
          <w:szCs w:val="24"/>
          <w:lang w:val="en-GB"/>
        </w:rPr>
        <w:t>in order to</w:t>
      </w:r>
      <w:proofErr w:type="gramEnd"/>
      <w:r w:rsidRPr="005A0F0E">
        <w:rPr>
          <w:rFonts w:ascii="Times New Roman" w:hAnsi="Times New Roman" w:cs="Times New Roman"/>
          <w:szCs w:val="24"/>
          <w:lang w:val="en-GB"/>
        </w:rPr>
        <w:t xml:space="preserve"> keep the impact of exchange rate variations on the institution's financial status to a minimum. Currency risk hedging is eradicating or reducing this risk, and it necessitates an understanding of how exchange rate risk affects economic actors' operations, as well as how to cope with the risk implications that ensue (</w:t>
      </w:r>
      <w:r w:rsidRPr="005A0F0E">
        <w:rPr>
          <w:rFonts w:ascii="Times New Roman" w:hAnsi="Times New Roman" w:cs="Times New Roman"/>
          <w:color w:val="222222"/>
          <w:szCs w:val="24"/>
          <w:shd w:val="clear" w:color="auto" w:fill="FFFFFF"/>
        </w:rPr>
        <w:t>Madura, 2020)</w:t>
      </w:r>
      <w:r w:rsidRPr="005A0F0E">
        <w:rPr>
          <w:rFonts w:ascii="Times New Roman" w:hAnsi="Times New Roman" w:cs="Times New Roman"/>
          <w:szCs w:val="24"/>
          <w:lang w:val="en-GB"/>
        </w:rPr>
        <w:t>.</w:t>
      </w:r>
    </w:p>
    <w:p w14:paraId="6019EEF1"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BP is exposed to </w:t>
      </w:r>
      <w:proofErr w:type="gramStart"/>
      <w:r w:rsidRPr="005A0F0E">
        <w:rPr>
          <w:rFonts w:ascii="Times New Roman" w:hAnsi="Times New Roman" w:cs="Times New Roman"/>
          <w:szCs w:val="24"/>
          <w:lang w:val="en-GB"/>
        </w:rPr>
        <w:t>a number of</w:t>
      </w:r>
      <w:proofErr w:type="gramEnd"/>
      <w:r w:rsidRPr="005A0F0E">
        <w:rPr>
          <w:rFonts w:ascii="Times New Roman" w:hAnsi="Times New Roman" w:cs="Times New Roman"/>
          <w:szCs w:val="24"/>
          <w:lang w:val="en-GB"/>
        </w:rPr>
        <w:t xml:space="preserve"> hazards during the production and management process. Firms are vulnerable to a variety of hazards, including. To control these risks, an effective risk management system is required in a timely manner to minimize the dangers of foreign currency exchange (</w:t>
      </w:r>
      <w:proofErr w:type="spellStart"/>
      <w:r w:rsidRPr="005A0F0E">
        <w:rPr>
          <w:rFonts w:ascii="Times New Roman" w:hAnsi="Times New Roman" w:cs="Times New Roman"/>
          <w:color w:val="222222"/>
          <w:szCs w:val="24"/>
          <w:shd w:val="clear" w:color="auto" w:fill="FFFFFF"/>
        </w:rPr>
        <w:t>Trigeorgis</w:t>
      </w:r>
      <w:proofErr w:type="spellEnd"/>
      <w:r w:rsidRPr="005A0F0E">
        <w:rPr>
          <w:rFonts w:ascii="Times New Roman" w:hAnsi="Times New Roman" w:cs="Times New Roman"/>
          <w:color w:val="222222"/>
          <w:szCs w:val="24"/>
          <w:shd w:val="clear" w:color="auto" w:fill="FFFFFF"/>
        </w:rPr>
        <w:t xml:space="preserve">, and </w:t>
      </w:r>
      <w:proofErr w:type="spellStart"/>
      <w:r w:rsidRPr="005A0F0E">
        <w:rPr>
          <w:rFonts w:ascii="Times New Roman" w:hAnsi="Times New Roman" w:cs="Times New Roman"/>
          <w:color w:val="222222"/>
          <w:szCs w:val="24"/>
          <w:shd w:val="clear" w:color="auto" w:fill="FFFFFF"/>
        </w:rPr>
        <w:t>Reuer</w:t>
      </w:r>
      <w:proofErr w:type="spellEnd"/>
      <w:r w:rsidRPr="005A0F0E">
        <w:rPr>
          <w:rFonts w:ascii="Times New Roman" w:hAnsi="Times New Roman" w:cs="Times New Roman"/>
          <w:color w:val="222222"/>
          <w:szCs w:val="24"/>
          <w:shd w:val="clear" w:color="auto" w:fill="FFFFFF"/>
        </w:rPr>
        <w:t>, 2017)</w:t>
      </w:r>
      <w:r w:rsidRPr="005A0F0E">
        <w:rPr>
          <w:rFonts w:ascii="Times New Roman" w:hAnsi="Times New Roman" w:cs="Times New Roman"/>
          <w:szCs w:val="24"/>
          <w:lang w:val="en-GB"/>
        </w:rPr>
        <w:t xml:space="preserve">. In the international market, commodities are mostly paid in dollars. Changes in the value of the dollar against other currencies have a significant influence on BP's sales and profitability. The dollar's exchange rate to the euro dropped from 2017 to 2018, according to dollar/euro exchange rate records during the previous six years. The exchange rate has dropped, which is beneficial to European customers. BP, on the other hand, </w:t>
      </w:r>
      <w:r w:rsidRPr="005A0F0E">
        <w:rPr>
          <w:rFonts w:ascii="Times New Roman" w:hAnsi="Times New Roman" w:cs="Times New Roman"/>
          <w:szCs w:val="24"/>
          <w:lang w:val="en-GB"/>
        </w:rPr>
        <w:lastRenderedPageBreak/>
        <w:t>can get a good deal on a euro-to-dollar future contract, so hedging the risk of a foreign currency exchange rate depreciation if the dollar falls.</w:t>
      </w:r>
    </w:p>
    <w:p w14:paraId="5DF08A50"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BP PLC invests heavily in infrastructure in the petroleum and energy, electricity, and mining industries. Long term deals with major foreign currency elements generally govern these ventures. These contracts might last for years, and market prices may vary between when you sign them and when they expire. and when you decide on a price, jeopardizing your profits (</w:t>
      </w:r>
      <w:r w:rsidRPr="005A0F0E">
        <w:rPr>
          <w:rFonts w:ascii="Times New Roman" w:hAnsi="Times New Roman" w:cs="Times New Roman"/>
          <w:szCs w:val="24"/>
        </w:rPr>
        <w:t xml:space="preserve">BP. 2021. </w:t>
      </w:r>
      <w:r w:rsidRPr="005A0F0E">
        <w:rPr>
          <w:rFonts w:ascii="Times New Roman" w:hAnsi="Times New Roman" w:cs="Times New Roman"/>
          <w:i/>
          <w:iCs/>
          <w:szCs w:val="24"/>
        </w:rPr>
        <w:t>bp files Annual Report and Form 20-F for 2020</w:t>
      </w:r>
      <w:r w:rsidRPr="005A0F0E">
        <w:rPr>
          <w:rFonts w:ascii="Times New Roman" w:hAnsi="Times New Roman" w:cs="Times New Roman"/>
          <w:szCs w:val="24"/>
        </w:rPr>
        <w:t>)</w:t>
      </w:r>
      <w:r w:rsidRPr="005A0F0E">
        <w:rPr>
          <w:rFonts w:ascii="Times New Roman" w:hAnsi="Times New Roman" w:cs="Times New Roman"/>
          <w:szCs w:val="24"/>
          <w:lang w:val="en-GB"/>
        </w:rPr>
        <w:t>. To reduce this risk, foreign exchange conditions might be included in the contract, allowing for income recovery if exchange rates move by a specific amount. As a result, the client is exposed to foreign exchange risk, which must be handled similarly to any other contract dispute.</w:t>
      </w:r>
    </w:p>
    <w:p w14:paraId="6FF6F514"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 xml:space="preserve">When a company's revenue and spending are matched in multiple currencies, a natural foreign currency hedge is generated, </w:t>
      </w:r>
      <w:proofErr w:type="gramStart"/>
      <w:r w:rsidRPr="005A0F0E">
        <w:rPr>
          <w:rFonts w:ascii="Times New Roman" w:hAnsi="Times New Roman" w:cs="Times New Roman"/>
          <w:szCs w:val="24"/>
          <w:lang w:val="en-GB"/>
        </w:rPr>
        <w:t>decreasing</w:t>
      </w:r>
      <w:proofErr w:type="gramEnd"/>
      <w:r w:rsidRPr="005A0F0E">
        <w:rPr>
          <w:rFonts w:ascii="Times New Roman" w:hAnsi="Times New Roman" w:cs="Times New Roman"/>
          <w:szCs w:val="24"/>
          <w:lang w:val="en-GB"/>
        </w:rPr>
        <w:t xml:space="preserve"> or eliminating overall risk. For example, BP, which is </w:t>
      </w:r>
      <w:proofErr w:type="gramStart"/>
      <w:r w:rsidRPr="005A0F0E">
        <w:rPr>
          <w:rFonts w:ascii="Times New Roman" w:hAnsi="Times New Roman" w:cs="Times New Roman"/>
          <w:szCs w:val="24"/>
          <w:lang w:val="en-GB"/>
        </w:rPr>
        <w:t>an</w:t>
      </w:r>
      <w:proofErr w:type="gramEnd"/>
      <w:r w:rsidRPr="005A0F0E">
        <w:rPr>
          <w:rFonts w:ascii="Times New Roman" w:hAnsi="Times New Roman" w:cs="Times New Roman"/>
          <w:szCs w:val="24"/>
          <w:lang w:val="en-GB"/>
        </w:rPr>
        <w:t xml:space="preserve"> European corporation that generates dollars in the United States, would want to obtain items from the United States for selling in Europe so that the dollars may be used. This is an instance that simplifies the distribution network of most firms mostly when a company has locations in many countries.</w:t>
      </w:r>
    </w:p>
    <w:p w14:paraId="7024EE2F" w14:textId="77777777" w:rsidR="003638CC" w:rsidRPr="005A0F0E" w:rsidRDefault="003638CC" w:rsidP="003638CC">
      <w:pPr>
        <w:spacing w:after="0" w:line="480" w:lineRule="auto"/>
        <w:ind w:firstLine="720"/>
        <w:rPr>
          <w:rFonts w:ascii="Times New Roman" w:hAnsi="Times New Roman" w:cs="Times New Roman"/>
          <w:szCs w:val="24"/>
          <w:lang w:val="en-GB"/>
        </w:rPr>
      </w:pPr>
      <w:r w:rsidRPr="005A0F0E">
        <w:rPr>
          <w:rFonts w:ascii="Times New Roman" w:hAnsi="Times New Roman" w:cs="Times New Roman"/>
          <w:szCs w:val="24"/>
          <w:lang w:val="en-GB"/>
        </w:rPr>
        <w:t>A forward currency agreement is a deal in which a multinational organization signs to buy or trade a certain quantity of foreign currency at a time in the future (</w:t>
      </w:r>
      <w:r w:rsidRPr="005A0F0E">
        <w:rPr>
          <w:rFonts w:ascii="Times New Roman" w:hAnsi="Times New Roman" w:cs="Times New Roman"/>
          <w:color w:val="222222"/>
          <w:szCs w:val="24"/>
          <w:shd w:val="clear" w:color="auto" w:fill="FFFFFF"/>
        </w:rPr>
        <w:t>Brink, 2017)</w:t>
      </w:r>
      <w:r w:rsidRPr="005A0F0E">
        <w:rPr>
          <w:rFonts w:ascii="Times New Roman" w:hAnsi="Times New Roman" w:cs="Times New Roman"/>
          <w:szCs w:val="24"/>
          <w:lang w:val="en-GB"/>
        </w:rPr>
        <w:t xml:space="preserve">. The respective corporation may protect its operations from potential variations with the available exchange rate of a different currency by engaging into such a deal with other stakeholders. Meanwhile, as a worldwide corporation, BP may employ currency options, which offer the business the choice. There is, however, no obligation to purchase or sell the specific product until the specific date. In such a scenario, when the offered exchange rate is higher than the specific </w:t>
      </w:r>
      <w:r w:rsidRPr="005A0F0E">
        <w:rPr>
          <w:rFonts w:ascii="Times New Roman" w:hAnsi="Times New Roman" w:cs="Times New Roman"/>
          <w:szCs w:val="24"/>
          <w:lang w:val="en-GB"/>
        </w:rPr>
        <w:lastRenderedPageBreak/>
        <w:t>market price, the respective investor will accept the offer and acquire the profits proceeding from the contract.</w:t>
      </w:r>
    </w:p>
    <w:p w14:paraId="53D26CE5" w14:textId="77777777" w:rsidR="003638CC" w:rsidRPr="005A0F0E" w:rsidRDefault="003638CC" w:rsidP="003638CC">
      <w:pPr>
        <w:pStyle w:val="Heading1"/>
        <w:rPr>
          <w:rFonts w:ascii="Times New Roman" w:hAnsi="Times New Roman" w:cs="Times New Roman"/>
          <w:sz w:val="24"/>
          <w:szCs w:val="24"/>
          <w:lang w:val="en-GB"/>
        </w:rPr>
      </w:pPr>
      <w:bookmarkStart w:id="6" w:name="_Toc101744052"/>
      <w:r w:rsidRPr="005A0F0E">
        <w:rPr>
          <w:rFonts w:ascii="Times New Roman" w:hAnsi="Times New Roman" w:cs="Times New Roman"/>
          <w:sz w:val="24"/>
          <w:szCs w:val="24"/>
          <w:lang w:val="en-GB"/>
        </w:rPr>
        <w:t>References</w:t>
      </w:r>
      <w:bookmarkEnd w:id="6"/>
    </w:p>
    <w:p w14:paraId="4AA875B7"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t xml:space="preserve">Arora, M.P. and </w:t>
      </w:r>
      <w:proofErr w:type="spellStart"/>
      <w:r w:rsidRPr="005A0F0E">
        <w:rPr>
          <w:rFonts w:ascii="Times New Roman" w:hAnsi="Times New Roman" w:cs="Times New Roman"/>
          <w:color w:val="222222"/>
          <w:szCs w:val="24"/>
          <w:shd w:val="clear" w:color="auto" w:fill="FFFFFF"/>
        </w:rPr>
        <w:t>Lodhia</w:t>
      </w:r>
      <w:proofErr w:type="spellEnd"/>
      <w:r w:rsidRPr="005A0F0E">
        <w:rPr>
          <w:rFonts w:ascii="Times New Roman" w:hAnsi="Times New Roman" w:cs="Times New Roman"/>
          <w:color w:val="222222"/>
          <w:szCs w:val="24"/>
          <w:shd w:val="clear" w:color="auto" w:fill="FFFFFF"/>
        </w:rPr>
        <w:t>, S., 2017. The BP Gulf of Mexico oil spill: Exploring the link between social and environmental disclosures and reputation risk management. </w:t>
      </w:r>
      <w:r w:rsidRPr="005A0F0E">
        <w:rPr>
          <w:rFonts w:ascii="Times New Roman" w:hAnsi="Times New Roman" w:cs="Times New Roman"/>
          <w:i/>
          <w:iCs/>
          <w:color w:val="222222"/>
          <w:szCs w:val="24"/>
          <w:shd w:val="clear" w:color="auto" w:fill="FFFFFF"/>
        </w:rPr>
        <w:t>Journal of Cleaner Production</w:t>
      </w:r>
      <w:r w:rsidRPr="005A0F0E">
        <w:rPr>
          <w:rFonts w:ascii="Times New Roman" w:hAnsi="Times New Roman" w:cs="Times New Roman"/>
          <w:color w:val="222222"/>
          <w:szCs w:val="24"/>
          <w:shd w:val="clear" w:color="auto" w:fill="FFFFFF"/>
        </w:rPr>
        <w:t>, </w:t>
      </w:r>
      <w:r w:rsidRPr="005A0F0E">
        <w:rPr>
          <w:rFonts w:ascii="Times New Roman" w:hAnsi="Times New Roman" w:cs="Times New Roman"/>
          <w:i/>
          <w:iCs/>
          <w:color w:val="222222"/>
          <w:szCs w:val="24"/>
          <w:shd w:val="clear" w:color="auto" w:fill="FFFFFF"/>
        </w:rPr>
        <w:t>140</w:t>
      </w:r>
      <w:r w:rsidRPr="005A0F0E">
        <w:rPr>
          <w:rFonts w:ascii="Times New Roman" w:hAnsi="Times New Roman" w:cs="Times New Roman"/>
          <w:color w:val="222222"/>
          <w:szCs w:val="24"/>
          <w:shd w:val="clear" w:color="auto" w:fill="FFFFFF"/>
        </w:rPr>
        <w:t>, pp.1287-1297.</w:t>
      </w:r>
    </w:p>
    <w:p w14:paraId="3BB8D63B"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t xml:space="preserve">Bekaert, G.J. and </w:t>
      </w:r>
      <w:proofErr w:type="spellStart"/>
      <w:r w:rsidRPr="005A0F0E">
        <w:rPr>
          <w:rFonts w:ascii="Times New Roman" w:hAnsi="Times New Roman" w:cs="Times New Roman"/>
          <w:color w:val="222222"/>
          <w:szCs w:val="24"/>
          <w:shd w:val="clear" w:color="auto" w:fill="FFFFFF"/>
        </w:rPr>
        <w:t>Hodrick</w:t>
      </w:r>
      <w:proofErr w:type="spellEnd"/>
      <w:r w:rsidRPr="005A0F0E">
        <w:rPr>
          <w:rFonts w:ascii="Times New Roman" w:hAnsi="Times New Roman" w:cs="Times New Roman"/>
          <w:color w:val="222222"/>
          <w:szCs w:val="24"/>
          <w:shd w:val="clear" w:color="auto" w:fill="FFFFFF"/>
        </w:rPr>
        <w:t>, R.J., 2013. </w:t>
      </w:r>
      <w:r w:rsidRPr="005A0F0E">
        <w:rPr>
          <w:rFonts w:ascii="Times New Roman" w:hAnsi="Times New Roman" w:cs="Times New Roman"/>
          <w:i/>
          <w:iCs/>
          <w:color w:val="222222"/>
          <w:szCs w:val="24"/>
          <w:shd w:val="clear" w:color="auto" w:fill="FFFFFF"/>
        </w:rPr>
        <w:t>International Financial Management: Pearson New International Edition PDF eBook</w:t>
      </w:r>
      <w:r w:rsidRPr="005A0F0E">
        <w:rPr>
          <w:rFonts w:ascii="Times New Roman" w:hAnsi="Times New Roman" w:cs="Times New Roman"/>
          <w:color w:val="222222"/>
          <w:szCs w:val="24"/>
          <w:shd w:val="clear" w:color="auto" w:fill="FFFFFF"/>
        </w:rPr>
        <w:t>. Pearson Higher Ed.</w:t>
      </w:r>
    </w:p>
    <w:p w14:paraId="3CFF6CBA" w14:textId="77777777" w:rsidR="003638CC" w:rsidRPr="005A0F0E" w:rsidRDefault="003638CC" w:rsidP="003638CC">
      <w:pPr>
        <w:spacing w:after="0" w:line="480" w:lineRule="auto"/>
        <w:ind w:left="720" w:hanging="720"/>
        <w:rPr>
          <w:rFonts w:ascii="Times New Roman" w:hAnsi="Times New Roman" w:cs="Times New Roman"/>
          <w:szCs w:val="24"/>
        </w:rPr>
      </w:pPr>
      <w:r w:rsidRPr="005A0F0E">
        <w:rPr>
          <w:rFonts w:ascii="Times New Roman" w:hAnsi="Times New Roman" w:cs="Times New Roman"/>
          <w:szCs w:val="24"/>
        </w:rPr>
        <w:t xml:space="preserve">BP. 2021. bp files Annual Report and Form 20-F for 2020. [online] Available at: </w:t>
      </w:r>
      <w:hyperlink r:id="rId7" w:history="1">
        <w:r w:rsidRPr="005A0F0E">
          <w:rPr>
            <w:rStyle w:val="Hyperlink"/>
            <w:rFonts w:ascii="Times New Roman" w:hAnsi="Times New Roman" w:cs="Times New Roman"/>
            <w:szCs w:val="24"/>
          </w:rPr>
          <w:t>https://www.bp.com/en/global/corporate/news-and-insights/press-releases/bp-files-annual-report-on-form-20-f-for-2020.html</w:t>
        </w:r>
      </w:hyperlink>
      <w:r w:rsidRPr="005A0F0E">
        <w:rPr>
          <w:rFonts w:ascii="Times New Roman" w:hAnsi="Times New Roman" w:cs="Times New Roman"/>
          <w:szCs w:val="24"/>
        </w:rPr>
        <w:t xml:space="preserve">  [Accessed 24 April 2022].</w:t>
      </w:r>
    </w:p>
    <w:p w14:paraId="2DFAE680" w14:textId="77777777" w:rsidR="003638CC" w:rsidRPr="005A0F0E" w:rsidRDefault="003638CC" w:rsidP="003638CC">
      <w:pPr>
        <w:spacing w:after="0" w:line="480" w:lineRule="auto"/>
        <w:ind w:left="720" w:hanging="720"/>
        <w:rPr>
          <w:rFonts w:ascii="Times New Roman" w:hAnsi="Times New Roman" w:cs="Times New Roman"/>
          <w:color w:val="000000"/>
          <w:szCs w:val="24"/>
          <w:shd w:val="clear" w:color="auto" w:fill="FFFFFF"/>
        </w:rPr>
      </w:pPr>
      <w:r w:rsidRPr="005A0F0E">
        <w:rPr>
          <w:rFonts w:ascii="Times New Roman" w:hAnsi="Times New Roman" w:cs="Times New Roman"/>
          <w:color w:val="000000"/>
          <w:szCs w:val="24"/>
          <w:shd w:val="clear" w:color="auto" w:fill="FFFFFF"/>
        </w:rPr>
        <w:t>BP. 2022. </w:t>
      </w:r>
      <w:r w:rsidRPr="005A0F0E">
        <w:rPr>
          <w:rFonts w:ascii="Times New Roman" w:hAnsi="Times New Roman" w:cs="Times New Roman"/>
          <w:i/>
          <w:iCs/>
          <w:color w:val="000000"/>
          <w:szCs w:val="24"/>
          <w:shd w:val="clear" w:color="auto" w:fill="FFFFFF"/>
        </w:rPr>
        <w:t>Annual Report and Form 20-F 2021</w:t>
      </w:r>
      <w:r w:rsidRPr="005A0F0E">
        <w:rPr>
          <w:rFonts w:ascii="Times New Roman" w:hAnsi="Times New Roman" w:cs="Times New Roman"/>
          <w:color w:val="000000"/>
          <w:szCs w:val="24"/>
          <w:shd w:val="clear" w:color="auto" w:fill="FFFFFF"/>
        </w:rPr>
        <w:t xml:space="preserve">. [online] Available at: </w:t>
      </w:r>
      <w:hyperlink r:id="rId8" w:history="1">
        <w:r w:rsidRPr="005A0F0E">
          <w:rPr>
            <w:rStyle w:val="Hyperlink"/>
            <w:rFonts w:ascii="Times New Roman" w:hAnsi="Times New Roman" w:cs="Times New Roman"/>
            <w:szCs w:val="24"/>
            <w:shd w:val="clear" w:color="auto" w:fill="FFFFFF"/>
          </w:rPr>
          <w:t>https://www.bp.com/en/global/corporate/investors/annual-report.html</w:t>
        </w:r>
      </w:hyperlink>
      <w:r w:rsidRPr="005A0F0E">
        <w:rPr>
          <w:rFonts w:ascii="Times New Roman" w:hAnsi="Times New Roman" w:cs="Times New Roman"/>
          <w:color w:val="000000"/>
          <w:szCs w:val="24"/>
          <w:shd w:val="clear" w:color="auto" w:fill="FFFFFF"/>
        </w:rPr>
        <w:t xml:space="preserve">  [Accessed 24 April 2022].</w:t>
      </w:r>
    </w:p>
    <w:p w14:paraId="0D69888E" w14:textId="77777777" w:rsidR="003638CC" w:rsidRPr="005A0F0E" w:rsidRDefault="003638CC" w:rsidP="003638CC">
      <w:pPr>
        <w:spacing w:after="0" w:line="480" w:lineRule="auto"/>
        <w:ind w:left="720" w:hanging="720"/>
        <w:rPr>
          <w:rFonts w:ascii="Times New Roman" w:hAnsi="Times New Roman" w:cs="Times New Roman"/>
          <w:color w:val="000000"/>
          <w:szCs w:val="24"/>
          <w:shd w:val="clear" w:color="auto" w:fill="FFFFFF"/>
        </w:rPr>
      </w:pPr>
      <w:r w:rsidRPr="005A0F0E">
        <w:rPr>
          <w:rFonts w:ascii="Times New Roman" w:hAnsi="Times New Roman" w:cs="Times New Roman"/>
          <w:color w:val="000000"/>
          <w:szCs w:val="24"/>
          <w:shd w:val="clear" w:color="auto" w:fill="FFFFFF"/>
        </w:rPr>
        <w:t>BP. 2022. </w:t>
      </w:r>
      <w:r w:rsidRPr="005A0F0E">
        <w:rPr>
          <w:rFonts w:ascii="Times New Roman" w:hAnsi="Times New Roman" w:cs="Times New Roman"/>
          <w:i/>
          <w:iCs/>
          <w:color w:val="000000"/>
          <w:szCs w:val="24"/>
          <w:shd w:val="clear" w:color="auto" w:fill="FFFFFF"/>
        </w:rPr>
        <w:t>Fourth quarter and full year 2021 results</w:t>
      </w:r>
      <w:r w:rsidRPr="005A0F0E">
        <w:rPr>
          <w:rFonts w:ascii="Times New Roman" w:hAnsi="Times New Roman" w:cs="Times New Roman"/>
          <w:color w:val="000000"/>
          <w:szCs w:val="24"/>
          <w:shd w:val="clear" w:color="auto" w:fill="FFFFFF"/>
        </w:rPr>
        <w:t xml:space="preserve">. [online] Available at: </w:t>
      </w:r>
      <w:hyperlink r:id="rId9" w:history="1">
        <w:r w:rsidRPr="005A0F0E">
          <w:rPr>
            <w:rStyle w:val="Hyperlink"/>
            <w:rFonts w:ascii="Times New Roman" w:hAnsi="Times New Roman" w:cs="Times New Roman"/>
            <w:szCs w:val="24"/>
            <w:shd w:val="clear" w:color="auto" w:fill="FFFFFF"/>
          </w:rPr>
          <w:t>https://www.bp.com/en/global/corporate/news-and-insights/press-releases/fourth-quarter-2021-results.html</w:t>
        </w:r>
      </w:hyperlink>
      <w:r w:rsidRPr="005A0F0E">
        <w:rPr>
          <w:rFonts w:ascii="Times New Roman" w:hAnsi="Times New Roman" w:cs="Times New Roman"/>
          <w:color w:val="000000"/>
          <w:szCs w:val="24"/>
          <w:shd w:val="clear" w:color="auto" w:fill="FFFFFF"/>
        </w:rPr>
        <w:t xml:space="preserve">  [Accessed 24 April 2022].</w:t>
      </w:r>
    </w:p>
    <w:p w14:paraId="24A87113"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t>Brink, C.H., 2017. </w:t>
      </w:r>
      <w:r w:rsidRPr="005A0F0E">
        <w:rPr>
          <w:rFonts w:ascii="Times New Roman" w:hAnsi="Times New Roman" w:cs="Times New Roman"/>
          <w:i/>
          <w:iCs/>
          <w:color w:val="222222"/>
          <w:szCs w:val="24"/>
          <w:shd w:val="clear" w:color="auto" w:fill="FFFFFF"/>
        </w:rPr>
        <w:t>Measuring political risk: risks to foreign investment</w:t>
      </w:r>
      <w:r w:rsidRPr="005A0F0E">
        <w:rPr>
          <w:rFonts w:ascii="Times New Roman" w:hAnsi="Times New Roman" w:cs="Times New Roman"/>
          <w:color w:val="222222"/>
          <w:szCs w:val="24"/>
          <w:shd w:val="clear" w:color="auto" w:fill="FFFFFF"/>
        </w:rPr>
        <w:t>. Routledge.</w:t>
      </w:r>
    </w:p>
    <w:p w14:paraId="6D06B64C"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proofErr w:type="spellStart"/>
      <w:r w:rsidRPr="005A0F0E">
        <w:rPr>
          <w:rFonts w:ascii="Times New Roman" w:hAnsi="Times New Roman" w:cs="Times New Roman"/>
          <w:color w:val="222222"/>
          <w:szCs w:val="24"/>
          <w:shd w:val="clear" w:color="auto" w:fill="FFFFFF"/>
        </w:rPr>
        <w:t>Brusov</w:t>
      </w:r>
      <w:proofErr w:type="spellEnd"/>
      <w:r w:rsidRPr="005A0F0E">
        <w:rPr>
          <w:rFonts w:ascii="Times New Roman" w:hAnsi="Times New Roman" w:cs="Times New Roman"/>
          <w:color w:val="222222"/>
          <w:szCs w:val="24"/>
          <w:shd w:val="clear" w:color="auto" w:fill="FFFFFF"/>
        </w:rPr>
        <w:t xml:space="preserve">, P., </w:t>
      </w:r>
      <w:proofErr w:type="spellStart"/>
      <w:r w:rsidRPr="005A0F0E">
        <w:rPr>
          <w:rFonts w:ascii="Times New Roman" w:hAnsi="Times New Roman" w:cs="Times New Roman"/>
          <w:color w:val="222222"/>
          <w:szCs w:val="24"/>
          <w:shd w:val="clear" w:color="auto" w:fill="FFFFFF"/>
        </w:rPr>
        <w:t>Filatova</w:t>
      </w:r>
      <w:proofErr w:type="spellEnd"/>
      <w:r w:rsidRPr="005A0F0E">
        <w:rPr>
          <w:rFonts w:ascii="Times New Roman" w:hAnsi="Times New Roman" w:cs="Times New Roman"/>
          <w:color w:val="222222"/>
          <w:szCs w:val="24"/>
          <w:shd w:val="clear" w:color="auto" w:fill="FFFFFF"/>
        </w:rPr>
        <w:t xml:space="preserve">, T., </w:t>
      </w:r>
      <w:proofErr w:type="spellStart"/>
      <w:r w:rsidRPr="005A0F0E">
        <w:rPr>
          <w:rFonts w:ascii="Times New Roman" w:hAnsi="Times New Roman" w:cs="Times New Roman"/>
          <w:color w:val="222222"/>
          <w:szCs w:val="24"/>
          <w:shd w:val="clear" w:color="auto" w:fill="FFFFFF"/>
        </w:rPr>
        <w:t>Orekhova</w:t>
      </w:r>
      <w:proofErr w:type="spellEnd"/>
      <w:r w:rsidRPr="005A0F0E">
        <w:rPr>
          <w:rFonts w:ascii="Times New Roman" w:hAnsi="Times New Roman" w:cs="Times New Roman"/>
          <w:color w:val="222222"/>
          <w:szCs w:val="24"/>
          <w:shd w:val="clear" w:color="auto" w:fill="FFFFFF"/>
        </w:rPr>
        <w:t xml:space="preserve">, N. and </w:t>
      </w:r>
      <w:proofErr w:type="spellStart"/>
      <w:r w:rsidRPr="005A0F0E">
        <w:rPr>
          <w:rFonts w:ascii="Times New Roman" w:hAnsi="Times New Roman" w:cs="Times New Roman"/>
          <w:color w:val="222222"/>
          <w:szCs w:val="24"/>
          <w:shd w:val="clear" w:color="auto" w:fill="FFFFFF"/>
        </w:rPr>
        <w:t>Eskindarov</w:t>
      </w:r>
      <w:proofErr w:type="spellEnd"/>
      <w:r w:rsidRPr="005A0F0E">
        <w:rPr>
          <w:rFonts w:ascii="Times New Roman" w:hAnsi="Times New Roman" w:cs="Times New Roman"/>
          <w:color w:val="222222"/>
          <w:szCs w:val="24"/>
          <w:shd w:val="clear" w:color="auto" w:fill="FFFFFF"/>
        </w:rPr>
        <w:t>, M., 2018. New meaningful effects in modern capital structure theory. In </w:t>
      </w:r>
      <w:r w:rsidRPr="005A0F0E">
        <w:rPr>
          <w:rFonts w:ascii="Times New Roman" w:hAnsi="Times New Roman" w:cs="Times New Roman"/>
          <w:i/>
          <w:iCs/>
          <w:color w:val="222222"/>
          <w:szCs w:val="24"/>
          <w:shd w:val="clear" w:color="auto" w:fill="FFFFFF"/>
        </w:rPr>
        <w:t>Modern Corporate Finance, Investments, Taxation and Ratings</w:t>
      </w:r>
      <w:r w:rsidRPr="005A0F0E">
        <w:rPr>
          <w:rFonts w:ascii="Times New Roman" w:hAnsi="Times New Roman" w:cs="Times New Roman"/>
          <w:color w:val="222222"/>
          <w:szCs w:val="24"/>
          <w:shd w:val="clear" w:color="auto" w:fill="FFFFFF"/>
        </w:rPr>
        <w:t> (pp. 537-568). Springer, Cham.</w:t>
      </w:r>
    </w:p>
    <w:p w14:paraId="358C7DFE"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t>Madura, J., 2020. </w:t>
      </w:r>
      <w:r w:rsidRPr="005A0F0E">
        <w:rPr>
          <w:rFonts w:ascii="Times New Roman" w:hAnsi="Times New Roman" w:cs="Times New Roman"/>
          <w:i/>
          <w:iCs/>
          <w:color w:val="222222"/>
          <w:szCs w:val="24"/>
          <w:shd w:val="clear" w:color="auto" w:fill="FFFFFF"/>
        </w:rPr>
        <w:t>International financial management</w:t>
      </w:r>
      <w:r w:rsidRPr="005A0F0E">
        <w:rPr>
          <w:rFonts w:ascii="Times New Roman" w:hAnsi="Times New Roman" w:cs="Times New Roman"/>
          <w:color w:val="222222"/>
          <w:szCs w:val="24"/>
          <w:shd w:val="clear" w:color="auto" w:fill="FFFFFF"/>
        </w:rPr>
        <w:t>. Cengage Learning.</w:t>
      </w:r>
    </w:p>
    <w:p w14:paraId="69CA40D4"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lastRenderedPageBreak/>
        <w:t>Martin, J.D., Keown, A.J. and Titman, S., 2020. </w:t>
      </w:r>
      <w:r w:rsidRPr="005A0F0E">
        <w:rPr>
          <w:rFonts w:ascii="Times New Roman" w:hAnsi="Times New Roman" w:cs="Times New Roman"/>
          <w:i/>
          <w:iCs/>
          <w:color w:val="222222"/>
          <w:szCs w:val="24"/>
          <w:shd w:val="clear" w:color="auto" w:fill="FFFFFF"/>
        </w:rPr>
        <w:t>Financial management: principles and applications</w:t>
      </w:r>
      <w:r w:rsidRPr="005A0F0E">
        <w:rPr>
          <w:rFonts w:ascii="Times New Roman" w:hAnsi="Times New Roman" w:cs="Times New Roman"/>
          <w:color w:val="222222"/>
          <w:szCs w:val="24"/>
          <w:shd w:val="clear" w:color="auto" w:fill="FFFFFF"/>
        </w:rPr>
        <w:t>. Prentice Hall.</w:t>
      </w:r>
    </w:p>
    <w:p w14:paraId="0F25F0C4"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proofErr w:type="spellStart"/>
      <w:r w:rsidRPr="005A0F0E">
        <w:rPr>
          <w:rFonts w:ascii="Times New Roman" w:hAnsi="Times New Roman" w:cs="Times New Roman"/>
          <w:color w:val="222222"/>
          <w:szCs w:val="24"/>
          <w:shd w:val="clear" w:color="auto" w:fill="FFFFFF"/>
        </w:rPr>
        <w:t>Mojarad</w:t>
      </w:r>
      <w:proofErr w:type="spellEnd"/>
      <w:r w:rsidRPr="005A0F0E">
        <w:rPr>
          <w:rFonts w:ascii="Times New Roman" w:hAnsi="Times New Roman" w:cs="Times New Roman"/>
          <w:color w:val="222222"/>
          <w:szCs w:val="24"/>
          <w:shd w:val="clear" w:color="auto" w:fill="FFFFFF"/>
        </w:rPr>
        <w:t xml:space="preserve">, A.A.S., </w:t>
      </w:r>
      <w:proofErr w:type="spellStart"/>
      <w:r w:rsidRPr="005A0F0E">
        <w:rPr>
          <w:rFonts w:ascii="Times New Roman" w:hAnsi="Times New Roman" w:cs="Times New Roman"/>
          <w:color w:val="222222"/>
          <w:szCs w:val="24"/>
          <w:shd w:val="clear" w:color="auto" w:fill="FFFFFF"/>
        </w:rPr>
        <w:t>Atashbari</w:t>
      </w:r>
      <w:proofErr w:type="spellEnd"/>
      <w:r w:rsidRPr="005A0F0E">
        <w:rPr>
          <w:rFonts w:ascii="Times New Roman" w:hAnsi="Times New Roman" w:cs="Times New Roman"/>
          <w:color w:val="222222"/>
          <w:szCs w:val="24"/>
          <w:shd w:val="clear" w:color="auto" w:fill="FFFFFF"/>
        </w:rPr>
        <w:t xml:space="preserve">, V. and </w:t>
      </w:r>
      <w:proofErr w:type="spellStart"/>
      <w:r w:rsidRPr="005A0F0E">
        <w:rPr>
          <w:rFonts w:ascii="Times New Roman" w:hAnsi="Times New Roman" w:cs="Times New Roman"/>
          <w:color w:val="222222"/>
          <w:szCs w:val="24"/>
          <w:shd w:val="clear" w:color="auto" w:fill="FFFFFF"/>
        </w:rPr>
        <w:t>Tantau</w:t>
      </w:r>
      <w:proofErr w:type="spellEnd"/>
      <w:r w:rsidRPr="005A0F0E">
        <w:rPr>
          <w:rFonts w:ascii="Times New Roman" w:hAnsi="Times New Roman" w:cs="Times New Roman"/>
          <w:color w:val="222222"/>
          <w:szCs w:val="24"/>
          <w:shd w:val="clear" w:color="auto" w:fill="FFFFFF"/>
        </w:rPr>
        <w:t>, A., 2018, May. Challenges for sustainable development strategies in oil and gas industries. In </w:t>
      </w:r>
      <w:r w:rsidRPr="005A0F0E">
        <w:rPr>
          <w:rFonts w:ascii="Times New Roman" w:hAnsi="Times New Roman" w:cs="Times New Roman"/>
          <w:i/>
          <w:iCs/>
          <w:color w:val="222222"/>
          <w:szCs w:val="24"/>
          <w:shd w:val="clear" w:color="auto" w:fill="FFFFFF"/>
        </w:rPr>
        <w:t>Proceedings of the International Conference on Business Excellence</w:t>
      </w:r>
      <w:r w:rsidRPr="005A0F0E">
        <w:rPr>
          <w:rFonts w:ascii="Times New Roman" w:hAnsi="Times New Roman" w:cs="Times New Roman"/>
          <w:color w:val="222222"/>
          <w:szCs w:val="24"/>
          <w:shd w:val="clear" w:color="auto" w:fill="FFFFFF"/>
        </w:rPr>
        <w:t> (Vol. 12, No. 1, pp. 626-638).</w:t>
      </w:r>
    </w:p>
    <w:p w14:paraId="3D924A52"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r w:rsidRPr="005A0F0E">
        <w:rPr>
          <w:rFonts w:ascii="Times New Roman" w:hAnsi="Times New Roman" w:cs="Times New Roman"/>
          <w:color w:val="222222"/>
          <w:szCs w:val="24"/>
          <w:shd w:val="clear" w:color="auto" w:fill="FFFFFF"/>
        </w:rPr>
        <w:t xml:space="preserve">Shapiro, A.C. and </w:t>
      </w:r>
      <w:proofErr w:type="spellStart"/>
      <w:r w:rsidRPr="005A0F0E">
        <w:rPr>
          <w:rFonts w:ascii="Times New Roman" w:hAnsi="Times New Roman" w:cs="Times New Roman"/>
          <w:color w:val="222222"/>
          <w:szCs w:val="24"/>
          <w:shd w:val="clear" w:color="auto" w:fill="FFFFFF"/>
        </w:rPr>
        <w:t>Hanouna</w:t>
      </w:r>
      <w:proofErr w:type="spellEnd"/>
      <w:r w:rsidRPr="005A0F0E">
        <w:rPr>
          <w:rFonts w:ascii="Times New Roman" w:hAnsi="Times New Roman" w:cs="Times New Roman"/>
          <w:color w:val="222222"/>
          <w:szCs w:val="24"/>
          <w:shd w:val="clear" w:color="auto" w:fill="FFFFFF"/>
        </w:rPr>
        <w:t>, P., 2019. </w:t>
      </w:r>
      <w:r w:rsidRPr="005A0F0E">
        <w:rPr>
          <w:rFonts w:ascii="Times New Roman" w:hAnsi="Times New Roman" w:cs="Times New Roman"/>
          <w:i/>
          <w:iCs/>
          <w:color w:val="222222"/>
          <w:szCs w:val="24"/>
          <w:shd w:val="clear" w:color="auto" w:fill="FFFFFF"/>
        </w:rPr>
        <w:t>Multinational financial management</w:t>
      </w:r>
      <w:r w:rsidRPr="005A0F0E">
        <w:rPr>
          <w:rFonts w:ascii="Times New Roman" w:hAnsi="Times New Roman" w:cs="Times New Roman"/>
          <w:color w:val="222222"/>
          <w:szCs w:val="24"/>
          <w:shd w:val="clear" w:color="auto" w:fill="FFFFFF"/>
        </w:rPr>
        <w:t>. John Wiley &amp; Sons.</w:t>
      </w:r>
    </w:p>
    <w:p w14:paraId="303A11B1" w14:textId="77777777" w:rsidR="003638CC" w:rsidRPr="005A0F0E" w:rsidRDefault="003638CC" w:rsidP="003638CC">
      <w:pPr>
        <w:spacing w:after="0" w:line="480" w:lineRule="auto"/>
        <w:ind w:left="720" w:hanging="720"/>
        <w:rPr>
          <w:rFonts w:ascii="Times New Roman" w:hAnsi="Times New Roman" w:cs="Times New Roman"/>
          <w:color w:val="222222"/>
          <w:szCs w:val="24"/>
          <w:shd w:val="clear" w:color="auto" w:fill="FFFFFF"/>
        </w:rPr>
      </w:pPr>
      <w:proofErr w:type="spellStart"/>
      <w:r w:rsidRPr="005A0F0E">
        <w:rPr>
          <w:rFonts w:ascii="Times New Roman" w:hAnsi="Times New Roman" w:cs="Times New Roman"/>
          <w:color w:val="222222"/>
          <w:szCs w:val="24"/>
          <w:shd w:val="clear" w:color="auto" w:fill="FFFFFF"/>
        </w:rPr>
        <w:t>Trigeorgis</w:t>
      </w:r>
      <w:proofErr w:type="spellEnd"/>
      <w:r w:rsidRPr="005A0F0E">
        <w:rPr>
          <w:rFonts w:ascii="Times New Roman" w:hAnsi="Times New Roman" w:cs="Times New Roman"/>
          <w:color w:val="222222"/>
          <w:szCs w:val="24"/>
          <w:shd w:val="clear" w:color="auto" w:fill="FFFFFF"/>
        </w:rPr>
        <w:t xml:space="preserve">, L. and </w:t>
      </w:r>
      <w:proofErr w:type="spellStart"/>
      <w:r w:rsidRPr="005A0F0E">
        <w:rPr>
          <w:rFonts w:ascii="Times New Roman" w:hAnsi="Times New Roman" w:cs="Times New Roman"/>
          <w:color w:val="222222"/>
          <w:szCs w:val="24"/>
          <w:shd w:val="clear" w:color="auto" w:fill="FFFFFF"/>
        </w:rPr>
        <w:t>Reuer</w:t>
      </w:r>
      <w:proofErr w:type="spellEnd"/>
      <w:r w:rsidRPr="005A0F0E">
        <w:rPr>
          <w:rFonts w:ascii="Times New Roman" w:hAnsi="Times New Roman" w:cs="Times New Roman"/>
          <w:color w:val="222222"/>
          <w:szCs w:val="24"/>
          <w:shd w:val="clear" w:color="auto" w:fill="FFFFFF"/>
        </w:rPr>
        <w:t>, J.J., 2017. Real options theory in strategic management. </w:t>
      </w:r>
      <w:r w:rsidRPr="005A0F0E">
        <w:rPr>
          <w:rFonts w:ascii="Times New Roman" w:hAnsi="Times New Roman" w:cs="Times New Roman"/>
          <w:i/>
          <w:iCs/>
          <w:color w:val="222222"/>
          <w:szCs w:val="24"/>
          <w:shd w:val="clear" w:color="auto" w:fill="FFFFFF"/>
        </w:rPr>
        <w:t>Strategic management journal</w:t>
      </w:r>
      <w:r w:rsidRPr="005A0F0E">
        <w:rPr>
          <w:rFonts w:ascii="Times New Roman" w:hAnsi="Times New Roman" w:cs="Times New Roman"/>
          <w:color w:val="222222"/>
          <w:szCs w:val="24"/>
          <w:shd w:val="clear" w:color="auto" w:fill="FFFFFF"/>
        </w:rPr>
        <w:t>, </w:t>
      </w:r>
      <w:r w:rsidRPr="005A0F0E">
        <w:rPr>
          <w:rFonts w:ascii="Times New Roman" w:hAnsi="Times New Roman" w:cs="Times New Roman"/>
          <w:i/>
          <w:iCs/>
          <w:color w:val="222222"/>
          <w:szCs w:val="24"/>
          <w:shd w:val="clear" w:color="auto" w:fill="FFFFFF"/>
        </w:rPr>
        <w:t>38</w:t>
      </w:r>
      <w:r w:rsidRPr="005A0F0E">
        <w:rPr>
          <w:rFonts w:ascii="Times New Roman" w:hAnsi="Times New Roman" w:cs="Times New Roman"/>
          <w:color w:val="222222"/>
          <w:szCs w:val="24"/>
          <w:shd w:val="clear" w:color="auto" w:fill="FFFFFF"/>
        </w:rPr>
        <w:t>(1), pp.42-63.</w:t>
      </w:r>
    </w:p>
    <w:p w14:paraId="3EC58E57" w14:textId="77777777" w:rsidR="003638CC" w:rsidRPr="005A0F0E" w:rsidRDefault="003638CC" w:rsidP="003638CC">
      <w:pPr>
        <w:spacing w:after="0" w:line="480" w:lineRule="auto"/>
        <w:ind w:firstLine="720"/>
        <w:rPr>
          <w:rFonts w:ascii="Times New Roman" w:hAnsi="Times New Roman" w:cs="Times New Roman"/>
          <w:szCs w:val="24"/>
          <w:lang w:val="en-GB"/>
        </w:rPr>
      </w:pPr>
    </w:p>
    <w:p w14:paraId="1BF7253C" w14:textId="77777777" w:rsidR="009C5AE8" w:rsidRDefault="009C5AE8"/>
    <w:sectPr w:rsidR="009C5AE8">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65F40" w14:textId="77777777" w:rsidR="001C189D" w:rsidRDefault="001C189D">
      <w:pPr>
        <w:spacing w:after="0" w:line="240" w:lineRule="auto"/>
      </w:pPr>
      <w:r>
        <w:separator/>
      </w:r>
    </w:p>
  </w:endnote>
  <w:endnote w:type="continuationSeparator" w:id="0">
    <w:p w14:paraId="6276614D" w14:textId="77777777" w:rsidR="001C189D" w:rsidRDefault="001C1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440909"/>
      <w:docPartObj>
        <w:docPartGallery w:val="Page Numbers (Bottom of Page)"/>
        <w:docPartUnique/>
      </w:docPartObj>
    </w:sdtPr>
    <w:sdtEndPr>
      <w:rPr>
        <w:rStyle w:val="PageNumber"/>
      </w:rPr>
    </w:sdtEndPr>
    <w:sdtContent>
      <w:p w14:paraId="77833327" w14:textId="7E29002F" w:rsidR="002F1DF7" w:rsidRDefault="002F1DF7" w:rsidP="00741C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AD041A" w14:textId="77777777" w:rsidR="002F1DF7" w:rsidRDefault="002F1DF7" w:rsidP="002F1D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541290"/>
      <w:docPartObj>
        <w:docPartGallery w:val="Page Numbers (Bottom of Page)"/>
        <w:docPartUnique/>
      </w:docPartObj>
    </w:sdtPr>
    <w:sdtEndPr>
      <w:rPr>
        <w:rStyle w:val="PageNumber"/>
      </w:rPr>
    </w:sdtEndPr>
    <w:sdtContent>
      <w:p w14:paraId="77940AED" w14:textId="461AB12D" w:rsidR="002F1DF7" w:rsidRDefault="002F1DF7" w:rsidP="00741C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ECEBBC5" w14:textId="72674AD4" w:rsidR="002F1DF7" w:rsidRPr="002F1DF7" w:rsidRDefault="002F1DF7" w:rsidP="002F1DF7">
    <w:pPr>
      <w:pStyle w:val="Footer"/>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1FD96" w14:textId="77777777" w:rsidR="001C189D" w:rsidRDefault="001C189D">
      <w:pPr>
        <w:spacing w:after="0" w:line="240" w:lineRule="auto"/>
      </w:pPr>
      <w:r>
        <w:separator/>
      </w:r>
    </w:p>
  </w:footnote>
  <w:footnote w:type="continuationSeparator" w:id="0">
    <w:p w14:paraId="00E3E2F4" w14:textId="77777777" w:rsidR="001C189D" w:rsidRDefault="001C18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64586"/>
      <w:docPartObj>
        <w:docPartGallery w:val="Page Numbers (Top of Page)"/>
        <w:docPartUnique/>
      </w:docPartObj>
    </w:sdtPr>
    <w:sdtEndPr>
      <w:rPr>
        <w:rFonts w:ascii="Times New Roman" w:hAnsi="Times New Roman" w:cs="Times New Roman"/>
        <w:noProof/>
      </w:rPr>
    </w:sdtEndPr>
    <w:sdtContent>
      <w:p w14:paraId="3BF26DAE" w14:textId="654B14C0" w:rsidR="000F55B8" w:rsidRPr="002F1DF7" w:rsidRDefault="002F1DF7" w:rsidP="002F1DF7">
        <w:pPr>
          <w:spacing w:line="480" w:lineRule="auto"/>
          <w:jc w:val="center"/>
          <w:rPr>
            <w:rFonts w:ascii="Times New Roman" w:hAnsi="Times New Roman" w:cs="Times New Roman"/>
            <w:szCs w:val="24"/>
          </w:rPr>
        </w:pPr>
        <w:r w:rsidRPr="005A0F0E">
          <w:rPr>
            <w:rFonts w:ascii="Times New Roman" w:hAnsi="Times New Roman" w:cs="Times New Roman"/>
            <w:szCs w:val="24"/>
          </w:rPr>
          <w:t>THE BRITISH PETROLEUM CORPORATION (BP) IFM ANALYSIS</w:t>
        </w:r>
      </w:p>
    </w:sdtContent>
  </w:sdt>
  <w:p w14:paraId="5E669063" w14:textId="77777777" w:rsidR="000F55B8" w:rsidRDefault="001C18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8CC"/>
    <w:rsid w:val="00054076"/>
    <w:rsid w:val="000814C5"/>
    <w:rsid w:val="00103E99"/>
    <w:rsid w:val="001C189D"/>
    <w:rsid w:val="002F1DF7"/>
    <w:rsid w:val="003638CC"/>
    <w:rsid w:val="003759F2"/>
    <w:rsid w:val="005A2022"/>
    <w:rsid w:val="0080260D"/>
    <w:rsid w:val="009119A6"/>
    <w:rsid w:val="00987DEC"/>
    <w:rsid w:val="009C5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50EC77"/>
  <w15:chartTrackingRefBased/>
  <w15:docId w15:val="{123A46AB-16CE-224D-AF1E-62F3B518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CC"/>
    <w:pPr>
      <w:spacing w:after="160" w:line="259" w:lineRule="auto"/>
    </w:pPr>
    <w:rPr>
      <w:rFonts w:ascii="Garamond" w:hAnsi="Garamond"/>
      <w:szCs w:val="22"/>
      <w:lang w:val="en-US"/>
    </w:rPr>
  </w:style>
  <w:style w:type="paragraph" w:styleId="Heading1">
    <w:name w:val="heading 1"/>
    <w:basedOn w:val="Normal"/>
    <w:next w:val="Normal"/>
    <w:link w:val="Heading1Char"/>
    <w:uiPriority w:val="9"/>
    <w:qFormat/>
    <w:rsid w:val="00363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8CC"/>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363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8CC"/>
    <w:rPr>
      <w:rFonts w:ascii="Garamond" w:hAnsi="Garamond"/>
      <w:szCs w:val="22"/>
      <w:lang w:val="en-US"/>
    </w:rPr>
  </w:style>
  <w:style w:type="character" w:styleId="Hyperlink">
    <w:name w:val="Hyperlink"/>
    <w:basedOn w:val="DefaultParagraphFont"/>
    <w:uiPriority w:val="99"/>
    <w:unhideWhenUsed/>
    <w:rsid w:val="003638CC"/>
    <w:rPr>
      <w:color w:val="0563C1" w:themeColor="hyperlink"/>
      <w:u w:val="single"/>
    </w:rPr>
  </w:style>
  <w:style w:type="paragraph" w:styleId="TOCHeading">
    <w:name w:val="TOC Heading"/>
    <w:basedOn w:val="Heading1"/>
    <w:next w:val="Normal"/>
    <w:uiPriority w:val="39"/>
    <w:unhideWhenUsed/>
    <w:qFormat/>
    <w:rsid w:val="003638CC"/>
    <w:pPr>
      <w:outlineLvl w:val="9"/>
    </w:pPr>
  </w:style>
  <w:style w:type="paragraph" w:styleId="TOC1">
    <w:name w:val="toc 1"/>
    <w:basedOn w:val="Normal"/>
    <w:next w:val="Normal"/>
    <w:autoRedefine/>
    <w:uiPriority w:val="39"/>
    <w:unhideWhenUsed/>
    <w:rsid w:val="003638CC"/>
    <w:pPr>
      <w:spacing w:after="100"/>
    </w:pPr>
  </w:style>
  <w:style w:type="character" w:customStyle="1" w:styleId="NoSpacingChar">
    <w:name w:val="No Spacing Char"/>
    <w:basedOn w:val="DefaultParagraphFont"/>
    <w:link w:val="NoSpacing"/>
    <w:uiPriority w:val="1"/>
    <w:locked/>
    <w:rsid w:val="000814C5"/>
    <w:rPr>
      <w:rFonts w:ascii="Times New Roman" w:eastAsia="Times New Roman" w:hAnsi="Times New Roman" w:cs="Times New Roman"/>
    </w:rPr>
  </w:style>
  <w:style w:type="paragraph" w:styleId="NoSpacing">
    <w:name w:val="No Spacing"/>
    <w:link w:val="NoSpacingChar"/>
    <w:uiPriority w:val="1"/>
    <w:qFormat/>
    <w:rsid w:val="000814C5"/>
    <w:rPr>
      <w:rFonts w:ascii="Times New Roman" w:eastAsia="Times New Roman" w:hAnsi="Times New Roman" w:cs="Times New Roman"/>
    </w:rPr>
  </w:style>
  <w:style w:type="paragraph" w:styleId="Footer">
    <w:name w:val="footer"/>
    <w:basedOn w:val="Normal"/>
    <w:link w:val="FooterChar"/>
    <w:uiPriority w:val="99"/>
    <w:unhideWhenUsed/>
    <w:rsid w:val="00081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4C5"/>
    <w:rPr>
      <w:rFonts w:ascii="Garamond" w:hAnsi="Garamond"/>
      <w:szCs w:val="22"/>
      <w:lang w:val="en-US"/>
    </w:rPr>
  </w:style>
  <w:style w:type="character" w:styleId="PageNumber">
    <w:name w:val="page number"/>
    <w:basedOn w:val="DefaultParagraphFont"/>
    <w:uiPriority w:val="99"/>
    <w:semiHidden/>
    <w:unhideWhenUsed/>
    <w:rsid w:val="002F1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com/en/global/corporate/investors/annual-report.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p.com/en/global/corporate/news-and-insights/press-releases/bp-files-annual-report-on-form-20-f-for-2020.html"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p.com/en/global/corporate/news-and-insights/press-releases/fourth-quarter-2021-result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3601</Words>
  <Characters>20532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 (1917363)</dc:creator>
  <cp:keywords/>
  <dc:description/>
  <cp:lastModifiedBy>Teodor Angelov (1917363)</cp:lastModifiedBy>
  <cp:revision>6</cp:revision>
  <dcterms:created xsi:type="dcterms:W3CDTF">2022-05-01T11:25:00Z</dcterms:created>
  <dcterms:modified xsi:type="dcterms:W3CDTF">2022-05-09T19:48:00Z</dcterms:modified>
</cp:coreProperties>
</file>