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291FA3" w14:textId="5287E226" w:rsidR="00DF1CBA" w:rsidRPr="00DF1CBA" w:rsidRDefault="00DF1CBA" w:rsidP="00AB38B9">
      <w:pPr>
        <w:spacing w:line="720" w:lineRule="auto"/>
        <w:jc w:val="center"/>
        <w:rPr>
          <w:rFonts w:ascii="Arial" w:hAnsi="Arial" w:cs="Arial"/>
          <w:sz w:val="24"/>
          <w:szCs w:val="24"/>
        </w:rPr>
      </w:pPr>
      <w:r w:rsidRPr="00DF1CBA">
        <w:rPr>
          <w:rFonts w:ascii="Arial" w:hAnsi="Arial" w:cs="Arial"/>
          <w:b/>
          <w:bCs/>
          <w:sz w:val="24"/>
          <w:szCs w:val="24"/>
        </w:rPr>
        <w:t>Marketing Plan for Slug &amp; Lettuce Swansea</w:t>
      </w:r>
      <w:r w:rsidRPr="00DF1CBA">
        <w:rPr>
          <w:rFonts w:ascii="Arial" w:hAnsi="Arial" w:cs="Arial"/>
          <w:sz w:val="24"/>
          <w:szCs w:val="24"/>
        </w:rPr>
        <w:br/>
      </w:r>
      <w:r w:rsidRPr="00DF1CBA">
        <w:rPr>
          <w:rFonts w:ascii="Arial" w:hAnsi="Arial" w:cs="Arial"/>
          <w:b/>
          <w:bCs/>
          <w:sz w:val="24"/>
          <w:szCs w:val="24"/>
        </w:rPr>
        <w:t>Module:</w:t>
      </w:r>
      <w:r w:rsidRPr="00DF1CBA">
        <w:rPr>
          <w:rFonts w:ascii="Arial" w:hAnsi="Arial" w:cs="Arial"/>
          <w:sz w:val="24"/>
          <w:szCs w:val="24"/>
        </w:rPr>
        <w:t xml:space="preserve"> Marketing and Promoting Restaurant Facilities (BMGM6002)</w:t>
      </w:r>
      <w:r w:rsidRPr="00DF1CBA">
        <w:rPr>
          <w:rFonts w:ascii="Arial" w:hAnsi="Arial" w:cs="Arial"/>
          <w:sz w:val="24"/>
          <w:szCs w:val="24"/>
        </w:rPr>
        <w:br/>
      </w:r>
      <w:r w:rsidRPr="00DF1CBA">
        <w:rPr>
          <w:rFonts w:ascii="Arial" w:hAnsi="Arial" w:cs="Arial"/>
          <w:b/>
          <w:bCs/>
          <w:sz w:val="24"/>
          <w:szCs w:val="24"/>
        </w:rPr>
        <w:t>Programme:</w:t>
      </w:r>
      <w:r w:rsidRPr="00DF1CBA">
        <w:rPr>
          <w:rFonts w:ascii="Arial" w:hAnsi="Arial" w:cs="Arial"/>
          <w:sz w:val="24"/>
          <w:szCs w:val="24"/>
        </w:rPr>
        <w:t xml:space="preserve"> BA (Hons) International Gastronomy Management</w:t>
      </w:r>
      <w:r w:rsidRPr="00DF1CBA">
        <w:rPr>
          <w:rFonts w:ascii="Arial" w:hAnsi="Arial" w:cs="Arial"/>
          <w:sz w:val="24"/>
          <w:szCs w:val="24"/>
        </w:rPr>
        <w:br/>
      </w:r>
      <w:r w:rsidRPr="00DF1CBA">
        <w:rPr>
          <w:rFonts w:ascii="Arial" w:hAnsi="Arial" w:cs="Arial"/>
          <w:b/>
          <w:bCs/>
          <w:sz w:val="24"/>
          <w:szCs w:val="24"/>
        </w:rPr>
        <w:t>Student Name:</w:t>
      </w:r>
      <w:r w:rsidRPr="00DF1CBA">
        <w:rPr>
          <w:rFonts w:ascii="Arial" w:hAnsi="Arial" w:cs="Arial"/>
          <w:sz w:val="24"/>
          <w:szCs w:val="24"/>
        </w:rPr>
        <w:t xml:space="preserve"> Amdadur Rashid Masum</w:t>
      </w:r>
      <w:r w:rsidRPr="00DF1CBA">
        <w:rPr>
          <w:rFonts w:ascii="Arial" w:hAnsi="Arial" w:cs="Arial"/>
          <w:sz w:val="24"/>
          <w:szCs w:val="24"/>
        </w:rPr>
        <w:br/>
      </w:r>
      <w:r w:rsidRPr="00DF1CBA">
        <w:rPr>
          <w:rFonts w:ascii="Arial" w:hAnsi="Arial" w:cs="Arial"/>
          <w:b/>
          <w:bCs/>
          <w:sz w:val="24"/>
          <w:szCs w:val="24"/>
        </w:rPr>
        <w:t>Student Number:</w:t>
      </w:r>
      <w:r w:rsidRPr="00DF1CBA">
        <w:rPr>
          <w:rFonts w:ascii="Arial" w:hAnsi="Arial" w:cs="Arial"/>
          <w:sz w:val="24"/>
          <w:szCs w:val="24"/>
        </w:rPr>
        <w:t xml:space="preserve"> 2128870</w:t>
      </w:r>
      <w:r w:rsidRPr="00DF1CBA">
        <w:rPr>
          <w:rFonts w:ascii="Arial" w:hAnsi="Arial" w:cs="Arial"/>
          <w:sz w:val="24"/>
          <w:szCs w:val="24"/>
        </w:rPr>
        <w:br/>
      </w:r>
      <w:r w:rsidRPr="00DF1CBA">
        <w:rPr>
          <w:rFonts w:ascii="Arial" w:hAnsi="Arial" w:cs="Arial"/>
          <w:b/>
          <w:bCs/>
          <w:sz w:val="24"/>
          <w:szCs w:val="24"/>
        </w:rPr>
        <w:t>Lecturer:</w:t>
      </w:r>
      <w:r w:rsidRPr="00DF1CBA">
        <w:rPr>
          <w:rFonts w:ascii="Arial" w:hAnsi="Arial" w:cs="Arial"/>
          <w:sz w:val="24"/>
          <w:szCs w:val="24"/>
        </w:rPr>
        <w:t xml:space="preserve"> Chris Wilkin</w:t>
      </w:r>
      <w:r w:rsidRPr="00DF1CBA">
        <w:rPr>
          <w:rFonts w:ascii="Arial" w:hAnsi="Arial" w:cs="Arial"/>
          <w:sz w:val="24"/>
          <w:szCs w:val="24"/>
        </w:rPr>
        <w:br/>
      </w:r>
      <w:r w:rsidRPr="00DF1CBA">
        <w:rPr>
          <w:rFonts w:ascii="Arial" w:hAnsi="Arial" w:cs="Arial"/>
          <w:b/>
          <w:bCs/>
          <w:sz w:val="24"/>
          <w:szCs w:val="24"/>
        </w:rPr>
        <w:t>Word Count:</w:t>
      </w:r>
      <w:r w:rsidRPr="00DF1CBA">
        <w:rPr>
          <w:rFonts w:ascii="Arial" w:hAnsi="Arial" w:cs="Arial"/>
          <w:sz w:val="24"/>
          <w:szCs w:val="24"/>
        </w:rPr>
        <w:t xml:space="preserve"> </w:t>
      </w:r>
      <w:r w:rsidR="00AB38B9">
        <w:rPr>
          <w:rFonts w:ascii="Arial" w:hAnsi="Arial" w:cs="Arial"/>
          <w:sz w:val="24"/>
          <w:szCs w:val="24"/>
        </w:rPr>
        <w:t>3688</w:t>
      </w:r>
      <w:r w:rsidRPr="00DF1CBA">
        <w:rPr>
          <w:rFonts w:ascii="Arial" w:hAnsi="Arial" w:cs="Arial"/>
          <w:sz w:val="24"/>
          <w:szCs w:val="24"/>
        </w:rPr>
        <w:br/>
      </w:r>
    </w:p>
    <w:p w14:paraId="272E7976" w14:textId="77777777" w:rsidR="00AB38B9" w:rsidRDefault="00AB38B9" w:rsidP="00DF1CBA">
      <w:pPr>
        <w:spacing w:line="360" w:lineRule="auto"/>
        <w:rPr>
          <w:rFonts w:ascii="Arial" w:hAnsi="Arial" w:cs="Arial"/>
          <w:b/>
          <w:bCs/>
          <w:sz w:val="24"/>
          <w:szCs w:val="24"/>
        </w:rPr>
      </w:pPr>
    </w:p>
    <w:p w14:paraId="56D6FF36" w14:textId="77777777" w:rsidR="00AB38B9" w:rsidRDefault="00AB38B9" w:rsidP="00DF1CBA">
      <w:pPr>
        <w:spacing w:line="360" w:lineRule="auto"/>
        <w:rPr>
          <w:rFonts w:ascii="Arial" w:hAnsi="Arial" w:cs="Arial"/>
          <w:b/>
          <w:bCs/>
          <w:sz w:val="24"/>
          <w:szCs w:val="24"/>
        </w:rPr>
      </w:pPr>
    </w:p>
    <w:p w14:paraId="375A80A2" w14:textId="77777777" w:rsidR="00AB38B9" w:rsidRDefault="00AB38B9" w:rsidP="00DF1CBA">
      <w:pPr>
        <w:spacing w:line="360" w:lineRule="auto"/>
        <w:rPr>
          <w:rFonts w:ascii="Arial" w:hAnsi="Arial" w:cs="Arial"/>
          <w:b/>
          <w:bCs/>
          <w:sz w:val="24"/>
          <w:szCs w:val="24"/>
        </w:rPr>
      </w:pPr>
    </w:p>
    <w:p w14:paraId="411D9608" w14:textId="77777777" w:rsidR="00AB38B9" w:rsidRDefault="00AB38B9" w:rsidP="00DF1CBA">
      <w:pPr>
        <w:spacing w:line="360" w:lineRule="auto"/>
        <w:rPr>
          <w:rFonts w:ascii="Arial" w:hAnsi="Arial" w:cs="Arial"/>
          <w:b/>
          <w:bCs/>
          <w:sz w:val="24"/>
          <w:szCs w:val="24"/>
        </w:rPr>
      </w:pPr>
    </w:p>
    <w:p w14:paraId="4BAF86E8" w14:textId="5124A2B5" w:rsidR="00DF1CBA" w:rsidRPr="00DF1CBA" w:rsidRDefault="00DF1CBA" w:rsidP="00DF1CBA">
      <w:pPr>
        <w:spacing w:line="360" w:lineRule="auto"/>
        <w:rPr>
          <w:rFonts w:ascii="Arial" w:hAnsi="Arial" w:cs="Arial"/>
          <w:sz w:val="24"/>
          <w:szCs w:val="24"/>
        </w:rPr>
      </w:pPr>
      <w:r w:rsidRPr="00DF1CBA">
        <w:rPr>
          <w:rFonts w:ascii="Arial" w:hAnsi="Arial" w:cs="Arial"/>
          <w:b/>
          <w:bCs/>
          <w:sz w:val="24"/>
          <w:szCs w:val="24"/>
        </w:rPr>
        <w:t>AI Declaration</w:t>
      </w:r>
    </w:p>
    <w:p w14:paraId="27D75231"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I confirm that generative artificial intelligence (AI) tools were used to assist in researching, structuring, and editing this assessment. All ideas, analysis, and conclusions have been critically reviewed, adapted, and verified by the author, who takes full responsibility for the submitted work.</w:t>
      </w:r>
    </w:p>
    <w:p w14:paraId="43913238" w14:textId="77777777" w:rsidR="00FE641E" w:rsidRDefault="00FE641E" w:rsidP="00DF1CBA">
      <w:pPr>
        <w:spacing w:line="360" w:lineRule="auto"/>
        <w:rPr>
          <w:rFonts w:ascii="Arial" w:hAnsi="Arial" w:cs="Arial"/>
          <w:sz w:val="24"/>
          <w:szCs w:val="24"/>
        </w:rPr>
      </w:pPr>
    </w:p>
    <w:p w14:paraId="28174BA9" w14:textId="77777777" w:rsidR="00FE641E" w:rsidRDefault="00FE641E" w:rsidP="00DF1CBA">
      <w:pPr>
        <w:spacing w:line="360" w:lineRule="auto"/>
        <w:rPr>
          <w:rFonts w:ascii="Arial" w:hAnsi="Arial" w:cs="Arial"/>
          <w:sz w:val="24"/>
          <w:szCs w:val="24"/>
        </w:rPr>
      </w:pPr>
    </w:p>
    <w:p w14:paraId="3F65C3DB" w14:textId="77777777" w:rsidR="00FE641E" w:rsidRDefault="00FE641E" w:rsidP="00DF1CBA">
      <w:pPr>
        <w:spacing w:line="360" w:lineRule="auto"/>
        <w:rPr>
          <w:rFonts w:ascii="Arial" w:hAnsi="Arial" w:cs="Arial"/>
          <w:sz w:val="24"/>
          <w:szCs w:val="24"/>
        </w:rPr>
      </w:pPr>
    </w:p>
    <w:p w14:paraId="49AEFCB4" w14:textId="77777777" w:rsidR="00FE641E" w:rsidRDefault="00FE641E" w:rsidP="00DF1CBA">
      <w:pPr>
        <w:spacing w:line="360" w:lineRule="auto"/>
        <w:rPr>
          <w:rFonts w:ascii="Arial" w:hAnsi="Arial" w:cs="Arial"/>
          <w:sz w:val="24"/>
          <w:szCs w:val="24"/>
        </w:rPr>
      </w:pPr>
    </w:p>
    <w:p w14:paraId="0A78E876" w14:textId="0CFFBAD4"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lastRenderedPageBreak/>
        <w:t>1. Introduction</w:t>
      </w:r>
    </w:p>
    <w:p w14:paraId="5B7AB55B"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This marketing plan has been developed for Slug &amp; Lettuce Swansea, a branch of the Stonegate Group’s national chain of cocktail bars and restaurants. Situated on Swansea’s Wind Street, the venue operates in an increasingly competitive and experience-driven hospitality environment. The purpose of this report is to design a niche marketing and digital communications plan to enhance Slug &amp; Lettuce Swansea’s brand awareness, digital presence, and customer engagement, with particular focus on younger, experience-seeking consumers in the local area.</w:t>
      </w:r>
    </w:p>
    <w:p w14:paraId="0D8C50A2" w14:textId="0729AE35"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 structure of the plan follows the SOSTAC® framework: Situation, Objectives, Strategy, Tactics, Action and Control (Smith, 2019). Situation analysis is conducted using the 5Cs model (Company, Customers, Competitors, Collaborators, Climate) and incorporates SWOT and PESTLE analysis. Strategic direction is informed by Ansoff’s Matrix (Ansoff, 1957) and STP (Segmentation, Targeting and Positioning) (Kotler and Armstrong, 202</w:t>
      </w:r>
      <w:r w:rsidR="00A26628" w:rsidRPr="00FE641E">
        <w:rPr>
          <w:rFonts w:ascii="Arial" w:hAnsi="Arial" w:cs="Arial"/>
          <w:sz w:val="24"/>
          <w:szCs w:val="24"/>
        </w:rPr>
        <w:t>1</w:t>
      </w:r>
      <w:r w:rsidRPr="00FE641E">
        <w:rPr>
          <w:rFonts w:ascii="Arial" w:hAnsi="Arial" w:cs="Arial"/>
          <w:sz w:val="24"/>
          <w:szCs w:val="24"/>
        </w:rPr>
        <w:t>), while implementation is framed through the extended services marketing mix (7Ps) (Booms and Bitner, 1981).</w:t>
      </w:r>
    </w:p>
    <w:p w14:paraId="5AFE11E5" w14:textId="617719FA"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Digital engagement and communications tactics are structured using the RACE framework – Reach, Act, Convert, Engage </w:t>
      </w:r>
      <w:r w:rsidR="00FC2848" w:rsidRPr="00FE641E">
        <w:rPr>
          <w:rFonts w:ascii="Arial" w:hAnsi="Arial" w:cs="Arial"/>
          <w:sz w:val="24"/>
          <w:szCs w:val="24"/>
        </w:rPr>
        <w:t xml:space="preserve">(Chaffey, 2022) </w:t>
      </w:r>
      <w:r w:rsidRPr="00FE641E">
        <w:rPr>
          <w:rFonts w:ascii="Arial" w:hAnsi="Arial" w:cs="Arial"/>
          <w:sz w:val="24"/>
          <w:szCs w:val="24"/>
        </w:rPr>
        <w:t xml:space="preserve">and the communications mix. Throughout, the report draws on concepts discussed in class such as strategic marketing, niche market planning, customer value, yield management and CRM, as well as contemporary issues in hospitality marketing including social media, influencers and technological innovation </w:t>
      </w:r>
      <w:r w:rsidR="00025E14" w:rsidRPr="00FE641E">
        <w:rPr>
          <w:rFonts w:ascii="Arial" w:hAnsi="Arial" w:cs="Arial"/>
          <w:sz w:val="24"/>
          <w:szCs w:val="24"/>
        </w:rPr>
        <w:t>(Bowie and Buttle, 2007</w:t>
      </w:r>
      <w:r w:rsidRPr="00FE641E">
        <w:rPr>
          <w:rFonts w:ascii="Arial" w:hAnsi="Arial" w:cs="Arial"/>
          <w:sz w:val="24"/>
          <w:szCs w:val="24"/>
        </w:rPr>
        <w:t>; Kingsnorth, 2019). Supporting evidence, including SWOT tables, positioning maps, Bowman’s Strategy Clock, SimilarWeb and Gantt chart outputs, is provided in the Appendices and referenced explicitly within the text.</w:t>
      </w:r>
    </w:p>
    <w:p w14:paraId="60015D20"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 overarching aim is to position Slug &amp; Lettuce Swansea as the city’s leading venue for “affordable glamour”: an inclusive, photogenic and social destination that appeals strongly to digitally active Millennials and Generation Z.</w:t>
      </w:r>
    </w:p>
    <w:p w14:paraId="2F5E73C9"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2. Situation Analysis – “Where are we now?”</w:t>
      </w:r>
    </w:p>
    <w:p w14:paraId="558CB3B8"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 situation analysis uses the 5Cs framework to evaluate Slug &amp; Lettuce Swansea’s internal and external environment (Masterson et al., 2021).</w:t>
      </w:r>
    </w:p>
    <w:p w14:paraId="11D7818C"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2.1 Company</w:t>
      </w:r>
    </w:p>
    <w:p w14:paraId="13919A53" w14:textId="0F6B1D56"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lastRenderedPageBreak/>
        <w:t>Slug &amp; Lettuce is a well-established UK brand within the Stonegate Group, the country’s largest pub and bar operator. The Swansea site benefits from a central Wind Street location, modern décor and a strong national brand identity. A structured SWOT analysis is provided in Appendix A.</w:t>
      </w:r>
    </w:p>
    <w:p w14:paraId="53DA1A0C" w14:textId="5DEF9134"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Key strengths include high brand recognition, a consistent and familiar menu, efficient online booking systems and the visually appealing, “Instagrammable” interior design that encourages user-generated content (Slug &amp; Lettuce, 2025). Support from Stonegate’s central marketing team provides economies of scale, professional campaign assets and access to national partnerships with drinks brands.</w:t>
      </w:r>
    </w:p>
    <w:p w14:paraId="71262B87" w14:textId="65AEC7E0"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However, the branch’s weaknesses are significant in relation to local competitiveness. The concept is largely standardised across the UK, leading to limited local differentiation and a perception of being a “generic chain” rather than a distinctly Swansea venue. There is also heavy dependence on weekend and student trade, making revenue volatile and under-utilising weekday daytime capacity. Online reviews indicate occasional inconsistency in service quality, driven partly by staff turnover and a tight labour market (Zonal, 202</w:t>
      </w:r>
      <w:r w:rsidR="00F60B68" w:rsidRPr="00FE641E">
        <w:rPr>
          <w:rFonts w:ascii="Arial" w:hAnsi="Arial" w:cs="Arial"/>
          <w:sz w:val="24"/>
          <w:szCs w:val="24"/>
        </w:rPr>
        <w:t>4</w:t>
      </w:r>
      <w:r w:rsidRPr="00FE641E">
        <w:rPr>
          <w:rFonts w:ascii="Arial" w:hAnsi="Arial" w:cs="Arial"/>
          <w:sz w:val="24"/>
          <w:szCs w:val="24"/>
        </w:rPr>
        <w:t>).</w:t>
      </w:r>
    </w:p>
    <w:p w14:paraId="6060CCD5" w14:textId="0D1E4E42"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Externally, there are substantial opportunities. The UK market is experiencing growth in experience-based and destination dining, particularly among younger consumers who prioritise social experiences over simple food consumption </w:t>
      </w:r>
      <w:r w:rsidR="00A73714" w:rsidRPr="00FE641E">
        <w:rPr>
          <w:rFonts w:ascii="Arial" w:hAnsi="Arial" w:cs="Arial"/>
          <w:sz w:val="24"/>
          <w:szCs w:val="24"/>
        </w:rPr>
        <w:t>(Dinc and Huang, 2024</w:t>
      </w:r>
      <w:r w:rsidRPr="00FE641E">
        <w:rPr>
          <w:rFonts w:ascii="Arial" w:hAnsi="Arial" w:cs="Arial"/>
          <w:sz w:val="24"/>
          <w:szCs w:val="24"/>
        </w:rPr>
        <w:t>; Frochot and Batat, 2013). Social media platforms and influencer marketing provide relatively low-cost channels to reach this audience (De Veirman et al., 2017; Bastrygina et al., 2024). Threats arise from local independents such as Founders &amp; Co., Peppermint, and Turtle Bay, which leverage authenticity and strong thematic storytelling, as well as from macroeconomic pressures such as inflation, rising costs and subdued discretionary spending.</w:t>
      </w:r>
    </w:p>
    <w:p w14:paraId="7C9EEBB4" w14:textId="272B8D2E"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Overall, Slug &amp; Lettuce Swansea is well-positioned in terms of awareness and physical </w:t>
      </w:r>
      <w:r w:rsidR="00A73714" w:rsidRPr="00FE641E">
        <w:rPr>
          <w:rFonts w:ascii="Arial" w:hAnsi="Arial" w:cs="Arial"/>
          <w:sz w:val="24"/>
          <w:szCs w:val="24"/>
        </w:rPr>
        <w:t>assets but</w:t>
      </w:r>
      <w:r w:rsidRPr="00FE641E">
        <w:rPr>
          <w:rFonts w:ascii="Arial" w:hAnsi="Arial" w:cs="Arial"/>
          <w:sz w:val="24"/>
          <w:szCs w:val="24"/>
        </w:rPr>
        <w:t xml:space="preserve"> requires sharper differentiation and more sophisticated digital engagement to maintain competitiveness.</w:t>
      </w:r>
    </w:p>
    <w:p w14:paraId="77C560E8"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2.2 Customers</w:t>
      </w:r>
    </w:p>
    <w:p w14:paraId="6A23A2AF" w14:textId="01DC3A7E"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lastRenderedPageBreak/>
        <w:t>The brand’s core customer base in Swansea consists of students, young professionals and social groups who use Wind Street as a focal point for nightlife and celebratory occasions. According to simulated SimilarWeb analysis (see Appendix D), the Slug &amp; Lettuce UK website receives approximately 500,000 monthly visits, with over 80 per cent of traffic originating from mobile devices, reflecting an on-the-go, digitally savvy audience</w:t>
      </w:r>
      <w:r w:rsidR="00444BAD" w:rsidRPr="00FE641E">
        <w:rPr>
          <w:rFonts w:ascii="Arial" w:hAnsi="Arial" w:cs="Arial"/>
          <w:sz w:val="24"/>
          <w:szCs w:val="24"/>
        </w:rPr>
        <w:t>.</w:t>
      </w:r>
    </w:p>
    <w:p w14:paraId="7424FDE5" w14:textId="380D2CB4"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Demographically, the primary segment for the Swansea branch is female guests aged 18–35, particularly students and early career professionals with mid-level disposable income. Psychographically, they can be characterised as sociable “experience seekers” who value aesthetics, inclusivity, novelty and the ability to share experiences through social media </w:t>
      </w:r>
      <w:r w:rsidR="00F616C7" w:rsidRPr="00FE641E">
        <w:rPr>
          <w:rFonts w:ascii="Arial" w:hAnsi="Arial" w:cs="Arial"/>
          <w:sz w:val="24"/>
          <w:szCs w:val="24"/>
        </w:rPr>
        <w:t>(Pereira et al., 2025</w:t>
      </w:r>
      <w:r w:rsidRPr="00FE641E">
        <w:rPr>
          <w:rFonts w:ascii="Arial" w:hAnsi="Arial" w:cs="Arial"/>
          <w:sz w:val="24"/>
          <w:szCs w:val="24"/>
        </w:rPr>
        <w:t>; Gbadamosi, 2019). Behaviourally, they tend to pre-book occasions such as bottomless brunches, birthdays and “girls’ nights out”, often researching venues using Instagram, TikTok and TripAdvisor before committing (Zonal, 202</w:t>
      </w:r>
      <w:r w:rsidR="00F60B68" w:rsidRPr="00FE641E">
        <w:rPr>
          <w:rFonts w:ascii="Arial" w:hAnsi="Arial" w:cs="Arial"/>
          <w:sz w:val="24"/>
          <w:szCs w:val="24"/>
        </w:rPr>
        <w:t>4</w:t>
      </w:r>
      <w:r w:rsidRPr="00FE641E">
        <w:rPr>
          <w:rFonts w:ascii="Arial" w:hAnsi="Arial" w:cs="Arial"/>
          <w:sz w:val="24"/>
          <w:szCs w:val="24"/>
        </w:rPr>
        <w:t>; Mews, 2023).</w:t>
      </w:r>
    </w:p>
    <w:p w14:paraId="4A2D30BA" w14:textId="50A5A854"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Generationally, Millennial and Gen Z consumers exert disproportionate influence through their online presence, expecting hospitality brands to be visually compelling, authentic, value-driven and responsive to reviews (</w:t>
      </w:r>
      <w:r w:rsidR="00347EF5" w:rsidRPr="00FE641E">
        <w:rPr>
          <w:rFonts w:ascii="Arial" w:hAnsi="Arial" w:cs="Arial"/>
          <w:sz w:val="24"/>
          <w:szCs w:val="24"/>
        </w:rPr>
        <w:t>Jimi Famurewa, 2025</w:t>
      </w:r>
      <w:r w:rsidRPr="00FE641E">
        <w:rPr>
          <w:rFonts w:ascii="Arial" w:hAnsi="Arial" w:cs="Arial"/>
          <w:sz w:val="24"/>
          <w:szCs w:val="24"/>
        </w:rPr>
        <w:t>). They also demonstrate high sensitivity to peer recommendations and influencer endorsements (Baack et al., 201</w:t>
      </w:r>
      <w:r w:rsidR="00687F42" w:rsidRPr="00FE641E">
        <w:rPr>
          <w:rFonts w:ascii="Arial" w:hAnsi="Arial" w:cs="Arial"/>
          <w:sz w:val="24"/>
          <w:szCs w:val="24"/>
        </w:rPr>
        <w:t>8</w:t>
      </w:r>
      <w:r w:rsidRPr="00FE641E">
        <w:rPr>
          <w:rFonts w:ascii="Arial" w:hAnsi="Arial" w:cs="Arial"/>
          <w:sz w:val="24"/>
          <w:szCs w:val="24"/>
        </w:rPr>
        <w:t xml:space="preserve">; </w:t>
      </w:r>
      <w:r w:rsidR="00A73714" w:rsidRPr="00FE641E">
        <w:rPr>
          <w:rFonts w:ascii="Arial" w:hAnsi="Arial" w:cs="Arial"/>
          <w:sz w:val="24"/>
          <w:szCs w:val="24"/>
        </w:rPr>
        <w:t>Mooij, 2022)</w:t>
      </w:r>
      <w:r w:rsidRPr="00FE641E">
        <w:rPr>
          <w:rFonts w:ascii="Arial" w:hAnsi="Arial" w:cs="Arial"/>
          <w:sz w:val="24"/>
          <w:szCs w:val="24"/>
        </w:rPr>
        <w:t>.</w:t>
      </w:r>
    </w:p>
    <w:p w14:paraId="42B33732"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These insights support a focus on a clearly defined niche: digitally connected, socially oriented women aged 18–35 who seek “affordable glamour” and safe, photogenic spaces for socialising. Secondary segments include couples aged 35–45 seeking cocktails and informal dining during early evening or weekday slots.</w:t>
      </w:r>
    </w:p>
    <w:p w14:paraId="70595B05"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2.3 Competitors</w:t>
      </w:r>
    </w:p>
    <w:p w14:paraId="2F05B133" w14:textId="2DCC6FEF"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Wind Street and central Swansea host a dense cluster of hospitality competitors, including Turtle Bay, Revolution, Peppermint, Bambu Beach Bar and various independent bars and restaurants. Turtle Bay differentiates through a strong Caribbean concept, vibrant décor and a clearly themed food and drinks offer, while Revolution focuses on late-night drinking, student deals and a club-like atmosphere</w:t>
      </w:r>
      <w:r w:rsidR="00907505" w:rsidRPr="00FE641E">
        <w:rPr>
          <w:rFonts w:ascii="Arial" w:hAnsi="Arial" w:cs="Arial"/>
          <w:sz w:val="24"/>
          <w:szCs w:val="24"/>
        </w:rPr>
        <w:t>.</w:t>
      </w:r>
      <w:r w:rsidRPr="00FE641E">
        <w:rPr>
          <w:rFonts w:ascii="Arial" w:hAnsi="Arial" w:cs="Arial"/>
          <w:sz w:val="24"/>
          <w:szCs w:val="24"/>
        </w:rPr>
        <w:t xml:space="preserve"> Independents such as Founders &amp; Co. emphasise local sourcing, community events and sustainability narratives.</w:t>
      </w:r>
    </w:p>
    <w:p w14:paraId="086BB80A" w14:textId="373EBFFB"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lastRenderedPageBreak/>
        <w:t>A perceptual positioning map (see Appendix B) plots Slug &amp; Lettuce and key competitors on “price” and “experience/atmosphere” axes. Slug &amp; Lettuce currently occupies a mid-market position with moderate prices and relatively high visual appeal, but is less thematically distinctive than Turtle Bay or Founders &amp; Co. Bowman’s Strategy Clock (see Appendix C) suggests a hybrid strategy, offering acceptable value with some experiential features (Kotler and Armstrong, 202</w:t>
      </w:r>
      <w:r w:rsidR="00A26628" w:rsidRPr="00FE641E">
        <w:rPr>
          <w:rFonts w:ascii="Arial" w:hAnsi="Arial" w:cs="Arial"/>
          <w:sz w:val="24"/>
          <w:szCs w:val="24"/>
        </w:rPr>
        <w:t>1</w:t>
      </w:r>
      <w:r w:rsidRPr="00FE641E">
        <w:rPr>
          <w:rFonts w:ascii="Arial" w:hAnsi="Arial" w:cs="Arial"/>
          <w:sz w:val="24"/>
          <w:szCs w:val="24"/>
        </w:rPr>
        <w:t>; Masterson et al., 2021). A shift toward more focused differentiation, with locally inspired experiences and digital storytelling, offers scope to claim a clearer niche.</w:t>
      </w:r>
    </w:p>
    <w:p w14:paraId="38D5AF59" w14:textId="738A9CFE" w:rsidR="000C410E" w:rsidRPr="00FE641E" w:rsidRDefault="00DF1CBA" w:rsidP="000C410E">
      <w:pPr>
        <w:spacing w:line="360" w:lineRule="auto"/>
        <w:rPr>
          <w:rFonts w:ascii="Arial" w:hAnsi="Arial" w:cs="Arial"/>
          <w:sz w:val="24"/>
          <w:szCs w:val="24"/>
        </w:rPr>
      </w:pPr>
      <w:r w:rsidRPr="00FE641E">
        <w:rPr>
          <w:rFonts w:ascii="Arial" w:hAnsi="Arial" w:cs="Arial"/>
          <w:sz w:val="24"/>
          <w:szCs w:val="24"/>
        </w:rPr>
        <w:t xml:space="preserve">Competitor activity on social media, as observed through desk research of Instagram and TikTok feeds, indicates that creative short-form video, user-generated content, and collaborations with local influencers are now standard practice. Failure to match this intensity risks loss of share-of-mind among younger consumers (Kingsnorth, 2019; </w:t>
      </w:r>
      <w:r w:rsidR="000C410E" w:rsidRPr="00FE641E">
        <w:rPr>
          <w:rFonts w:ascii="Arial" w:hAnsi="Arial" w:cs="Arial"/>
          <w:sz w:val="24"/>
          <w:szCs w:val="24"/>
        </w:rPr>
        <w:t>Falconer, 2024)</w:t>
      </w:r>
    </w:p>
    <w:p w14:paraId="27800830" w14:textId="78B4B010"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w:t>
      </w:r>
    </w:p>
    <w:p w14:paraId="75C6E7E2"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2.4 Collaborators</w:t>
      </w:r>
    </w:p>
    <w:p w14:paraId="6ABAD01F" w14:textId="39C9A15F"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Slug &amp; Lettuce Swansea benefits from collaboration with several stakeholder groups. At corporate level, Stonegate provides marketing resources, training, supply contracts and brand partnerships with companies such as Diageo and Fever-Tree, enabling co-branded promotions ( Anwar et al., 2024). The site also works with delivery platforms such as Deliveroo to extend its reach beyond on-premise consumption.</w:t>
      </w:r>
    </w:p>
    <w:p w14:paraId="1BCF1B64" w14:textId="1BDC7B6E"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There is significant untapped potential in local collaborations. Partnerships with Swansea University and its student union could support targeted campaigns for freshers’ events, society socials and graduation celebrations. Local lifestyle influencers and content creators with 2,000–10,000 followers (micro-influencers) are particularly valuable due to higher trust and engagement levels (Bastrygina et al., 2024). Collaboration with local artists, DJs, and sustainability-focused suppliers could further embed the venue into the community and support brand differentiation.</w:t>
      </w:r>
    </w:p>
    <w:p w14:paraId="735A94E8"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2.5 Climate (Macro Environment – PESTLE)</w:t>
      </w:r>
    </w:p>
    <w:p w14:paraId="750F705B" w14:textId="0D827912"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A PESTLE analysis of the macro-environment is summarised in Appendix A and key factors are outlined below (Baack et al., 201</w:t>
      </w:r>
      <w:r w:rsidR="00687F42" w:rsidRPr="00FE641E">
        <w:rPr>
          <w:rFonts w:ascii="Arial" w:hAnsi="Arial" w:cs="Arial"/>
          <w:sz w:val="24"/>
          <w:szCs w:val="24"/>
        </w:rPr>
        <w:t>8</w:t>
      </w:r>
      <w:r w:rsidRPr="00FE641E">
        <w:rPr>
          <w:rFonts w:ascii="Arial" w:hAnsi="Arial" w:cs="Arial"/>
          <w:sz w:val="24"/>
          <w:szCs w:val="24"/>
        </w:rPr>
        <w:t>; Ghauri and Cateora, 2014).</w:t>
      </w:r>
    </w:p>
    <w:p w14:paraId="6C56386F"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lastRenderedPageBreak/>
        <w:t>Politically, post-Brexit import rules and changing licensing regulations have increased supply chain complexity and compliance costs. National and local authorities promote responsible drinking, affecting promotional practices.</w:t>
      </w:r>
    </w:p>
    <w:p w14:paraId="42BFF163" w14:textId="5BC0A588"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Economically, the UK hospitality sector faces high energy prices, staff shortages and inflationary pressures constraining consumer spending </w:t>
      </w:r>
      <w:r w:rsidR="00347EF5" w:rsidRPr="00FE641E">
        <w:rPr>
          <w:rFonts w:ascii="Arial" w:hAnsi="Arial" w:cs="Arial"/>
          <w:sz w:val="24"/>
          <w:szCs w:val="24"/>
        </w:rPr>
        <w:t>(Britton, 2025)</w:t>
      </w:r>
      <w:r w:rsidRPr="00FE641E">
        <w:rPr>
          <w:rFonts w:ascii="Arial" w:hAnsi="Arial" w:cs="Arial"/>
          <w:sz w:val="24"/>
          <w:szCs w:val="24"/>
        </w:rPr>
        <w:t>. Nevertheless, demand remains for “affordable indulgence”, with consumers trading down from premium venues but still seeking special experiences (Mintel, 2024).</w:t>
      </w:r>
    </w:p>
    <w:p w14:paraId="589C2E91" w14:textId="1AAC89D0"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Socially, there is a trend towards experience-driven dining, inclusive environments and concern for ethical and sustainable practices </w:t>
      </w:r>
      <w:r w:rsidR="00A73714" w:rsidRPr="00FE641E">
        <w:rPr>
          <w:rFonts w:ascii="Arial" w:hAnsi="Arial" w:cs="Arial"/>
          <w:sz w:val="24"/>
          <w:szCs w:val="24"/>
        </w:rPr>
        <w:t>(Dinc and Huang, 2024</w:t>
      </w:r>
      <w:r w:rsidRPr="00FE641E">
        <w:rPr>
          <w:rFonts w:ascii="Arial" w:hAnsi="Arial" w:cs="Arial"/>
          <w:sz w:val="24"/>
          <w:szCs w:val="24"/>
        </w:rPr>
        <w:t xml:space="preserve">; </w:t>
      </w:r>
      <w:r w:rsidR="00F07F1B" w:rsidRPr="00FE641E">
        <w:rPr>
          <w:rFonts w:ascii="Arial" w:hAnsi="Arial" w:cs="Arial"/>
          <w:sz w:val="24"/>
          <w:szCs w:val="24"/>
        </w:rPr>
        <w:t>Hulten</w:t>
      </w:r>
      <w:r w:rsidRPr="00FE641E">
        <w:rPr>
          <w:rFonts w:ascii="Arial" w:hAnsi="Arial" w:cs="Arial"/>
          <w:sz w:val="24"/>
          <w:szCs w:val="24"/>
        </w:rPr>
        <w:t>, 2020). Wellness, moderation and alcohol-free options are increasingly important.</w:t>
      </w:r>
    </w:p>
    <w:p w14:paraId="7AB35514" w14:textId="5345F04C"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Technologically, rapid advances in digital marketing, mobile ordering, CRM, AI chatbots and data analytics are transforming how restaurants interact with guests </w:t>
      </w:r>
      <w:r w:rsidR="00703F0C" w:rsidRPr="00FE641E">
        <w:rPr>
          <w:rFonts w:ascii="Arial" w:hAnsi="Arial" w:cs="Arial"/>
          <w:sz w:val="24"/>
          <w:szCs w:val="24"/>
        </w:rPr>
        <w:t>(Gidumal et al., 2023</w:t>
      </w:r>
      <w:r w:rsidRPr="00FE641E">
        <w:rPr>
          <w:rFonts w:ascii="Arial" w:hAnsi="Arial" w:cs="Arial"/>
          <w:sz w:val="24"/>
          <w:szCs w:val="24"/>
        </w:rPr>
        <w:t>, 2024; Remountakis et al., 2023). Guests expect frictionless digital journeys and personalised communication.</w:t>
      </w:r>
    </w:p>
    <w:p w14:paraId="4CD3C964"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Legally, strict food safety, employment law and GDPR obligations require robust systems, particularly when using customer data for marketing (Kingsnorth, 2019).</w:t>
      </w:r>
    </w:p>
    <w:p w14:paraId="73E1D52C" w14:textId="68A247A3"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Environmentally, pressure is mounting on hospitality businesses to reduce waste, cut plastic use and source responsibly, with customers more likely to support visibly sustainable venues.</w:t>
      </w:r>
    </w:p>
    <w:p w14:paraId="39BBDCA4"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Collectively, these trends suggest that Slug &amp; Lettuce Swansea will be rewarded for embracing digital innovation, ethical practice and experiential value while maintaining competitive pricing.</w:t>
      </w:r>
    </w:p>
    <w:p w14:paraId="770C4988"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3. Objectives – “Where do we want to go?”</w:t>
      </w:r>
    </w:p>
    <w:p w14:paraId="2D6DCAF6" w14:textId="5EE8E095"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In alignment with Stonegate’s overarching vision of delivering exceptional social experiences profitably, the following SMART objectives are proposed for Slug &amp; Lettuce Swansea over a 12</w:t>
      </w:r>
      <w:r w:rsidRPr="00FE641E">
        <w:rPr>
          <w:rFonts w:ascii="Arial" w:hAnsi="Arial" w:cs="Arial"/>
          <w:sz w:val="24"/>
          <w:szCs w:val="24"/>
        </w:rPr>
        <w:noBreakHyphen/>
        <w:t>month period (February 2026 – January 2027):</w:t>
      </w:r>
    </w:p>
    <w:p w14:paraId="68101036" w14:textId="77777777" w:rsidR="00DF1CBA" w:rsidRPr="00FE641E" w:rsidRDefault="00DF1CBA" w:rsidP="00DF1CBA">
      <w:pPr>
        <w:numPr>
          <w:ilvl w:val="0"/>
          <w:numId w:val="10"/>
        </w:numPr>
        <w:spacing w:line="360" w:lineRule="auto"/>
        <w:rPr>
          <w:rFonts w:ascii="Arial" w:hAnsi="Arial" w:cs="Arial"/>
          <w:sz w:val="24"/>
          <w:szCs w:val="24"/>
        </w:rPr>
      </w:pPr>
      <w:r w:rsidRPr="00FE641E">
        <w:rPr>
          <w:rFonts w:ascii="Arial" w:hAnsi="Arial" w:cs="Arial"/>
          <w:sz w:val="24"/>
          <w:szCs w:val="24"/>
        </w:rPr>
        <w:t>Market share and revenue</w:t>
      </w:r>
      <w:r w:rsidRPr="00FE641E">
        <w:rPr>
          <w:rFonts w:ascii="Arial" w:hAnsi="Arial" w:cs="Arial"/>
          <w:sz w:val="24"/>
          <w:szCs w:val="24"/>
        </w:rPr>
        <w:br/>
        <w:t>Increase local revenue and estimated market share by 10 per cent within 12 months, compared to the previous year, through improved weekday trade and higher average spend per head.</w:t>
      </w:r>
    </w:p>
    <w:p w14:paraId="4B4AE772" w14:textId="77777777" w:rsidR="00DF1CBA" w:rsidRPr="00FE641E" w:rsidRDefault="00DF1CBA" w:rsidP="00DF1CBA">
      <w:pPr>
        <w:numPr>
          <w:ilvl w:val="0"/>
          <w:numId w:val="10"/>
        </w:numPr>
        <w:spacing w:line="360" w:lineRule="auto"/>
        <w:rPr>
          <w:rFonts w:ascii="Arial" w:hAnsi="Arial" w:cs="Arial"/>
          <w:sz w:val="24"/>
          <w:szCs w:val="24"/>
        </w:rPr>
      </w:pPr>
      <w:r w:rsidRPr="00FE641E">
        <w:rPr>
          <w:rFonts w:ascii="Arial" w:hAnsi="Arial" w:cs="Arial"/>
          <w:sz w:val="24"/>
          <w:szCs w:val="24"/>
        </w:rPr>
        <w:lastRenderedPageBreak/>
        <w:t>Digital engagement</w:t>
      </w:r>
      <w:r w:rsidRPr="00FE641E">
        <w:rPr>
          <w:rFonts w:ascii="Arial" w:hAnsi="Arial" w:cs="Arial"/>
          <w:sz w:val="24"/>
          <w:szCs w:val="24"/>
        </w:rPr>
        <w:br/>
        <w:t>Achieve a 30 per cent increase in Instagram engagement (likes, comments, shares and saves) and a 50 per cent increase in TikTok reach within six months of campaign launch (LocaliQ, 2024).</w:t>
      </w:r>
    </w:p>
    <w:p w14:paraId="139DD59C" w14:textId="77777777" w:rsidR="00DF1CBA" w:rsidRPr="00FE641E" w:rsidRDefault="00DF1CBA" w:rsidP="00DF1CBA">
      <w:pPr>
        <w:numPr>
          <w:ilvl w:val="0"/>
          <w:numId w:val="10"/>
        </w:numPr>
        <w:spacing w:line="360" w:lineRule="auto"/>
        <w:rPr>
          <w:rFonts w:ascii="Arial" w:hAnsi="Arial" w:cs="Arial"/>
          <w:sz w:val="24"/>
          <w:szCs w:val="24"/>
        </w:rPr>
      </w:pPr>
      <w:r w:rsidRPr="00FE641E">
        <w:rPr>
          <w:rFonts w:ascii="Arial" w:hAnsi="Arial" w:cs="Arial"/>
          <w:sz w:val="24"/>
          <w:szCs w:val="24"/>
        </w:rPr>
        <w:t>Weekday capacity utilisation</w:t>
      </w:r>
      <w:r w:rsidRPr="00FE641E">
        <w:rPr>
          <w:rFonts w:ascii="Arial" w:hAnsi="Arial" w:cs="Arial"/>
          <w:sz w:val="24"/>
          <w:szCs w:val="24"/>
        </w:rPr>
        <w:br/>
        <w:t>Boost weekday brunch and early-evening bookings by 20 per cent within nine months by attracting remote workers, couples and friendship groups through targeted promotions.</w:t>
      </w:r>
    </w:p>
    <w:p w14:paraId="2918894E" w14:textId="77777777" w:rsidR="00DF1CBA" w:rsidRPr="00FE641E" w:rsidRDefault="00DF1CBA" w:rsidP="00DF1CBA">
      <w:pPr>
        <w:numPr>
          <w:ilvl w:val="0"/>
          <w:numId w:val="10"/>
        </w:numPr>
        <w:spacing w:line="360" w:lineRule="auto"/>
        <w:rPr>
          <w:rFonts w:ascii="Arial" w:hAnsi="Arial" w:cs="Arial"/>
          <w:sz w:val="24"/>
          <w:szCs w:val="24"/>
        </w:rPr>
      </w:pPr>
      <w:r w:rsidRPr="00FE641E">
        <w:rPr>
          <w:rFonts w:ascii="Arial" w:hAnsi="Arial" w:cs="Arial"/>
          <w:sz w:val="24"/>
          <w:szCs w:val="24"/>
        </w:rPr>
        <w:t>Customer retention and CRM</w:t>
      </w:r>
      <w:r w:rsidRPr="00FE641E">
        <w:rPr>
          <w:rFonts w:ascii="Arial" w:hAnsi="Arial" w:cs="Arial"/>
          <w:sz w:val="24"/>
          <w:szCs w:val="24"/>
        </w:rPr>
        <w:br/>
        <w:t>Grow the local CRM database by 15 per cent and increase repeat-visit rates among registered customers by 10 per cent within 12 months through loyalty incentives and personalised communications (Ashqar et al., 2025).</w:t>
      </w:r>
    </w:p>
    <w:p w14:paraId="2D5841B0" w14:textId="6EA4FF48" w:rsidR="00DF1CBA" w:rsidRPr="00FE641E" w:rsidRDefault="00DF1CBA" w:rsidP="00DF1CBA">
      <w:pPr>
        <w:numPr>
          <w:ilvl w:val="0"/>
          <w:numId w:val="10"/>
        </w:numPr>
        <w:spacing w:line="360" w:lineRule="auto"/>
        <w:rPr>
          <w:rFonts w:ascii="Arial" w:hAnsi="Arial" w:cs="Arial"/>
          <w:sz w:val="24"/>
          <w:szCs w:val="24"/>
        </w:rPr>
      </w:pPr>
      <w:r w:rsidRPr="00FE641E">
        <w:rPr>
          <w:rFonts w:ascii="Arial" w:hAnsi="Arial" w:cs="Arial"/>
          <w:sz w:val="24"/>
          <w:szCs w:val="24"/>
        </w:rPr>
        <w:t>Online reputation</w:t>
      </w:r>
      <w:r w:rsidRPr="00FE641E">
        <w:rPr>
          <w:rFonts w:ascii="Arial" w:hAnsi="Arial" w:cs="Arial"/>
          <w:sz w:val="24"/>
          <w:szCs w:val="24"/>
        </w:rPr>
        <w:br/>
        <w:t>Improve the average TripAdvisor rating by 0.5 points and increase the volume of positive reviews by 25 per cent within 12 months (Zonal, 202</w:t>
      </w:r>
      <w:r w:rsidR="00F60B68" w:rsidRPr="00FE641E">
        <w:rPr>
          <w:rFonts w:ascii="Arial" w:hAnsi="Arial" w:cs="Arial"/>
          <w:sz w:val="24"/>
          <w:szCs w:val="24"/>
        </w:rPr>
        <w:t>4</w:t>
      </w:r>
      <w:r w:rsidRPr="00FE641E">
        <w:rPr>
          <w:rFonts w:ascii="Arial" w:hAnsi="Arial" w:cs="Arial"/>
          <w:sz w:val="24"/>
          <w:szCs w:val="24"/>
        </w:rPr>
        <w:t>).</w:t>
      </w:r>
    </w:p>
    <w:p w14:paraId="2DDCDA4D"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These objectives are specific, measurable, achievable, relevant and time</w:t>
      </w:r>
      <w:r w:rsidRPr="00FE641E">
        <w:rPr>
          <w:rFonts w:ascii="Arial" w:hAnsi="Arial" w:cs="Arial"/>
          <w:sz w:val="24"/>
          <w:szCs w:val="24"/>
        </w:rPr>
        <w:noBreakHyphen/>
        <w:t>bound, and they directly support the restaurant’s need to strengthen digital presence, smooth demand across the week and build long-term customer relationships.</w:t>
      </w:r>
    </w:p>
    <w:p w14:paraId="0CAF7BE4"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4. Strategy – “How do we get there?”</w:t>
      </w:r>
    </w:p>
    <w:p w14:paraId="43308AFB"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4.1 Ansoff’s Matrix and Growth Direction</w:t>
      </w:r>
    </w:p>
    <w:p w14:paraId="38509F05"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Ansoff’s Matrix offers four strategic growth options: market penetration, product development, market development and diversification (Ansoff, 1957). Given Slug &amp; Lettuce Swansea’s strong existing brand awareness and limited capacity to expand geographically, the most appropriate strategic emphasis is on market penetration and product development.</w:t>
      </w:r>
    </w:p>
    <w:p w14:paraId="07F14282"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Market penetration will be pursued through intensified digital marketing aimed at existing and lapsed customers, enhanced CRM usage and targeted offers to encourage greater frequency of visits, particularly on weekdays. Product development will focus on menu innovation within the existing market, introducing </w:t>
      </w:r>
      <w:r w:rsidRPr="00FE641E">
        <w:rPr>
          <w:rFonts w:ascii="Arial" w:hAnsi="Arial" w:cs="Arial"/>
          <w:sz w:val="24"/>
          <w:szCs w:val="24"/>
        </w:rPr>
        <w:lastRenderedPageBreak/>
        <w:t>locally inspired cocktails and themed brunch experiences that incorporate elements of Swansea and the Gower, thereby adding authenticity to a standardised brand.</w:t>
      </w:r>
    </w:p>
    <w:p w14:paraId="4D9137D6"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4.2 Segmentation, Targeting and Positioning (STP)</w:t>
      </w:r>
    </w:p>
    <w:p w14:paraId="36F5C36E" w14:textId="5ABE87BD" w:rsidR="00352038" w:rsidRPr="00FE641E" w:rsidRDefault="00DF1CBA" w:rsidP="00352038">
      <w:pPr>
        <w:spacing w:line="360" w:lineRule="auto"/>
        <w:rPr>
          <w:rFonts w:ascii="Arial" w:hAnsi="Arial" w:cs="Arial"/>
          <w:sz w:val="24"/>
          <w:szCs w:val="24"/>
        </w:rPr>
      </w:pPr>
      <w:r w:rsidRPr="00FE641E">
        <w:rPr>
          <w:rFonts w:ascii="Arial" w:hAnsi="Arial" w:cs="Arial"/>
          <w:sz w:val="24"/>
          <w:szCs w:val="24"/>
        </w:rPr>
        <w:t xml:space="preserve">Segmentation combines demographic, psychographic and behavioural variables </w:t>
      </w:r>
      <w:r w:rsidR="00352038" w:rsidRPr="00FE641E">
        <w:rPr>
          <w:rFonts w:ascii="Arial" w:hAnsi="Arial" w:cs="Arial"/>
          <w:sz w:val="24"/>
          <w:szCs w:val="24"/>
        </w:rPr>
        <w:t>(Jenkins and McDonald, 1997).</w:t>
      </w:r>
    </w:p>
    <w:p w14:paraId="5717F8F0" w14:textId="0D571859"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 primary target segment is:</w:t>
      </w:r>
    </w:p>
    <w:p w14:paraId="4DB5F41E" w14:textId="77777777" w:rsidR="00DF1CBA" w:rsidRPr="00FE641E" w:rsidRDefault="00DF1CBA" w:rsidP="00DF1CBA">
      <w:pPr>
        <w:numPr>
          <w:ilvl w:val="0"/>
          <w:numId w:val="11"/>
        </w:numPr>
        <w:spacing w:line="360" w:lineRule="auto"/>
        <w:rPr>
          <w:rFonts w:ascii="Arial" w:hAnsi="Arial" w:cs="Arial"/>
          <w:sz w:val="24"/>
          <w:szCs w:val="24"/>
        </w:rPr>
      </w:pPr>
      <w:r w:rsidRPr="00FE641E">
        <w:rPr>
          <w:rFonts w:ascii="Arial" w:hAnsi="Arial" w:cs="Arial"/>
          <w:sz w:val="24"/>
          <w:szCs w:val="24"/>
        </w:rPr>
        <w:t>Demographic: Women aged 18–35, students and early-career professionals, living in Swansea or visiting frequently.</w:t>
      </w:r>
    </w:p>
    <w:p w14:paraId="5862F013" w14:textId="207A2A3F" w:rsidR="00DF1CBA" w:rsidRPr="00FE641E" w:rsidRDefault="00DF1CBA" w:rsidP="00F616C7">
      <w:pPr>
        <w:numPr>
          <w:ilvl w:val="0"/>
          <w:numId w:val="11"/>
        </w:numPr>
        <w:spacing w:line="360" w:lineRule="auto"/>
        <w:rPr>
          <w:rFonts w:ascii="Arial" w:hAnsi="Arial" w:cs="Arial"/>
          <w:sz w:val="24"/>
          <w:szCs w:val="24"/>
        </w:rPr>
      </w:pPr>
      <w:r w:rsidRPr="00FE641E">
        <w:rPr>
          <w:rFonts w:ascii="Arial" w:hAnsi="Arial" w:cs="Arial"/>
          <w:sz w:val="24"/>
          <w:szCs w:val="24"/>
        </w:rPr>
        <w:t xml:space="preserve">Psychographic: Socially active, style-conscious, value aesthetics and inclusivity, motivated by shareable experiences and FOMO (fear of missing out) </w:t>
      </w:r>
      <w:r w:rsidR="00F616C7" w:rsidRPr="00FE641E">
        <w:rPr>
          <w:rFonts w:ascii="Arial" w:hAnsi="Arial" w:cs="Arial"/>
          <w:sz w:val="24"/>
          <w:szCs w:val="24"/>
        </w:rPr>
        <w:t>(Pereira et al., 2025</w:t>
      </w:r>
      <w:r w:rsidRPr="00FE641E">
        <w:rPr>
          <w:rFonts w:ascii="Arial" w:hAnsi="Arial" w:cs="Arial"/>
          <w:sz w:val="24"/>
          <w:szCs w:val="24"/>
        </w:rPr>
        <w:t>; Gbadamosi, 2019).</w:t>
      </w:r>
    </w:p>
    <w:p w14:paraId="66A0E630" w14:textId="77777777" w:rsidR="00DF1CBA" w:rsidRPr="00FE641E" w:rsidRDefault="00DF1CBA" w:rsidP="00DF1CBA">
      <w:pPr>
        <w:numPr>
          <w:ilvl w:val="0"/>
          <w:numId w:val="11"/>
        </w:numPr>
        <w:spacing w:line="360" w:lineRule="auto"/>
        <w:rPr>
          <w:rFonts w:ascii="Arial" w:hAnsi="Arial" w:cs="Arial"/>
          <w:sz w:val="24"/>
          <w:szCs w:val="24"/>
        </w:rPr>
      </w:pPr>
      <w:r w:rsidRPr="00FE641E">
        <w:rPr>
          <w:rFonts w:ascii="Arial" w:hAnsi="Arial" w:cs="Arial"/>
          <w:sz w:val="24"/>
          <w:szCs w:val="24"/>
        </w:rPr>
        <w:t>Behavioural: Book in small groups for occasions, research venues via social media, respond well to influencer content and loyalty rewards, and prefer mobile-first interactions.</w:t>
      </w:r>
    </w:p>
    <w:p w14:paraId="45AB9EBF"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A secondary segment consists of couples aged 35–45 seeking relaxed cocktails and informal dining on weekday evenings and Sunday afternoons.</w:t>
      </w:r>
    </w:p>
    <w:p w14:paraId="63F5E106"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Positioning aims to clearly differentiate Slug &amp; Lettuce Swansea within the local market. The proposed positioning statement is:</w:t>
      </w:r>
    </w:p>
    <w:p w14:paraId="6AC682A3"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“For Swansea’s sociable trendsetters seeking affordable glamour, Slug &amp; Lettuce Swansea offers a vibrant, inclusive setting where every visit feels like an occasion – combining stylish surroundings, playful cocktails and engaging events, supported by seamless digital experiences.”</w:t>
      </w:r>
    </w:p>
    <w:p w14:paraId="186DB3C0" w14:textId="28C19E06" w:rsidR="00352038" w:rsidRPr="00FE641E" w:rsidRDefault="00DF1CBA" w:rsidP="00352038">
      <w:pPr>
        <w:spacing w:line="360" w:lineRule="auto"/>
        <w:rPr>
          <w:rFonts w:ascii="Arial" w:hAnsi="Arial" w:cs="Arial"/>
          <w:sz w:val="24"/>
          <w:szCs w:val="24"/>
        </w:rPr>
      </w:pPr>
      <w:r w:rsidRPr="00FE641E">
        <w:rPr>
          <w:rFonts w:ascii="Arial" w:hAnsi="Arial" w:cs="Arial"/>
          <w:sz w:val="24"/>
          <w:szCs w:val="24"/>
        </w:rPr>
        <w:t>This positioning focuses on emotional and experiential benefits rather than price competition, consistent with a differentiation strategy on Bowman’s clock (see Appendix C) and Porter’s “focus differentiation” approach (Brassington and Pettitt, 2006</w:t>
      </w:r>
      <w:r w:rsidR="00352038" w:rsidRPr="00FE641E">
        <w:rPr>
          <w:rFonts w:ascii="Arial" w:hAnsi="Arial" w:cs="Arial"/>
          <w:sz w:val="24"/>
          <w:szCs w:val="24"/>
        </w:rPr>
        <w:t>,;</w:t>
      </w:r>
      <w:r w:rsidR="00352038" w:rsidRPr="00FE641E">
        <w:rPr>
          <w:rFonts w:ascii="Times New Roman" w:eastAsia="Times New Roman" w:hAnsi="Times New Roman" w:cs="Times New Roman"/>
          <w:kern w:val="0"/>
          <w:sz w:val="24"/>
          <w:szCs w:val="24"/>
          <w:lang w:eastAsia="en-GB"/>
          <w14:ligatures w14:val="none"/>
        </w:rPr>
        <w:t xml:space="preserve"> </w:t>
      </w:r>
      <w:r w:rsidR="00352038" w:rsidRPr="00FE641E">
        <w:rPr>
          <w:rFonts w:ascii="Arial" w:hAnsi="Arial" w:cs="Arial"/>
          <w:sz w:val="24"/>
          <w:szCs w:val="24"/>
        </w:rPr>
        <w:t>Jenkins and McDonald, 1997)</w:t>
      </w:r>
    </w:p>
    <w:p w14:paraId="5C8E90CA" w14:textId="439592BC"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w:t>
      </w:r>
    </w:p>
    <w:p w14:paraId="64556CAC"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4.3 Marketing Mix (7Ps)</w:t>
      </w:r>
    </w:p>
    <w:p w14:paraId="3C36F3C7" w14:textId="2250D56F"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lastRenderedPageBreak/>
        <w:t xml:space="preserve">The extended services marketing mix provides an operational framework for delivering the strategy (Booms and Bitner, 1981; </w:t>
      </w:r>
      <w:r w:rsidR="00BE370C" w:rsidRPr="00FE641E">
        <w:rPr>
          <w:rFonts w:ascii="Arial" w:hAnsi="Arial" w:cs="Arial"/>
          <w:sz w:val="24"/>
          <w:szCs w:val="24"/>
        </w:rPr>
        <w:t>Bowie and Buttle, 2007)</w:t>
      </w:r>
      <w:r w:rsidRPr="00FE641E">
        <w:rPr>
          <w:rFonts w:ascii="Arial" w:hAnsi="Arial" w:cs="Arial"/>
          <w:sz w:val="24"/>
          <w:szCs w:val="24"/>
        </w:rPr>
        <w:t>.</w:t>
      </w:r>
    </w:p>
    <w:p w14:paraId="2332E559"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Product</w:t>
      </w:r>
      <w:r w:rsidRPr="00FE641E">
        <w:rPr>
          <w:rFonts w:ascii="Arial" w:hAnsi="Arial" w:cs="Arial"/>
          <w:sz w:val="24"/>
          <w:szCs w:val="24"/>
        </w:rPr>
        <w:br/>
        <w:t>The core product is a social, cocktail-led bar experience with food, supported by bottomless brunches, celebrations and seasonal events. Enhancements will include limited-edition, locally themed drinks such as a “Mumbles Mermaid Spritz” or “Gower Gin Garden”, collaborations with Welsh producers, and Instagrammable serves. The augmented product includes digital booking, loyalty schemes and branded social content.</w:t>
      </w:r>
    </w:p>
    <w:p w14:paraId="729548D1" w14:textId="33DBFE4B"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Price</w:t>
      </w:r>
      <w:r w:rsidRPr="00FE641E">
        <w:rPr>
          <w:rFonts w:ascii="Arial" w:hAnsi="Arial" w:cs="Arial"/>
          <w:sz w:val="24"/>
          <w:szCs w:val="24"/>
        </w:rPr>
        <w:br/>
        <w:t>Current pricing is mid-market, consistent with competitors. To support market penetration and improved utilisation, dynamic pricing principles from revenue management will be applied, offering time</w:t>
      </w:r>
      <w:r w:rsidRPr="00FE641E">
        <w:rPr>
          <w:rFonts w:ascii="Arial" w:hAnsi="Arial" w:cs="Arial"/>
          <w:sz w:val="24"/>
          <w:szCs w:val="24"/>
        </w:rPr>
        <w:noBreakHyphen/>
        <w:t xml:space="preserve">bound deals (e.g. midweek brunch discounts, early-evening cocktail bundles) without eroding weekend yields (Kimes, 2011; </w:t>
      </w:r>
      <w:r w:rsidR="00085B1D" w:rsidRPr="00FE641E">
        <w:rPr>
          <w:rFonts w:ascii="Arial" w:hAnsi="Arial" w:cs="Arial"/>
          <w:sz w:val="24"/>
          <w:szCs w:val="24"/>
        </w:rPr>
        <w:t>Bujalance-López et al., 2025)</w:t>
      </w:r>
      <w:r w:rsidRPr="00FE641E">
        <w:rPr>
          <w:rFonts w:ascii="Arial" w:hAnsi="Arial" w:cs="Arial"/>
          <w:sz w:val="24"/>
          <w:szCs w:val="24"/>
        </w:rPr>
        <w:t>. Student discounts will be maintained but more tightly targeted through CRM.</w:t>
      </w:r>
    </w:p>
    <w:p w14:paraId="641770AF" w14:textId="78BCAC44"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Place</w:t>
      </w:r>
      <w:r w:rsidRPr="00FE641E">
        <w:rPr>
          <w:rFonts w:ascii="Arial" w:hAnsi="Arial" w:cs="Arial"/>
          <w:sz w:val="24"/>
          <w:szCs w:val="24"/>
        </w:rPr>
        <w:br/>
        <w:t>Physically, Wind Street provides excellent visibility and accessibility. Digitally, “place” will be enhanced through search engine optimisation (SEO), improved local listings on Google Maps and review sites, and strengthening integration with third-party platforms for bookings and delivery (Kingsnorth, 2019). Ensuring the website is mobile-optimised and loads quickly is critical for.</w:t>
      </w:r>
    </w:p>
    <w:p w14:paraId="724AE607"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Promotion</w:t>
      </w:r>
      <w:r w:rsidRPr="00FE641E">
        <w:rPr>
          <w:rFonts w:ascii="Arial" w:hAnsi="Arial" w:cs="Arial"/>
          <w:sz w:val="24"/>
          <w:szCs w:val="24"/>
        </w:rPr>
        <w:br/>
        <w:t>Promotion will be driven by an integrated digital communications strategy, detailed in Section 5. Key tools include paid and organic social media campaigns, influencer partnerships, email marketing, PR coverage in local media and in</w:t>
      </w:r>
      <w:r w:rsidRPr="00FE641E">
        <w:rPr>
          <w:rFonts w:ascii="Arial" w:hAnsi="Arial" w:cs="Arial"/>
          <w:sz w:val="24"/>
          <w:szCs w:val="24"/>
        </w:rPr>
        <w:noBreakHyphen/>
        <w:t>venue promotions. Messaging will highlight themes of affordability, glamour, inclusivity and local relevance.</w:t>
      </w:r>
    </w:p>
    <w:p w14:paraId="3E678F6E" w14:textId="501248B3"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People</w:t>
      </w:r>
      <w:r w:rsidRPr="00FE641E">
        <w:rPr>
          <w:rFonts w:ascii="Arial" w:hAnsi="Arial" w:cs="Arial"/>
          <w:sz w:val="24"/>
          <w:szCs w:val="24"/>
        </w:rPr>
        <w:br/>
        <w:t xml:space="preserve">Service quality and staff personality are central to hospitality value creation </w:t>
      </w:r>
      <w:r w:rsidR="00BE370C" w:rsidRPr="00FE641E">
        <w:rPr>
          <w:rFonts w:ascii="Arial" w:hAnsi="Arial" w:cs="Arial"/>
          <w:sz w:val="24"/>
          <w:szCs w:val="24"/>
        </w:rPr>
        <w:t>(Bowie and Buttle, 2007)</w:t>
      </w:r>
      <w:r w:rsidRPr="00FE641E">
        <w:rPr>
          <w:rFonts w:ascii="Arial" w:hAnsi="Arial" w:cs="Arial"/>
          <w:sz w:val="24"/>
          <w:szCs w:val="24"/>
        </w:rPr>
        <w:t>. Staff training will emphasise “service theatre”, encouraging engaging interactions, photo</w:t>
      </w:r>
      <w:r w:rsidRPr="00FE641E">
        <w:rPr>
          <w:rFonts w:ascii="Arial" w:hAnsi="Arial" w:cs="Arial"/>
          <w:sz w:val="24"/>
          <w:szCs w:val="24"/>
        </w:rPr>
        <w:noBreakHyphen/>
        <w:t xml:space="preserve">friendly presentation and comfort with being featured in </w:t>
      </w:r>
      <w:r w:rsidRPr="00FE641E">
        <w:rPr>
          <w:rFonts w:ascii="Arial" w:hAnsi="Arial" w:cs="Arial"/>
          <w:sz w:val="24"/>
          <w:szCs w:val="24"/>
        </w:rPr>
        <w:lastRenderedPageBreak/>
        <w:t>social media posts (</w:t>
      </w:r>
      <w:r w:rsidR="00F07F1B" w:rsidRPr="00FE641E">
        <w:rPr>
          <w:rFonts w:ascii="Arial" w:hAnsi="Arial" w:cs="Arial"/>
          <w:sz w:val="24"/>
          <w:szCs w:val="24"/>
        </w:rPr>
        <w:t>Hulten</w:t>
      </w:r>
      <w:r w:rsidRPr="00FE641E">
        <w:rPr>
          <w:rFonts w:ascii="Arial" w:hAnsi="Arial" w:cs="Arial"/>
          <w:sz w:val="24"/>
          <w:szCs w:val="24"/>
        </w:rPr>
        <w:t>, 2020). Training will also cover digital etiquette for responding to online reviews and handling direct messages professionally.</w:t>
      </w:r>
    </w:p>
    <w:p w14:paraId="25F65697"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Process</w:t>
      </w:r>
      <w:r w:rsidRPr="00FE641E">
        <w:rPr>
          <w:rFonts w:ascii="Arial" w:hAnsi="Arial" w:cs="Arial"/>
          <w:sz w:val="24"/>
          <w:szCs w:val="24"/>
        </w:rPr>
        <w:br/>
        <w:t>Processes will be reviewed to ensure a smooth customer journey across channels. Online booking flows will be simplified; confirmation emails will include personal touches and clear calls</w:t>
      </w:r>
      <w:r w:rsidRPr="00FE641E">
        <w:rPr>
          <w:rFonts w:ascii="Arial" w:hAnsi="Arial" w:cs="Arial"/>
          <w:sz w:val="24"/>
          <w:szCs w:val="24"/>
        </w:rPr>
        <w:noBreakHyphen/>
        <w:t>to</w:t>
      </w:r>
      <w:r w:rsidRPr="00FE641E">
        <w:rPr>
          <w:rFonts w:ascii="Arial" w:hAnsi="Arial" w:cs="Arial"/>
          <w:sz w:val="24"/>
          <w:szCs w:val="24"/>
        </w:rPr>
        <w:noBreakHyphen/>
        <w:t>action. In</w:t>
      </w:r>
      <w:r w:rsidRPr="00FE641E">
        <w:rPr>
          <w:rFonts w:ascii="Arial" w:hAnsi="Arial" w:cs="Arial"/>
          <w:sz w:val="24"/>
          <w:szCs w:val="24"/>
        </w:rPr>
        <w:noBreakHyphen/>
        <w:t>venue processes will support consistent delivery of brunch packages and events to avoid negative reviews. CRM integration will allow data from Wi</w:t>
      </w:r>
      <w:r w:rsidRPr="00FE641E">
        <w:rPr>
          <w:rFonts w:ascii="Arial" w:hAnsi="Arial" w:cs="Arial"/>
          <w:sz w:val="24"/>
          <w:szCs w:val="24"/>
        </w:rPr>
        <w:noBreakHyphen/>
        <w:t>Fi logins and reservations to feed into segmented marketing campaigns (Ashqar et al., 2025).</w:t>
      </w:r>
    </w:p>
    <w:p w14:paraId="76649A58" w14:textId="065049D6"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Physical Evidence</w:t>
      </w:r>
      <w:r w:rsidRPr="00FE641E">
        <w:rPr>
          <w:rFonts w:ascii="Arial" w:hAnsi="Arial" w:cs="Arial"/>
          <w:sz w:val="24"/>
          <w:szCs w:val="24"/>
        </w:rPr>
        <w:br/>
        <w:t>Ambience and design are crucial in influencing perceptions of quality and value (</w:t>
      </w:r>
      <w:r w:rsidR="00F07F1B" w:rsidRPr="00FE641E">
        <w:rPr>
          <w:rFonts w:ascii="Arial" w:hAnsi="Arial" w:cs="Arial"/>
          <w:sz w:val="24"/>
          <w:szCs w:val="24"/>
        </w:rPr>
        <w:t>Hulten</w:t>
      </w:r>
      <w:r w:rsidRPr="00FE641E">
        <w:rPr>
          <w:rFonts w:ascii="Arial" w:hAnsi="Arial" w:cs="Arial"/>
          <w:sz w:val="24"/>
          <w:szCs w:val="24"/>
        </w:rPr>
        <w:t>, 2020). The Swansea venue already offers stylish décor, but further enhancements such as seasonal décor themes, statement photo backdrops and branded glassware will reinforce the “affordable glamour” positioning. Consistency between online imagery and on</w:t>
      </w:r>
      <w:r w:rsidRPr="00FE641E">
        <w:rPr>
          <w:rFonts w:ascii="Arial" w:hAnsi="Arial" w:cs="Arial"/>
          <w:sz w:val="24"/>
          <w:szCs w:val="24"/>
        </w:rPr>
        <w:noBreakHyphen/>
        <w:t>site experience is essential for credibility.</w:t>
      </w:r>
    </w:p>
    <w:p w14:paraId="0C822AB7"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4.4 Yield Management and CRM</w:t>
      </w:r>
    </w:p>
    <w:p w14:paraId="78AD74FC" w14:textId="155EC53E"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Building on revenue management principles, the plan seeks to increase revenue per available seat, particularly outside peak weekend times </w:t>
      </w:r>
      <w:r w:rsidR="00085B1D" w:rsidRPr="00FE641E">
        <w:rPr>
          <w:rFonts w:ascii="Arial" w:hAnsi="Arial" w:cs="Arial"/>
          <w:sz w:val="24"/>
          <w:szCs w:val="24"/>
        </w:rPr>
        <w:t>(Bujalance-López et al., 2025)</w:t>
      </w:r>
      <w:r w:rsidRPr="00FE641E">
        <w:rPr>
          <w:rFonts w:ascii="Arial" w:hAnsi="Arial" w:cs="Arial"/>
          <w:sz w:val="24"/>
          <w:szCs w:val="24"/>
        </w:rPr>
        <w:t>. Booking data will be analysed to identify underutilised periods and inform tactical offers, such as “Work from Slug” brunch and coffee bundles for remote workers or couples’ midweek date-night packages.</w:t>
      </w:r>
    </w:p>
    <w:p w14:paraId="316DE4D4" w14:textId="1D7D407D"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CRM is central to nurturing loyalty and personalising offers. By integrating booking, Wi</w:t>
      </w:r>
      <w:r w:rsidRPr="00FE641E">
        <w:rPr>
          <w:rFonts w:ascii="Arial" w:hAnsi="Arial" w:cs="Arial"/>
          <w:sz w:val="24"/>
          <w:szCs w:val="24"/>
        </w:rPr>
        <w:noBreakHyphen/>
        <w:t>Fi and competition sign</w:t>
      </w:r>
      <w:r w:rsidRPr="00FE641E">
        <w:rPr>
          <w:rFonts w:ascii="Arial" w:hAnsi="Arial" w:cs="Arial"/>
          <w:sz w:val="24"/>
          <w:szCs w:val="24"/>
        </w:rPr>
        <w:noBreakHyphen/>
        <w:t xml:space="preserve">up data, Slug &amp; Lettuce Swansea can create segmented mailing lists (e.g. students, birthday bookers, brunch fans) and tailor communications accordingly (Ashqar et al., 2025). AI-driven tools such as recommendation engines and chatbots, as discussed by </w:t>
      </w:r>
      <w:r w:rsidR="00703F0C" w:rsidRPr="00FE641E">
        <w:rPr>
          <w:rFonts w:ascii="Arial" w:hAnsi="Arial" w:cs="Arial"/>
          <w:sz w:val="24"/>
          <w:szCs w:val="24"/>
        </w:rPr>
        <w:t>Gidumal et al. (2023)</w:t>
      </w:r>
      <w:r w:rsidRPr="00FE641E">
        <w:rPr>
          <w:rFonts w:ascii="Arial" w:hAnsi="Arial" w:cs="Arial"/>
          <w:sz w:val="24"/>
          <w:szCs w:val="24"/>
        </w:rPr>
        <w:t xml:space="preserve"> and Remountakis et al. (2023), can support timely, personalised engagement at scale while respecting GDPR requirements.</w:t>
      </w:r>
    </w:p>
    <w:p w14:paraId="5FF06777"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5. Tactics – “The details of the strategy”</w:t>
      </w:r>
    </w:p>
    <w:p w14:paraId="24BE20E4" w14:textId="335F14EC"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Tactical planning adopts the RACE framework to structure digital and communications activities </w:t>
      </w:r>
      <w:r w:rsidR="00FC2848" w:rsidRPr="00FE641E">
        <w:rPr>
          <w:rFonts w:ascii="Arial" w:hAnsi="Arial" w:cs="Arial"/>
          <w:sz w:val="24"/>
          <w:szCs w:val="24"/>
        </w:rPr>
        <w:t>(Chaffey, 2022)</w:t>
      </w:r>
      <w:r w:rsidRPr="00FE641E">
        <w:rPr>
          <w:rFonts w:ascii="Arial" w:hAnsi="Arial" w:cs="Arial"/>
          <w:sz w:val="24"/>
          <w:szCs w:val="24"/>
        </w:rPr>
        <w:t>.</w:t>
      </w:r>
    </w:p>
    <w:p w14:paraId="2D008A72"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lastRenderedPageBreak/>
        <w:t>5.1 Reach</w:t>
      </w:r>
    </w:p>
    <w:p w14:paraId="08CBF310"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 primary objective at the Reach stage is to increase awareness among the target segments in Swansea and surrounding areas. Tactics include:</w:t>
      </w:r>
    </w:p>
    <w:p w14:paraId="13385068" w14:textId="77777777" w:rsidR="00DF1CBA" w:rsidRPr="00FE641E" w:rsidRDefault="00DF1CBA" w:rsidP="00DF1CBA">
      <w:pPr>
        <w:numPr>
          <w:ilvl w:val="0"/>
          <w:numId w:val="12"/>
        </w:numPr>
        <w:spacing w:line="360" w:lineRule="auto"/>
        <w:rPr>
          <w:rFonts w:ascii="Arial" w:hAnsi="Arial" w:cs="Arial"/>
          <w:sz w:val="24"/>
          <w:szCs w:val="24"/>
        </w:rPr>
      </w:pPr>
      <w:r w:rsidRPr="00FE641E">
        <w:rPr>
          <w:rFonts w:ascii="Arial" w:hAnsi="Arial" w:cs="Arial"/>
          <w:sz w:val="24"/>
          <w:szCs w:val="24"/>
        </w:rPr>
        <w:t>Paid social advertising on Instagram and TikTok targeting women aged 18–35 within a defined radius of Swansea, promoting signature events such as bottomless brunches and themed nights.</w:t>
      </w:r>
    </w:p>
    <w:p w14:paraId="727163F8" w14:textId="77777777" w:rsidR="00DF1CBA" w:rsidRPr="00FE641E" w:rsidRDefault="00DF1CBA" w:rsidP="00DF1CBA">
      <w:pPr>
        <w:numPr>
          <w:ilvl w:val="0"/>
          <w:numId w:val="12"/>
        </w:numPr>
        <w:spacing w:line="360" w:lineRule="auto"/>
        <w:rPr>
          <w:rFonts w:ascii="Arial" w:hAnsi="Arial" w:cs="Arial"/>
          <w:sz w:val="24"/>
          <w:szCs w:val="24"/>
        </w:rPr>
      </w:pPr>
      <w:r w:rsidRPr="00FE641E">
        <w:rPr>
          <w:rFonts w:ascii="Arial" w:hAnsi="Arial" w:cs="Arial"/>
          <w:sz w:val="24"/>
          <w:szCs w:val="24"/>
        </w:rPr>
        <w:t>Short-form video content showcasing cocktails, décor and guests enjoying themselves, optimised for Reels and TikTok trends (Bastrygina et al., 2024).</w:t>
      </w:r>
    </w:p>
    <w:p w14:paraId="03151829" w14:textId="77777777" w:rsidR="00DF1CBA" w:rsidRPr="00FE641E" w:rsidRDefault="00DF1CBA" w:rsidP="00DF1CBA">
      <w:pPr>
        <w:numPr>
          <w:ilvl w:val="0"/>
          <w:numId w:val="12"/>
        </w:numPr>
        <w:spacing w:line="360" w:lineRule="auto"/>
        <w:rPr>
          <w:rFonts w:ascii="Arial" w:hAnsi="Arial" w:cs="Arial"/>
          <w:sz w:val="24"/>
          <w:szCs w:val="24"/>
        </w:rPr>
      </w:pPr>
      <w:r w:rsidRPr="00FE641E">
        <w:rPr>
          <w:rFonts w:ascii="Arial" w:hAnsi="Arial" w:cs="Arial"/>
          <w:sz w:val="24"/>
          <w:szCs w:val="24"/>
        </w:rPr>
        <w:t>Collaborations with local micro-influencers (2,000–10,000 followers) across Instagram and TikTok to create authentic content and host small events (De Veirman et al., 2017).</w:t>
      </w:r>
    </w:p>
    <w:p w14:paraId="5B4C8222" w14:textId="34CA8206" w:rsidR="00DF1CBA" w:rsidRPr="00FE641E" w:rsidRDefault="00DF1CBA" w:rsidP="00DF1CBA">
      <w:pPr>
        <w:numPr>
          <w:ilvl w:val="0"/>
          <w:numId w:val="12"/>
        </w:numPr>
        <w:spacing w:line="360" w:lineRule="auto"/>
        <w:rPr>
          <w:rFonts w:ascii="Arial" w:hAnsi="Arial" w:cs="Arial"/>
          <w:sz w:val="24"/>
          <w:szCs w:val="24"/>
        </w:rPr>
      </w:pPr>
      <w:r w:rsidRPr="00FE641E">
        <w:rPr>
          <w:rFonts w:ascii="Arial" w:hAnsi="Arial" w:cs="Arial"/>
          <w:sz w:val="24"/>
          <w:szCs w:val="24"/>
        </w:rPr>
        <w:t>Local PR in outlets such as Wales Online and the South Wales Evening Post to publicise campaign launches, charity events and seasonal promotions</w:t>
      </w:r>
      <w:r w:rsidR="00D92202" w:rsidRPr="00FE641E">
        <w:rPr>
          <w:rFonts w:ascii="Arial" w:hAnsi="Arial" w:cs="Arial"/>
          <w:sz w:val="24"/>
          <w:szCs w:val="24"/>
        </w:rPr>
        <w:t>.</w:t>
      </w:r>
    </w:p>
    <w:p w14:paraId="212936C3" w14:textId="77777777" w:rsidR="00DF1CBA" w:rsidRPr="00FE641E" w:rsidRDefault="00DF1CBA" w:rsidP="00DF1CBA">
      <w:pPr>
        <w:numPr>
          <w:ilvl w:val="0"/>
          <w:numId w:val="12"/>
        </w:numPr>
        <w:spacing w:line="360" w:lineRule="auto"/>
        <w:rPr>
          <w:rFonts w:ascii="Arial" w:hAnsi="Arial" w:cs="Arial"/>
          <w:sz w:val="24"/>
          <w:szCs w:val="24"/>
        </w:rPr>
      </w:pPr>
      <w:r w:rsidRPr="00FE641E">
        <w:rPr>
          <w:rFonts w:ascii="Arial" w:hAnsi="Arial" w:cs="Arial"/>
          <w:sz w:val="24"/>
          <w:szCs w:val="24"/>
        </w:rPr>
        <w:t>SEO and Google Business optimisation, ensuring up</w:t>
      </w:r>
      <w:r w:rsidRPr="00FE641E">
        <w:rPr>
          <w:rFonts w:ascii="Arial" w:hAnsi="Arial" w:cs="Arial"/>
          <w:sz w:val="24"/>
          <w:szCs w:val="24"/>
        </w:rPr>
        <w:noBreakHyphen/>
        <w:t>to</w:t>
      </w:r>
      <w:r w:rsidRPr="00FE641E">
        <w:rPr>
          <w:rFonts w:ascii="Arial" w:hAnsi="Arial" w:cs="Arial"/>
          <w:sz w:val="24"/>
          <w:szCs w:val="24"/>
        </w:rPr>
        <w:noBreakHyphen/>
        <w:t>date images, event information and menu links to capture “restaurants in Swansea” and “bottomless brunch Swansea” searches (Kingsnorth, 2019).</w:t>
      </w:r>
    </w:p>
    <w:p w14:paraId="45268A3E"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5.2 Act</w:t>
      </w:r>
    </w:p>
    <w:p w14:paraId="72923739"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At the Act stage, the focus shifts to encouraging interactions and consideration:</w:t>
      </w:r>
    </w:p>
    <w:p w14:paraId="6E5D8994" w14:textId="0AA191C1" w:rsidR="00DF1CBA" w:rsidRPr="00FE641E" w:rsidRDefault="00DF1CBA" w:rsidP="00DF1CBA">
      <w:pPr>
        <w:numPr>
          <w:ilvl w:val="0"/>
          <w:numId w:val="13"/>
        </w:numPr>
        <w:spacing w:line="360" w:lineRule="auto"/>
        <w:rPr>
          <w:rFonts w:ascii="Arial" w:hAnsi="Arial" w:cs="Arial"/>
          <w:sz w:val="24"/>
          <w:szCs w:val="24"/>
        </w:rPr>
      </w:pPr>
      <w:r w:rsidRPr="00FE641E">
        <w:rPr>
          <w:rFonts w:ascii="Arial" w:hAnsi="Arial" w:cs="Arial"/>
          <w:sz w:val="24"/>
          <w:szCs w:val="24"/>
        </w:rPr>
        <w:t>Website and booking optimisation, including clear event pages, prominent “Book Now” buttons and mobile-friendly design, to reduce friction in the decision-making process</w:t>
      </w:r>
      <w:r w:rsidR="00444BAD" w:rsidRPr="00FE641E">
        <w:rPr>
          <w:rFonts w:ascii="Arial" w:hAnsi="Arial" w:cs="Arial"/>
          <w:sz w:val="24"/>
          <w:szCs w:val="24"/>
        </w:rPr>
        <w:t>.</w:t>
      </w:r>
    </w:p>
    <w:p w14:paraId="1573E6FB" w14:textId="77777777" w:rsidR="00DF1CBA" w:rsidRPr="00FE641E" w:rsidRDefault="00DF1CBA" w:rsidP="00DF1CBA">
      <w:pPr>
        <w:numPr>
          <w:ilvl w:val="0"/>
          <w:numId w:val="13"/>
        </w:numPr>
        <w:spacing w:line="360" w:lineRule="auto"/>
        <w:rPr>
          <w:rFonts w:ascii="Arial" w:hAnsi="Arial" w:cs="Arial"/>
          <w:sz w:val="24"/>
          <w:szCs w:val="24"/>
        </w:rPr>
      </w:pPr>
      <w:r w:rsidRPr="00FE641E">
        <w:rPr>
          <w:rFonts w:ascii="Arial" w:hAnsi="Arial" w:cs="Arial"/>
          <w:sz w:val="24"/>
          <w:szCs w:val="24"/>
        </w:rPr>
        <w:t>Engaging social content such as polls, stories and behind</w:t>
      </w:r>
      <w:r w:rsidRPr="00FE641E">
        <w:rPr>
          <w:rFonts w:ascii="Arial" w:hAnsi="Arial" w:cs="Arial"/>
          <w:sz w:val="24"/>
          <w:szCs w:val="24"/>
        </w:rPr>
        <w:noBreakHyphen/>
        <w:t>the</w:t>
      </w:r>
      <w:r w:rsidRPr="00FE641E">
        <w:rPr>
          <w:rFonts w:ascii="Arial" w:hAnsi="Arial" w:cs="Arial"/>
          <w:sz w:val="24"/>
          <w:szCs w:val="24"/>
        </w:rPr>
        <w:noBreakHyphen/>
        <w:t>scenes posts to stimulate comments and saves.</w:t>
      </w:r>
    </w:p>
    <w:p w14:paraId="1A70FA89" w14:textId="77777777" w:rsidR="00DF1CBA" w:rsidRPr="00FE641E" w:rsidRDefault="00DF1CBA" w:rsidP="00DF1CBA">
      <w:pPr>
        <w:numPr>
          <w:ilvl w:val="0"/>
          <w:numId w:val="13"/>
        </w:numPr>
        <w:spacing w:line="360" w:lineRule="auto"/>
        <w:rPr>
          <w:rFonts w:ascii="Arial" w:hAnsi="Arial" w:cs="Arial"/>
          <w:sz w:val="24"/>
          <w:szCs w:val="24"/>
        </w:rPr>
      </w:pPr>
      <w:r w:rsidRPr="00FE641E">
        <w:rPr>
          <w:rFonts w:ascii="Arial" w:hAnsi="Arial" w:cs="Arial"/>
          <w:sz w:val="24"/>
          <w:szCs w:val="24"/>
        </w:rPr>
        <w:t>User-generated content (UGC) campaigns, for example a #SipInSwansea challenge encouraging guests to share their favourite cocktail moments, with monthly prizes.</w:t>
      </w:r>
    </w:p>
    <w:p w14:paraId="7B481AF4" w14:textId="06E934DF" w:rsidR="00DF1CBA" w:rsidRPr="00FE641E" w:rsidRDefault="00DF1CBA" w:rsidP="00FC2848">
      <w:pPr>
        <w:numPr>
          <w:ilvl w:val="0"/>
          <w:numId w:val="13"/>
        </w:numPr>
        <w:spacing w:line="360" w:lineRule="auto"/>
        <w:rPr>
          <w:rFonts w:ascii="Arial" w:hAnsi="Arial" w:cs="Arial"/>
          <w:sz w:val="24"/>
          <w:szCs w:val="24"/>
        </w:rPr>
      </w:pPr>
      <w:r w:rsidRPr="00FE641E">
        <w:rPr>
          <w:rFonts w:ascii="Arial" w:hAnsi="Arial" w:cs="Arial"/>
          <w:sz w:val="24"/>
          <w:szCs w:val="24"/>
        </w:rPr>
        <w:t xml:space="preserve">Blog or article posts on the brand site (or via Stonegate channels) discussing cocktail trends, local collaborations and sustainability initiatives, delivering value and boosting SEO </w:t>
      </w:r>
      <w:r w:rsidR="00FC2848" w:rsidRPr="00FE641E">
        <w:rPr>
          <w:rFonts w:ascii="Arial" w:hAnsi="Arial" w:cs="Arial"/>
          <w:sz w:val="24"/>
          <w:szCs w:val="24"/>
        </w:rPr>
        <w:t>(Chaffey, 2022)</w:t>
      </w:r>
      <w:r w:rsidRPr="00FE641E">
        <w:rPr>
          <w:rFonts w:ascii="Arial" w:hAnsi="Arial" w:cs="Arial"/>
          <w:sz w:val="24"/>
          <w:szCs w:val="24"/>
        </w:rPr>
        <w:t>.</w:t>
      </w:r>
    </w:p>
    <w:p w14:paraId="183F03E5"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lastRenderedPageBreak/>
        <w:t>5.3 Convert</w:t>
      </w:r>
    </w:p>
    <w:p w14:paraId="44852868"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To drive bookings and on</w:t>
      </w:r>
      <w:r w:rsidRPr="00FE641E">
        <w:rPr>
          <w:rFonts w:ascii="Arial" w:hAnsi="Arial" w:cs="Arial"/>
          <w:sz w:val="24"/>
          <w:szCs w:val="24"/>
        </w:rPr>
        <w:noBreakHyphen/>
        <w:t>site spend:</w:t>
      </w:r>
    </w:p>
    <w:p w14:paraId="79076606" w14:textId="77777777" w:rsidR="009F2E25" w:rsidRPr="00FE641E" w:rsidRDefault="00DF1CBA" w:rsidP="00DF1CBA">
      <w:pPr>
        <w:numPr>
          <w:ilvl w:val="0"/>
          <w:numId w:val="14"/>
        </w:numPr>
        <w:spacing w:line="360" w:lineRule="auto"/>
        <w:rPr>
          <w:rFonts w:ascii="Arial" w:hAnsi="Arial" w:cs="Arial"/>
          <w:sz w:val="24"/>
          <w:szCs w:val="24"/>
        </w:rPr>
      </w:pPr>
      <w:r w:rsidRPr="00FE641E">
        <w:rPr>
          <w:rFonts w:ascii="Arial" w:hAnsi="Arial" w:cs="Arial"/>
          <w:sz w:val="24"/>
          <w:szCs w:val="24"/>
        </w:rPr>
        <w:t xml:space="preserve">Digital loyalty scheme delivering a reward (e.g. free dessert or cocktail) after a set number of visits, tracked via QR code or app integration </w:t>
      </w:r>
      <w:r w:rsidR="009F2E25" w:rsidRPr="00FE641E">
        <w:rPr>
          <w:rFonts w:ascii="Arial" w:hAnsi="Arial" w:cs="Arial"/>
          <w:sz w:val="24"/>
          <w:szCs w:val="24"/>
        </w:rPr>
        <w:t xml:space="preserve">(Jimi Famurewa, 2025). </w:t>
      </w:r>
    </w:p>
    <w:p w14:paraId="1E1BD68D" w14:textId="6E777D1B" w:rsidR="00DF1CBA" w:rsidRPr="00FE641E" w:rsidRDefault="00DF1CBA" w:rsidP="00DF1CBA">
      <w:pPr>
        <w:numPr>
          <w:ilvl w:val="0"/>
          <w:numId w:val="14"/>
        </w:numPr>
        <w:spacing w:line="360" w:lineRule="auto"/>
        <w:rPr>
          <w:rFonts w:ascii="Arial" w:hAnsi="Arial" w:cs="Arial"/>
          <w:sz w:val="24"/>
          <w:szCs w:val="24"/>
        </w:rPr>
      </w:pPr>
      <w:r w:rsidRPr="00FE641E">
        <w:rPr>
          <w:rFonts w:ascii="Arial" w:hAnsi="Arial" w:cs="Arial"/>
          <w:sz w:val="24"/>
          <w:szCs w:val="24"/>
        </w:rPr>
        <w:t>Birthday and celebration offers sent via email and SMS to CRM contacts, including discounts for group bookings.</w:t>
      </w:r>
    </w:p>
    <w:p w14:paraId="2D02A069" w14:textId="77777777" w:rsidR="00DF1CBA" w:rsidRPr="00FE641E" w:rsidRDefault="00DF1CBA" w:rsidP="00DF1CBA">
      <w:pPr>
        <w:numPr>
          <w:ilvl w:val="0"/>
          <w:numId w:val="14"/>
        </w:numPr>
        <w:spacing w:line="360" w:lineRule="auto"/>
        <w:rPr>
          <w:rFonts w:ascii="Arial" w:hAnsi="Arial" w:cs="Arial"/>
          <w:sz w:val="24"/>
          <w:szCs w:val="24"/>
        </w:rPr>
      </w:pPr>
      <w:r w:rsidRPr="00FE641E">
        <w:rPr>
          <w:rFonts w:ascii="Arial" w:hAnsi="Arial" w:cs="Arial"/>
          <w:sz w:val="24"/>
          <w:szCs w:val="24"/>
        </w:rPr>
        <w:t>Co-branded events with premium drinks partners, offering pre</w:t>
      </w:r>
      <w:r w:rsidRPr="00FE641E">
        <w:rPr>
          <w:rFonts w:ascii="Arial" w:hAnsi="Arial" w:cs="Arial"/>
          <w:sz w:val="24"/>
          <w:szCs w:val="24"/>
        </w:rPr>
        <w:noBreakHyphen/>
        <w:t>booked tasting menus and cocktail masterclasses, which tend to yield higher average spend (Anwar et al., 2024).</w:t>
      </w:r>
    </w:p>
    <w:p w14:paraId="58D0B708" w14:textId="2DBEFA45" w:rsidR="00DF1CBA" w:rsidRPr="00FE641E" w:rsidRDefault="00DF1CBA" w:rsidP="00D14684">
      <w:pPr>
        <w:numPr>
          <w:ilvl w:val="0"/>
          <w:numId w:val="14"/>
        </w:numPr>
        <w:spacing w:line="360" w:lineRule="auto"/>
        <w:rPr>
          <w:rFonts w:ascii="Arial" w:hAnsi="Arial" w:cs="Arial"/>
          <w:sz w:val="24"/>
          <w:szCs w:val="24"/>
        </w:rPr>
      </w:pPr>
      <w:r w:rsidRPr="00FE641E">
        <w:rPr>
          <w:rFonts w:ascii="Arial" w:hAnsi="Arial" w:cs="Arial"/>
          <w:sz w:val="24"/>
          <w:szCs w:val="24"/>
        </w:rPr>
        <w:t>“Book online and save” promotions for off</w:t>
      </w:r>
      <w:r w:rsidRPr="00FE641E">
        <w:rPr>
          <w:rFonts w:ascii="Arial" w:hAnsi="Arial" w:cs="Arial"/>
          <w:sz w:val="24"/>
          <w:szCs w:val="24"/>
        </w:rPr>
        <w:noBreakHyphen/>
        <w:t xml:space="preserve">peak times, such as a small discount or free upgrade for bookings made via the website for midweek brunch </w:t>
      </w:r>
      <w:r w:rsidR="00D14684" w:rsidRPr="00FE641E">
        <w:rPr>
          <w:rFonts w:ascii="Arial" w:hAnsi="Arial" w:cs="Arial"/>
          <w:sz w:val="24"/>
          <w:szCs w:val="24"/>
        </w:rPr>
        <w:t>(Sestino et al., 2023)</w:t>
      </w:r>
      <w:r w:rsidRPr="00FE641E">
        <w:rPr>
          <w:rFonts w:ascii="Arial" w:hAnsi="Arial" w:cs="Arial"/>
          <w:sz w:val="24"/>
          <w:szCs w:val="24"/>
        </w:rPr>
        <w:t>.</w:t>
      </w:r>
    </w:p>
    <w:p w14:paraId="5A0A9468"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5.4 Engage</w:t>
      </w:r>
    </w:p>
    <w:p w14:paraId="62EC4633"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Post</w:t>
      </w:r>
      <w:r w:rsidRPr="00FE641E">
        <w:rPr>
          <w:rFonts w:ascii="Arial" w:hAnsi="Arial" w:cs="Arial"/>
          <w:sz w:val="24"/>
          <w:szCs w:val="24"/>
        </w:rPr>
        <w:noBreakHyphen/>
        <w:t>visit engagement aims to build long-term relationships and advocacy:</w:t>
      </w:r>
    </w:p>
    <w:p w14:paraId="1D4E0C5D" w14:textId="6700E86A" w:rsidR="00DF1CBA" w:rsidRPr="00FE641E" w:rsidRDefault="00DF1CBA" w:rsidP="00DF1CBA">
      <w:pPr>
        <w:numPr>
          <w:ilvl w:val="0"/>
          <w:numId w:val="15"/>
        </w:numPr>
        <w:spacing w:line="360" w:lineRule="auto"/>
        <w:rPr>
          <w:rFonts w:ascii="Arial" w:hAnsi="Arial" w:cs="Arial"/>
          <w:sz w:val="24"/>
          <w:szCs w:val="24"/>
        </w:rPr>
      </w:pPr>
      <w:r w:rsidRPr="00FE641E">
        <w:rPr>
          <w:rFonts w:ascii="Arial" w:hAnsi="Arial" w:cs="Arial"/>
          <w:sz w:val="24"/>
          <w:szCs w:val="24"/>
        </w:rPr>
        <w:t>Automated follow</w:t>
      </w:r>
      <w:r w:rsidRPr="00FE641E">
        <w:rPr>
          <w:rFonts w:ascii="Arial" w:hAnsi="Arial" w:cs="Arial"/>
          <w:sz w:val="24"/>
          <w:szCs w:val="24"/>
        </w:rPr>
        <w:noBreakHyphen/>
        <w:t>up emails thanking guests for their visit, inviting feedback and encouraging reviews on Google and TripAdvisor (Zonal, 202</w:t>
      </w:r>
      <w:r w:rsidR="00F60B68" w:rsidRPr="00FE641E">
        <w:rPr>
          <w:rFonts w:ascii="Arial" w:hAnsi="Arial" w:cs="Arial"/>
          <w:sz w:val="24"/>
          <w:szCs w:val="24"/>
        </w:rPr>
        <w:t>4</w:t>
      </w:r>
      <w:r w:rsidRPr="00FE641E">
        <w:rPr>
          <w:rFonts w:ascii="Arial" w:hAnsi="Arial" w:cs="Arial"/>
          <w:sz w:val="24"/>
          <w:szCs w:val="24"/>
        </w:rPr>
        <w:t>).</w:t>
      </w:r>
    </w:p>
    <w:p w14:paraId="563D0C99" w14:textId="77777777" w:rsidR="00DF1CBA" w:rsidRPr="00FE641E" w:rsidRDefault="00DF1CBA" w:rsidP="00DF1CBA">
      <w:pPr>
        <w:numPr>
          <w:ilvl w:val="0"/>
          <w:numId w:val="15"/>
        </w:numPr>
        <w:spacing w:line="360" w:lineRule="auto"/>
        <w:rPr>
          <w:rFonts w:ascii="Arial" w:hAnsi="Arial" w:cs="Arial"/>
          <w:sz w:val="24"/>
          <w:szCs w:val="24"/>
        </w:rPr>
      </w:pPr>
      <w:r w:rsidRPr="00FE641E">
        <w:rPr>
          <w:rFonts w:ascii="Arial" w:hAnsi="Arial" w:cs="Arial"/>
          <w:sz w:val="24"/>
          <w:szCs w:val="24"/>
        </w:rPr>
        <w:t>Responding promptly and professionally to all reviews and social media comments, reinforcing brand values and demonstrating accountability.</w:t>
      </w:r>
    </w:p>
    <w:p w14:paraId="7F1927FD" w14:textId="77777777" w:rsidR="00DF1CBA" w:rsidRPr="00FE641E" w:rsidRDefault="00DF1CBA" w:rsidP="00DF1CBA">
      <w:pPr>
        <w:numPr>
          <w:ilvl w:val="0"/>
          <w:numId w:val="15"/>
        </w:numPr>
        <w:spacing w:line="360" w:lineRule="auto"/>
        <w:rPr>
          <w:rFonts w:ascii="Arial" w:hAnsi="Arial" w:cs="Arial"/>
          <w:sz w:val="24"/>
          <w:szCs w:val="24"/>
        </w:rPr>
      </w:pPr>
      <w:r w:rsidRPr="00FE641E">
        <w:rPr>
          <w:rFonts w:ascii="Arial" w:hAnsi="Arial" w:cs="Arial"/>
          <w:sz w:val="24"/>
          <w:szCs w:val="24"/>
        </w:rPr>
        <w:t>VIP lists and insiders’ events for top spenders and highly engaged social followers, providing early access to new menus or themed nights.</w:t>
      </w:r>
    </w:p>
    <w:p w14:paraId="03201005" w14:textId="45BCD23D" w:rsidR="00DF1CBA" w:rsidRPr="00FE641E" w:rsidRDefault="00DF1CBA" w:rsidP="00DF1CBA">
      <w:pPr>
        <w:numPr>
          <w:ilvl w:val="0"/>
          <w:numId w:val="15"/>
        </w:numPr>
        <w:spacing w:line="360" w:lineRule="auto"/>
        <w:rPr>
          <w:rFonts w:ascii="Arial" w:hAnsi="Arial" w:cs="Arial"/>
          <w:sz w:val="24"/>
          <w:szCs w:val="24"/>
        </w:rPr>
      </w:pPr>
      <w:r w:rsidRPr="00FE641E">
        <w:rPr>
          <w:rFonts w:ascii="Arial" w:hAnsi="Arial" w:cs="Arial"/>
          <w:sz w:val="24"/>
          <w:szCs w:val="24"/>
        </w:rPr>
        <w:t>Community-based initiatives, such as charity brunches supporting local causes, to enhance emotional connection and corporate responsibility.</w:t>
      </w:r>
    </w:p>
    <w:p w14:paraId="00135415"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5.5 Integrated Communications Mix</w:t>
      </w:r>
    </w:p>
    <w:p w14:paraId="008D48F5" w14:textId="126822DF"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The communication strategy integrates advertising, sales promotion, PR, direct and digital marketing, personal selling and events </w:t>
      </w:r>
      <w:r w:rsidR="00FC2848" w:rsidRPr="00FE641E">
        <w:rPr>
          <w:rFonts w:ascii="Arial" w:hAnsi="Arial" w:cs="Arial"/>
          <w:sz w:val="24"/>
          <w:szCs w:val="24"/>
        </w:rPr>
        <w:t>(Clow and Baack, 2021)</w:t>
      </w:r>
      <w:r w:rsidRPr="00FE641E">
        <w:rPr>
          <w:rFonts w:ascii="Arial" w:hAnsi="Arial" w:cs="Arial"/>
          <w:sz w:val="24"/>
          <w:szCs w:val="24"/>
        </w:rPr>
        <w:t>. For example, a “Swansea Glamour Weekender” campaign might combine:</w:t>
      </w:r>
    </w:p>
    <w:p w14:paraId="47348044" w14:textId="77777777" w:rsidR="00DF1CBA" w:rsidRPr="00FE641E" w:rsidRDefault="00DF1CBA" w:rsidP="00DF1CBA">
      <w:pPr>
        <w:numPr>
          <w:ilvl w:val="0"/>
          <w:numId w:val="16"/>
        </w:numPr>
        <w:spacing w:line="360" w:lineRule="auto"/>
        <w:rPr>
          <w:rFonts w:ascii="Arial" w:hAnsi="Arial" w:cs="Arial"/>
          <w:sz w:val="24"/>
          <w:szCs w:val="24"/>
        </w:rPr>
      </w:pPr>
      <w:r w:rsidRPr="00FE641E">
        <w:rPr>
          <w:rFonts w:ascii="Arial" w:hAnsi="Arial" w:cs="Arial"/>
          <w:sz w:val="24"/>
          <w:szCs w:val="24"/>
        </w:rPr>
        <w:t>Teaser posts and paid ads on social media (advertising),</w:t>
      </w:r>
    </w:p>
    <w:p w14:paraId="44299273" w14:textId="77777777" w:rsidR="00DF1CBA" w:rsidRPr="00FE641E" w:rsidRDefault="00DF1CBA" w:rsidP="00DF1CBA">
      <w:pPr>
        <w:numPr>
          <w:ilvl w:val="0"/>
          <w:numId w:val="16"/>
        </w:numPr>
        <w:spacing w:line="360" w:lineRule="auto"/>
        <w:rPr>
          <w:rFonts w:ascii="Arial" w:hAnsi="Arial" w:cs="Arial"/>
          <w:sz w:val="24"/>
          <w:szCs w:val="24"/>
        </w:rPr>
      </w:pPr>
      <w:r w:rsidRPr="00FE641E">
        <w:rPr>
          <w:rFonts w:ascii="Arial" w:hAnsi="Arial" w:cs="Arial"/>
          <w:sz w:val="24"/>
          <w:szCs w:val="24"/>
        </w:rPr>
        <w:lastRenderedPageBreak/>
        <w:t>Limited</w:t>
      </w:r>
      <w:r w:rsidRPr="00FE641E">
        <w:rPr>
          <w:rFonts w:ascii="Arial" w:hAnsi="Arial" w:cs="Arial"/>
          <w:sz w:val="24"/>
          <w:szCs w:val="24"/>
        </w:rPr>
        <w:noBreakHyphen/>
        <w:t>time package deals (sales promotion),</w:t>
      </w:r>
    </w:p>
    <w:p w14:paraId="09E41BCC" w14:textId="77777777" w:rsidR="00DF1CBA" w:rsidRPr="00FE641E" w:rsidRDefault="00DF1CBA" w:rsidP="00DF1CBA">
      <w:pPr>
        <w:numPr>
          <w:ilvl w:val="0"/>
          <w:numId w:val="16"/>
        </w:numPr>
        <w:spacing w:line="360" w:lineRule="auto"/>
        <w:rPr>
          <w:rFonts w:ascii="Arial" w:hAnsi="Arial" w:cs="Arial"/>
          <w:sz w:val="24"/>
          <w:szCs w:val="24"/>
        </w:rPr>
      </w:pPr>
      <w:r w:rsidRPr="00FE641E">
        <w:rPr>
          <w:rFonts w:ascii="Arial" w:hAnsi="Arial" w:cs="Arial"/>
          <w:sz w:val="24"/>
          <w:szCs w:val="24"/>
        </w:rPr>
        <w:t>A press release to local media (PR),</w:t>
      </w:r>
    </w:p>
    <w:p w14:paraId="0F0B28AB" w14:textId="77777777" w:rsidR="00DF1CBA" w:rsidRPr="00FE641E" w:rsidRDefault="00DF1CBA" w:rsidP="00DF1CBA">
      <w:pPr>
        <w:numPr>
          <w:ilvl w:val="0"/>
          <w:numId w:val="16"/>
        </w:numPr>
        <w:spacing w:line="360" w:lineRule="auto"/>
        <w:rPr>
          <w:rFonts w:ascii="Arial" w:hAnsi="Arial" w:cs="Arial"/>
          <w:sz w:val="24"/>
          <w:szCs w:val="24"/>
        </w:rPr>
      </w:pPr>
      <w:r w:rsidRPr="00FE641E">
        <w:rPr>
          <w:rFonts w:ascii="Arial" w:hAnsi="Arial" w:cs="Arial"/>
          <w:sz w:val="24"/>
          <w:szCs w:val="24"/>
        </w:rPr>
        <w:t>Email invitations to CRM segments (direct marketing),</w:t>
      </w:r>
    </w:p>
    <w:p w14:paraId="3A23ED81" w14:textId="77777777" w:rsidR="00DF1CBA" w:rsidRPr="00FE641E" w:rsidRDefault="00DF1CBA" w:rsidP="00DF1CBA">
      <w:pPr>
        <w:numPr>
          <w:ilvl w:val="0"/>
          <w:numId w:val="16"/>
        </w:numPr>
        <w:spacing w:line="360" w:lineRule="auto"/>
        <w:rPr>
          <w:rFonts w:ascii="Arial" w:hAnsi="Arial" w:cs="Arial"/>
          <w:sz w:val="24"/>
          <w:szCs w:val="24"/>
        </w:rPr>
      </w:pPr>
      <w:r w:rsidRPr="00FE641E">
        <w:rPr>
          <w:rFonts w:ascii="Arial" w:hAnsi="Arial" w:cs="Arial"/>
          <w:sz w:val="24"/>
          <w:szCs w:val="24"/>
        </w:rPr>
        <w:t>Staff upselling in</w:t>
      </w:r>
      <w:r w:rsidRPr="00FE641E">
        <w:rPr>
          <w:rFonts w:ascii="Arial" w:hAnsi="Arial" w:cs="Arial"/>
          <w:sz w:val="24"/>
          <w:szCs w:val="24"/>
        </w:rPr>
        <w:noBreakHyphen/>
        <w:t>venue (personal selling),</w:t>
      </w:r>
    </w:p>
    <w:p w14:paraId="0F5B4F59" w14:textId="77777777" w:rsidR="00DF1CBA" w:rsidRPr="00FE641E" w:rsidRDefault="00DF1CBA" w:rsidP="00DF1CBA">
      <w:pPr>
        <w:numPr>
          <w:ilvl w:val="0"/>
          <w:numId w:val="16"/>
        </w:numPr>
        <w:spacing w:line="360" w:lineRule="auto"/>
        <w:rPr>
          <w:rFonts w:ascii="Arial" w:hAnsi="Arial" w:cs="Arial"/>
          <w:sz w:val="24"/>
          <w:szCs w:val="24"/>
        </w:rPr>
      </w:pPr>
      <w:r w:rsidRPr="00FE641E">
        <w:rPr>
          <w:rFonts w:ascii="Arial" w:hAnsi="Arial" w:cs="Arial"/>
          <w:sz w:val="24"/>
          <w:szCs w:val="24"/>
        </w:rPr>
        <w:t>Live content creation with influencers (digital and experiential marketing).</w:t>
      </w:r>
    </w:p>
    <w:p w14:paraId="3CFFC8DF"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This alignment ensures consistent messaging across touchpoints and supports the objectives set out in Section 3. The gaps identified in the situational analysis – particularly underused weekday capacity and limited local distinctiveness – are specifically addressed through the focus on local collaborations, CRM-driven offers and targeted digital storytelling.</w:t>
      </w:r>
    </w:p>
    <w:p w14:paraId="3BC9EE0D"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6. Action – “Implementation Plan”</w:t>
      </w:r>
    </w:p>
    <w:p w14:paraId="4CBE36CC"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 implementation plan spans 12 months from February 2026 to January 2027. A detailed Gantt chart outlining the timeline for key activities is presented in Appendix E.</w:t>
      </w:r>
    </w:p>
    <w:p w14:paraId="3849144A"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In summary:</w:t>
      </w:r>
    </w:p>
    <w:p w14:paraId="669C2F1A" w14:textId="77777777" w:rsidR="00DF1CBA" w:rsidRPr="00FE641E" w:rsidRDefault="00DF1CBA" w:rsidP="00DF1CBA">
      <w:pPr>
        <w:numPr>
          <w:ilvl w:val="0"/>
          <w:numId w:val="17"/>
        </w:numPr>
        <w:spacing w:line="360" w:lineRule="auto"/>
        <w:rPr>
          <w:rFonts w:ascii="Arial" w:hAnsi="Arial" w:cs="Arial"/>
          <w:sz w:val="24"/>
          <w:szCs w:val="24"/>
        </w:rPr>
      </w:pPr>
      <w:r w:rsidRPr="00FE641E">
        <w:rPr>
          <w:rFonts w:ascii="Arial" w:hAnsi="Arial" w:cs="Arial"/>
          <w:sz w:val="24"/>
          <w:szCs w:val="24"/>
        </w:rPr>
        <w:t>Quarter 1 (Feb–Apr 2026): Set</w:t>
      </w:r>
      <w:r w:rsidRPr="00FE641E">
        <w:rPr>
          <w:rFonts w:ascii="Arial" w:hAnsi="Arial" w:cs="Arial"/>
          <w:sz w:val="24"/>
          <w:szCs w:val="24"/>
        </w:rPr>
        <w:noBreakHyphen/>
        <w:t>up and Launch</w:t>
      </w:r>
    </w:p>
    <w:p w14:paraId="10C7D895"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Refine positioning and creative concepts.</w:t>
      </w:r>
    </w:p>
    <w:p w14:paraId="5DCC8154"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Conduct SEO and Google Business optimisation.</w:t>
      </w:r>
    </w:p>
    <w:p w14:paraId="098A4C02"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Identify and contract local influencers.</w:t>
      </w:r>
    </w:p>
    <w:p w14:paraId="1992B010"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Launch initial paid social campaigns and soft-launch loyalty/CRM sign</w:t>
      </w:r>
      <w:r w:rsidRPr="00FE641E">
        <w:rPr>
          <w:rFonts w:ascii="Arial" w:hAnsi="Arial" w:cs="Arial"/>
          <w:sz w:val="24"/>
          <w:szCs w:val="24"/>
        </w:rPr>
        <w:noBreakHyphen/>
        <w:t>up drives.</w:t>
      </w:r>
    </w:p>
    <w:p w14:paraId="2B79064B" w14:textId="77777777" w:rsidR="00DF1CBA" w:rsidRPr="00FE641E" w:rsidRDefault="00DF1CBA" w:rsidP="00DF1CBA">
      <w:pPr>
        <w:numPr>
          <w:ilvl w:val="0"/>
          <w:numId w:val="17"/>
        </w:numPr>
        <w:spacing w:line="360" w:lineRule="auto"/>
        <w:rPr>
          <w:rFonts w:ascii="Arial" w:hAnsi="Arial" w:cs="Arial"/>
          <w:sz w:val="24"/>
          <w:szCs w:val="24"/>
        </w:rPr>
      </w:pPr>
      <w:r w:rsidRPr="00FE641E">
        <w:rPr>
          <w:rFonts w:ascii="Arial" w:hAnsi="Arial" w:cs="Arial"/>
          <w:sz w:val="24"/>
          <w:szCs w:val="24"/>
        </w:rPr>
        <w:t>Quarter 2 (May–Jul 2026): Engagement and Product Development</w:t>
      </w:r>
    </w:p>
    <w:p w14:paraId="5CF332BA"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Introduce locally inspired cocktail range and new brunch themes.</w:t>
      </w:r>
    </w:p>
    <w:p w14:paraId="78EDEE59"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Intensify social content output and UGC campaigns.</w:t>
      </w:r>
    </w:p>
    <w:p w14:paraId="5ADDB1EF"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Implement staff training in service theatre and digital etiquette.</w:t>
      </w:r>
    </w:p>
    <w:p w14:paraId="0600035B"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Pilot “Work from Slug” weekday daytime offers.</w:t>
      </w:r>
    </w:p>
    <w:p w14:paraId="498D7241" w14:textId="77777777" w:rsidR="00DF1CBA" w:rsidRPr="00FE641E" w:rsidRDefault="00DF1CBA" w:rsidP="00DF1CBA">
      <w:pPr>
        <w:numPr>
          <w:ilvl w:val="0"/>
          <w:numId w:val="17"/>
        </w:numPr>
        <w:spacing w:line="360" w:lineRule="auto"/>
        <w:rPr>
          <w:rFonts w:ascii="Arial" w:hAnsi="Arial" w:cs="Arial"/>
          <w:sz w:val="24"/>
          <w:szCs w:val="24"/>
        </w:rPr>
      </w:pPr>
      <w:r w:rsidRPr="00FE641E">
        <w:rPr>
          <w:rFonts w:ascii="Arial" w:hAnsi="Arial" w:cs="Arial"/>
          <w:sz w:val="24"/>
          <w:szCs w:val="24"/>
        </w:rPr>
        <w:lastRenderedPageBreak/>
        <w:t>Quarter 3 (Aug–Oct 2026): Market Penetration and Student Focus</w:t>
      </w:r>
    </w:p>
    <w:p w14:paraId="52650A4B"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Run Freshers’ Week initiatives with Swansea University and societies.</w:t>
      </w:r>
    </w:p>
    <w:p w14:paraId="0948C18E"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Target students with welcome offers and socials.</w:t>
      </w:r>
    </w:p>
    <w:p w14:paraId="4736240D"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Expand influencer collaborations and community events.</w:t>
      </w:r>
    </w:p>
    <w:p w14:paraId="0311DACC" w14:textId="77777777" w:rsidR="00DF1CBA" w:rsidRPr="00FE641E" w:rsidRDefault="00DF1CBA" w:rsidP="00DF1CBA">
      <w:pPr>
        <w:numPr>
          <w:ilvl w:val="0"/>
          <w:numId w:val="17"/>
        </w:numPr>
        <w:spacing w:line="360" w:lineRule="auto"/>
        <w:rPr>
          <w:rFonts w:ascii="Arial" w:hAnsi="Arial" w:cs="Arial"/>
          <w:sz w:val="24"/>
          <w:szCs w:val="24"/>
        </w:rPr>
      </w:pPr>
      <w:r w:rsidRPr="00FE641E">
        <w:rPr>
          <w:rFonts w:ascii="Arial" w:hAnsi="Arial" w:cs="Arial"/>
          <w:sz w:val="24"/>
          <w:szCs w:val="24"/>
        </w:rPr>
        <w:t>Quarter 4 (Nov 2026–Jan 2027): Retention and Review</w:t>
      </w:r>
    </w:p>
    <w:p w14:paraId="5F036FF1"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Deliver Christmas/holiday season campaigns.</w:t>
      </w:r>
    </w:p>
    <w:p w14:paraId="21EA545C"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Focus on retention through VIP events and personalised offers.</w:t>
      </w:r>
    </w:p>
    <w:p w14:paraId="35B315CE" w14:textId="77777777" w:rsidR="00DF1CBA" w:rsidRPr="00FE641E" w:rsidRDefault="00DF1CBA" w:rsidP="00DF1CBA">
      <w:pPr>
        <w:numPr>
          <w:ilvl w:val="1"/>
          <w:numId w:val="17"/>
        </w:numPr>
        <w:spacing w:line="360" w:lineRule="auto"/>
        <w:rPr>
          <w:rFonts w:ascii="Arial" w:hAnsi="Arial" w:cs="Arial"/>
          <w:sz w:val="24"/>
          <w:szCs w:val="24"/>
        </w:rPr>
      </w:pPr>
      <w:r w:rsidRPr="00FE641E">
        <w:rPr>
          <w:rFonts w:ascii="Arial" w:hAnsi="Arial" w:cs="Arial"/>
          <w:sz w:val="24"/>
          <w:szCs w:val="24"/>
        </w:rPr>
        <w:t>Conduct year</w:t>
      </w:r>
      <w:r w:rsidRPr="00FE641E">
        <w:rPr>
          <w:rFonts w:ascii="Arial" w:hAnsi="Arial" w:cs="Arial"/>
          <w:sz w:val="24"/>
          <w:szCs w:val="24"/>
        </w:rPr>
        <w:noBreakHyphen/>
        <w:t>end performance review and refine the plan.</w:t>
      </w:r>
    </w:p>
    <w:p w14:paraId="32584525" w14:textId="6F8C1F1D"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An estimated budget of approximately £25,000 is allocated as follows: £10,000 for digital advertising, £4,000 for influencer partnerships, £6,000 for events and décor, £3,000 for CRM and loyalty technology, and £2,000 for staff training and contingencies. Roles and responsibilities are outlined in Appendix F, with the General Manager overseeing implementation, a Marketing Executive managing digital activity, PR representative handling media relations, and operational managers coordinating on</w:t>
      </w:r>
      <w:r w:rsidRPr="00FE641E">
        <w:rPr>
          <w:rFonts w:ascii="Arial" w:hAnsi="Arial" w:cs="Arial"/>
          <w:sz w:val="24"/>
          <w:szCs w:val="24"/>
        </w:rPr>
        <w:noBreakHyphen/>
        <w:t>site delivery.</w:t>
      </w:r>
    </w:p>
    <w:p w14:paraId="7F6176F4"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7. Control – “How do we measure success?”</w:t>
      </w:r>
    </w:p>
    <w:p w14:paraId="591D58AA"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Control mechanisms are needed to monitor progress towards objectives and allow timely adjustments. Key performance indicators (KPIs) include:</w:t>
      </w:r>
    </w:p>
    <w:p w14:paraId="55DF4C7F" w14:textId="77777777" w:rsidR="00DF1CBA" w:rsidRPr="00FE641E" w:rsidRDefault="00DF1CBA" w:rsidP="00DF1CBA">
      <w:pPr>
        <w:numPr>
          <w:ilvl w:val="0"/>
          <w:numId w:val="18"/>
        </w:numPr>
        <w:spacing w:line="360" w:lineRule="auto"/>
        <w:rPr>
          <w:rFonts w:ascii="Arial" w:hAnsi="Arial" w:cs="Arial"/>
          <w:sz w:val="24"/>
          <w:szCs w:val="24"/>
        </w:rPr>
      </w:pPr>
      <w:r w:rsidRPr="00FE641E">
        <w:rPr>
          <w:rFonts w:ascii="Arial" w:hAnsi="Arial" w:cs="Arial"/>
          <w:sz w:val="24"/>
          <w:szCs w:val="24"/>
        </w:rPr>
        <w:t>Sales and Market Share: Year</w:t>
      </w:r>
      <w:r w:rsidRPr="00FE641E">
        <w:rPr>
          <w:rFonts w:ascii="Arial" w:hAnsi="Arial" w:cs="Arial"/>
          <w:sz w:val="24"/>
          <w:szCs w:val="24"/>
        </w:rPr>
        <w:noBreakHyphen/>
        <w:t>on</w:t>
      </w:r>
      <w:r w:rsidRPr="00FE641E">
        <w:rPr>
          <w:rFonts w:ascii="Arial" w:hAnsi="Arial" w:cs="Arial"/>
          <w:sz w:val="24"/>
          <w:szCs w:val="24"/>
        </w:rPr>
        <w:noBreakHyphen/>
        <w:t>year revenue growth at Swansea site level, particularly weekday and brunch revenues.</w:t>
      </w:r>
    </w:p>
    <w:p w14:paraId="72867CB3" w14:textId="77777777" w:rsidR="00DF1CBA" w:rsidRPr="00FE641E" w:rsidRDefault="00DF1CBA" w:rsidP="00DF1CBA">
      <w:pPr>
        <w:numPr>
          <w:ilvl w:val="0"/>
          <w:numId w:val="18"/>
        </w:numPr>
        <w:spacing w:line="360" w:lineRule="auto"/>
        <w:rPr>
          <w:rFonts w:ascii="Arial" w:hAnsi="Arial" w:cs="Arial"/>
          <w:sz w:val="24"/>
          <w:szCs w:val="24"/>
        </w:rPr>
      </w:pPr>
      <w:r w:rsidRPr="00FE641E">
        <w:rPr>
          <w:rFonts w:ascii="Arial" w:hAnsi="Arial" w:cs="Arial"/>
          <w:sz w:val="24"/>
          <w:szCs w:val="24"/>
        </w:rPr>
        <w:t>Digital Metrics: Increases in Instagram and TikTok engagement and reach (objective 2), website traffic and booking conversion rates (LocaliQ, 2024).</w:t>
      </w:r>
    </w:p>
    <w:p w14:paraId="2C6AD3B1" w14:textId="77777777" w:rsidR="00DF1CBA" w:rsidRPr="00FE641E" w:rsidRDefault="00DF1CBA" w:rsidP="00DF1CBA">
      <w:pPr>
        <w:numPr>
          <w:ilvl w:val="0"/>
          <w:numId w:val="18"/>
        </w:numPr>
        <w:spacing w:line="360" w:lineRule="auto"/>
        <w:rPr>
          <w:rFonts w:ascii="Arial" w:hAnsi="Arial" w:cs="Arial"/>
          <w:sz w:val="24"/>
          <w:szCs w:val="24"/>
        </w:rPr>
      </w:pPr>
      <w:r w:rsidRPr="00FE641E">
        <w:rPr>
          <w:rFonts w:ascii="Arial" w:hAnsi="Arial" w:cs="Arial"/>
          <w:sz w:val="24"/>
          <w:szCs w:val="24"/>
        </w:rPr>
        <w:t>Customer Retention: CRM database size, open and click</w:t>
      </w:r>
      <w:r w:rsidRPr="00FE641E">
        <w:rPr>
          <w:rFonts w:ascii="Arial" w:hAnsi="Arial" w:cs="Arial"/>
          <w:sz w:val="24"/>
          <w:szCs w:val="24"/>
        </w:rPr>
        <w:noBreakHyphen/>
        <w:t>through rates for email campaigns, and frequency of repeat visits linked to loyalty IDs (Ashqar et al., 2025).</w:t>
      </w:r>
    </w:p>
    <w:p w14:paraId="19480019" w14:textId="5EB5165E" w:rsidR="00DF1CBA" w:rsidRPr="00FE641E" w:rsidRDefault="00DF1CBA" w:rsidP="00DF1CBA">
      <w:pPr>
        <w:numPr>
          <w:ilvl w:val="0"/>
          <w:numId w:val="18"/>
        </w:numPr>
        <w:spacing w:line="360" w:lineRule="auto"/>
        <w:rPr>
          <w:rFonts w:ascii="Arial" w:hAnsi="Arial" w:cs="Arial"/>
          <w:sz w:val="24"/>
          <w:szCs w:val="24"/>
        </w:rPr>
      </w:pPr>
      <w:r w:rsidRPr="00FE641E">
        <w:rPr>
          <w:rFonts w:ascii="Arial" w:hAnsi="Arial" w:cs="Arial"/>
          <w:sz w:val="24"/>
          <w:szCs w:val="24"/>
        </w:rPr>
        <w:t>Service Quality and Reputation: Average star ratings and number of reviews on Google and TripAdvisor, as well as qualitative sentiment analysis using review text (Zonal, 202</w:t>
      </w:r>
      <w:r w:rsidR="00F60B68" w:rsidRPr="00FE641E">
        <w:rPr>
          <w:rFonts w:ascii="Arial" w:hAnsi="Arial" w:cs="Arial"/>
          <w:sz w:val="24"/>
          <w:szCs w:val="24"/>
        </w:rPr>
        <w:t>4</w:t>
      </w:r>
      <w:r w:rsidRPr="00FE641E">
        <w:rPr>
          <w:rFonts w:ascii="Arial" w:hAnsi="Arial" w:cs="Arial"/>
          <w:sz w:val="24"/>
          <w:szCs w:val="24"/>
        </w:rPr>
        <w:t>).</w:t>
      </w:r>
    </w:p>
    <w:p w14:paraId="7A388DE7" w14:textId="77777777" w:rsidR="00DF1CBA" w:rsidRPr="00FE641E" w:rsidRDefault="00DF1CBA" w:rsidP="00DF1CBA">
      <w:pPr>
        <w:numPr>
          <w:ilvl w:val="0"/>
          <w:numId w:val="18"/>
        </w:numPr>
        <w:spacing w:line="360" w:lineRule="auto"/>
        <w:rPr>
          <w:rFonts w:ascii="Arial" w:hAnsi="Arial" w:cs="Arial"/>
          <w:sz w:val="24"/>
          <w:szCs w:val="24"/>
        </w:rPr>
      </w:pPr>
      <w:r w:rsidRPr="00FE641E">
        <w:rPr>
          <w:rFonts w:ascii="Arial" w:hAnsi="Arial" w:cs="Arial"/>
          <w:sz w:val="24"/>
          <w:szCs w:val="24"/>
        </w:rPr>
        <w:lastRenderedPageBreak/>
        <w:t>Operational KPIs: Table-turn times, staff utilisation and feedback from guests on new products and events.</w:t>
      </w:r>
    </w:p>
    <w:p w14:paraId="66A8DA6A" w14:textId="5DB47F6B"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 xml:space="preserve">Data will be reviewed monthly via dashboards built in Google Data Studio or similar tools (Kingsnorth, 2019; </w:t>
      </w:r>
      <w:r w:rsidR="000C410E" w:rsidRPr="00FE641E">
        <w:rPr>
          <w:rFonts w:ascii="Arial" w:hAnsi="Arial" w:cs="Arial"/>
          <w:sz w:val="24"/>
          <w:szCs w:val="24"/>
        </w:rPr>
        <w:t>Falconer, 2024</w:t>
      </w:r>
      <w:r w:rsidRPr="00FE641E">
        <w:rPr>
          <w:rFonts w:ascii="Arial" w:hAnsi="Arial" w:cs="Arial"/>
          <w:sz w:val="24"/>
          <w:szCs w:val="24"/>
        </w:rPr>
        <w:t>). A more comprehensive quarterly review will adopt a Balanced Scorecard perspective, assessing financial, customer, internal process and learning/growth dimensions (Kaplan and Norton, 199</w:t>
      </w:r>
      <w:r w:rsidR="00DF0ED5" w:rsidRPr="00FE641E">
        <w:rPr>
          <w:rFonts w:ascii="Arial" w:hAnsi="Arial" w:cs="Arial"/>
          <w:sz w:val="24"/>
          <w:szCs w:val="24"/>
        </w:rPr>
        <w:t>2</w:t>
      </w:r>
      <w:r w:rsidRPr="00FE641E">
        <w:rPr>
          <w:rFonts w:ascii="Arial" w:hAnsi="Arial" w:cs="Arial"/>
          <w:sz w:val="24"/>
          <w:szCs w:val="24"/>
        </w:rPr>
        <w:t>). Lessons learned will then inform tactical changes and future planning cycles.</w:t>
      </w:r>
    </w:p>
    <w:p w14:paraId="76D00C51"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8. Conclusion</w:t>
      </w:r>
    </w:p>
    <w:p w14:paraId="26756A47" w14:textId="77777777"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This marketing plan has applied the SOSTAC® framework to design a strategic and practical roadmap for Slug &amp; Lettuce Swansea to strengthen its competitive position within the local hospitality market. By focusing on a clear niche – digitally savvy, experience-seeking young adults – and leveraging tools such as STP, Ansoff’s Matrix and the 7Ps, the report proposes a coherent strategy of market penetration and product development, underpinned by revenue management and CRM.</w:t>
      </w:r>
    </w:p>
    <w:p w14:paraId="017ADA2C" w14:textId="6AD1462A"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The tactical RACE-based digital communications plan emphasises social media, influencer collaborations, locally relevant events and data-driven personalisation to increase awareness, drive bookings and foster loyalty</w:t>
      </w:r>
      <w:r w:rsidR="00D14684" w:rsidRPr="00FE641E">
        <w:rPr>
          <w:rFonts w:ascii="Times New Roman" w:eastAsia="Times New Roman" w:hAnsi="Times New Roman" w:cs="Times New Roman"/>
          <w:kern w:val="0"/>
          <w:sz w:val="24"/>
          <w:szCs w:val="24"/>
          <w:lang w:eastAsia="en-GB"/>
          <w14:ligatures w14:val="none"/>
        </w:rPr>
        <w:t xml:space="preserve"> </w:t>
      </w:r>
      <w:r w:rsidR="00D14684" w:rsidRPr="00FE641E">
        <w:rPr>
          <w:rFonts w:ascii="Arial" w:hAnsi="Arial" w:cs="Arial"/>
          <w:sz w:val="24"/>
          <w:szCs w:val="24"/>
        </w:rPr>
        <w:t>(Sestino et al., 2023)</w:t>
      </w:r>
      <w:r w:rsidRPr="00FE641E">
        <w:rPr>
          <w:rFonts w:ascii="Arial" w:hAnsi="Arial" w:cs="Arial"/>
          <w:sz w:val="24"/>
          <w:szCs w:val="24"/>
        </w:rPr>
        <w:t>. The integration of control mechanisms and KPIs ensures that performance can be tracked and the strategy refined in response to economic volatility, changing consumer behaviour and technological developments.</w:t>
      </w:r>
    </w:p>
    <w:p w14:paraId="61107C2F" w14:textId="518F8366" w:rsidR="00DF1CBA" w:rsidRPr="00FE641E" w:rsidRDefault="00DF1CBA" w:rsidP="00DF1CBA">
      <w:pPr>
        <w:spacing w:line="360" w:lineRule="auto"/>
        <w:rPr>
          <w:rFonts w:ascii="Arial" w:hAnsi="Arial" w:cs="Arial"/>
          <w:sz w:val="24"/>
          <w:szCs w:val="24"/>
        </w:rPr>
      </w:pPr>
      <w:r w:rsidRPr="00FE641E">
        <w:rPr>
          <w:rFonts w:ascii="Arial" w:hAnsi="Arial" w:cs="Arial"/>
          <w:sz w:val="24"/>
          <w:szCs w:val="24"/>
        </w:rPr>
        <w:t>While challenges remain particularly cost pressures and intense competition from both chains and independents</w:t>
      </w:r>
      <w:r w:rsidR="008557B0">
        <w:rPr>
          <w:rFonts w:ascii="Arial" w:hAnsi="Arial" w:cs="Arial"/>
          <w:sz w:val="24"/>
          <w:szCs w:val="24"/>
        </w:rPr>
        <w:t xml:space="preserve">, </w:t>
      </w:r>
      <w:r w:rsidRPr="00FE641E">
        <w:rPr>
          <w:rFonts w:ascii="Arial" w:hAnsi="Arial" w:cs="Arial"/>
          <w:sz w:val="24"/>
          <w:szCs w:val="24"/>
        </w:rPr>
        <w:t>the proposed plan has the potential to reposition Slug &amp; Lettuce Swansea as a locally embedded, socially connected lifestyle brand. By delivering “affordable glamour” consistently and authentically, the venue can create sustainable value for both guests and the Stonegate Group.</w:t>
      </w:r>
    </w:p>
    <w:p w14:paraId="7EEA6D99" w14:textId="77777777" w:rsidR="00AB38B9" w:rsidRDefault="00AB38B9" w:rsidP="00DF1CBA">
      <w:pPr>
        <w:spacing w:line="360" w:lineRule="auto"/>
        <w:rPr>
          <w:rFonts w:ascii="Arial" w:hAnsi="Arial" w:cs="Arial"/>
          <w:b/>
          <w:bCs/>
          <w:sz w:val="24"/>
          <w:szCs w:val="24"/>
        </w:rPr>
      </w:pPr>
    </w:p>
    <w:p w14:paraId="564531E8" w14:textId="77777777" w:rsidR="00AB38B9" w:rsidRDefault="00AB38B9" w:rsidP="00DF1CBA">
      <w:pPr>
        <w:spacing w:line="360" w:lineRule="auto"/>
        <w:rPr>
          <w:rFonts w:ascii="Arial" w:hAnsi="Arial" w:cs="Arial"/>
          <w:b/>
          <w:bCs/>
          <w:sz w:val="24"/>
          <w:szCs w:val="24"/>
        </w:rPr>
      </w:pPr>
    </w:p>
    <w:p w14:paraId="6DB70868" w14:textId="77777777" w:rsidR="00AB38B9" w:rsidRDefault="00AB38B9" w:rsidP="00DF1CBA">
      <w:pPr>
        <w:spacing w:line="360" w:lineRule="auto"/>
        <w:rPr>
          <w:rFonts w:ascii="Arial" w:hAnsi="Arial" w:cs="Arial"/>
          <w:b/>
          <w:bCs/>
          <w:sz w:val="24"/>
          <w:szCs w:val="24"/>
        </w:rPr>
      </w:pPr>
    </w:p>
    <w:p w14:paraId="70447ECF" w14:textId="77777777" w:rsidR="00AB38B9" w:rsidRDefault="00AB38B9" w:rsidP="00DF1CBA">
      <w:pPr>
        <w:spacing w:line="360" w:lineRule="auto"/>
        <w:rPr>
          <w:rFonts w:ascii="Arial" w:hAnsi="Arial" w:cs="Arial"/>
          <w:b/>
          <w:bCs/>
          <w:sz w:val="24"/>
          <w:szCs w:val="24"/>
        </w:rPr>
      </w:pPr>
    </w:p>
    <w:p w14:paraId="3957BAC1" w14:textId="77777777" w:rsidR="00AB38B9" w:rsidRDefault="00AB38B9" w:rsidP="00DF1CBA">
      <w:pPr>
        <w:spacing w:line="360" w:lineRule="auto"/>
        <w:rPr>
          <w:rFonts w:ascii="Arial" w:hAnsi="Arial" w:cs="Arial"/>
          <w:b/>
          <w:bCs/>
          <w:sz w:val="24"/>
          <w:szCs w:val="24"/>
        </w:rPr>
      </w:pPr>
    </w:p>
    <w:p w14:paraId="50790BBD" w14:textId="0EC1BC0B" w:rsidR="00DF1CBA" w:rsidRPr="00DF1CBA" w:rsidRDefault="00DF1CBA" w:rsidP="00DF1CBA">
      <w:pPr>
        <w:spacing w:line="360" w:lineRule="auto"/>
        <w:rPr>
          <w:rFonts w:ascii="Arial" w:hAnsi="Arial" w:cs="Arial"/>
          <w:b/>
          <w:bCs/>
          <w:sz w:val="24"/>
          <w:szCs w:val="24"/>
        </w:rPr>
      </w:pPr>
      <w:r w:rsidRPr="00DF1CBA">
        <w:rPr>
          <w:rFonts w:ascii="Arial" w:hAnsi="Arial" w:cs="Arial"/>
          <w:b/>
          <w:bCs/>
          <w:sz w:val="24"/>
          <w:szCs w:val="24"/>
        </w:rPr>
        <w:lastRenderedPageBreak/>
        <w:t>References</w:t>
      </w:r>
    </w:p>
    <w:p w14:paraId="4EC42FD8"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 xml:space="preserve">Ansoff, H.I. (1957) ‘Strategies for diversification’, </w:t>
      </w:r>
      <w:r w:rsidRPr="00DF1CBA">
        <w:rPr>
          <w:rFonts w:ascii="Arial" w:hAnsi="Arial" w:cs="Arial"/>
          <w:i/>
          <w:iCs/>
          <w:sz w:val="24"/>
          <w:szCs w:val="24"/>
        </w:rPr>
        <w:t>Harvard Business Review</w:t>
      </w:r>
      <w:r w:rsidRPr="00DF1CBA">
        <w:rPr>
          <w:rFonts w:ascii="Arial" w:hAnsi="Arial" w:cs="Arial"/>
          <w:sz w:val="24"/>
          <w:szCs w:val="24"/>
        </w:rPr>
        <w:t>, 35(5), pp. 113–124.</w:t>
      </w:r>
    </w:p>
    <w:p w14:paraId="5D9F23E1" w14:textId="77777777" w:rsidR="00C42B77" w:rsidRPr="00C42B77" w:rsidRDefault="00C42B77" w:rsidP="00C42B77">
      <w:pPr>
        <w:spacing w:line="360" w:lineRule="auto"/>
        <w:rPr>
          <w:rFonts w:ascii="Arial" w:hAnsi="Arial" w:cs="Arial"/>
          <w:color w:val="000000" w:themeColor="text1"/>
          <w:sz w:val="24"/>
          <w:szCs w:val="24"/>
        </w:rPr>
      </w:pPr>
      <w:r w:rsidRPr="00C42B77">
        <w:rPr>
          <w:rFonts w:ascii="Arial" w:hAnsi="Arial" w:cs="Arial"/>
          <w:color w:val="000000" w:themeColor="text1"/>
          <w:sz w:val="24"/>
          <w:szCs w:val="24"/>
        </w:rPr>
        <w:t xml:space="preserve">Anwar, F.A., Deliana, D. and Suyamto, S. (2024). Digital Transformation in the Hospitality Industry: Improving Efficiency and Guest Experience. </w:t>
      </w:r>
      <w:r w:rsidRPr="00C42B77">
        <w:rPr>
          <w:rFonts w:ascii="Arial" w:hAnsi="Arial" w:cs="Arial"/>
          <w:i/>
          <w:iCs/>
          <w:color w:val="000000" w:themeColor="text1"/>
          <w:sz w:val="24"/>
          <w:szCs w:val="24"/>
        </w:rPr>
        <w:t>International Journal of Management Science and Information Technology</w:t>
      </w:r>
      <w:r w:rsidRPr="00C42B77">
        <w:rPr>
          <w:rFonts w:ascii="Arial" w:hAnsi="Arial" w:cs="Arial"/>
          <w:color w:val="000000" w:themeColor="text1"/>
          <w:sz w:val="24"/>
          <w:szCs w:val="24"/>
        </w:rPr>
        <w:t>, [online] 4(2), pp.428–437. doi:https://doi.org/10.35870/ijmsit.v4i2.3201.</w:t>
      </w:r>
    </w:p>
    <w:p w14:paraId="66B1A253" w14:textId="5A24E39B" w:rsidR="00444BAD" w:rsidRDefault="00444BAD" w:rsidP="00DF1CBA">
      <w:pPr>
        <w:spacing w:line="360" w:lineRule="auto"/>
        <w:rPr>
          <w:rFonts w:ascii="Arial" w:hAnsi="Arial" w:cs="Arial"/>
          <w:sz w:val="24"/>
          <w:szCs w:val="24"/>
        </w:rPr>
      </w:pPr>
      <w:r w:rsidRPr="00D92202">
        <w:rPr>
          <w:rFonts w:ascii="Arial" w:hAnsi="Arial" w:cs="Arial"/>
          <w:sz w:val="24"/>
          <w:szCs w:val="24"/>
        </w:rPr>
        <w:t xml:space="preserve">Ayantunji Gbadamosi (2019). </w:t>
      </w:r>
      <w:r w:rsidRPr="00D92202">
        <w:rPr>
          <w:rFonts w:ascii="Arial" w:hAnsi="Arial" w:cs="Arial"/>
          <w:i/>
          <w:iCs/>
          <w:sz w:val="24"/>
          <w:szCs w:val="24"/>
        </w:rPr>
        <w:t>Contemporary Issues in Marketing : Principles and Practice</w:t>
      </w:r>
      <w:r w:rsidRPr="00D92202">
        <w:rPr>
          <w:rFonts w:ascii="Arial" w:hAnsi="Arial" w:cs="Arial"/>
          <w:sz w:val="24"/>
          <w:szCs w:val="24"/>
        </w:rPr>
        <w:t>. Los Angeles, California: Sage.</w:t>
      </w:r>
    </w:p>
    <w:p w14:paraId="726C3208" w14:textId="31A6CA74" w:rsidR="00DF1CBA" w:rsidRPr="00DF1CBA" w:rsidRDefault="00687F42" w:rsidP="00DF1CBA">
      <w:pPr>
        <w:spacing w:line="360" w:lineRule="auto"/>
        <w:rPr>
          <w:rFonts w:ascii="Arial" w:hAnsi="Arial" w:cs="Arial"/>
          <w:sz w:val="24"/>
          <w:szCs w:val="24"/>
        </w:rPr>
      </w:pPr>
      <w:r w:rsidRPr="00687F42">
        <w:rPr>
          <w:rFonts w:ascii="Arial" w:hAnsi="Arial" w:cs="Arial"/>
          <w:sz w:val="24"/>
          <w:szCs w:val="24"/>
        </w:rPr>
        <w:t xml:space="preserve">Baack, D.W., Czarnecka, B. and Baack, D. (2018). </w:t>
      </w:r>
      <w:r w:rsidRPr="00687F42">
        <w:rPr>
          <w:rFonts w:ascii="Arial" w:hAnsi="Arial" w:cs="Arial"/>
          <w:i/>
          <w:iCs/>
          <w:sz w:val="24"/>
          <w:szCs w:val="24"/>
        </w:rPr>
        <w:t>International Marketing</w:t>
      </w:r>
      <w:r w:rsidRPr="00687F42">
        <w:rPr>
          <w:rFonts w:ascii="Arial" w:hAnsi="Arial" w:cs="Arial"/>
          <w:sz w:val="24"/>
          <w:szCs w:val="24"/>
        </w:rPr>
        <w:t>. SAGE.</w:t>
      </w:r>
    </w:p>
    <w:p w14:paraId="69BBE159" w14:textId="77777777" w:rsidR="00687F42" w:rsidRPr="00687F42" w:rsidRDefault="00687F42" w:rsidP="00687F42">
      <w:pPr>
        <w:spacing w:line="360" w:lineRule="auto"/>
        <w:rPr>
          <w:rFonts w:ascii="Arial" w:hAnsi="Arial" w:cs="Arial"/>
          <w:sz w:val="24"/>
          <w:szCs w:val="24"/>
        </w:rPr>
      </w:pPr>
      <w:r w:rsidRPr="00687F42">
        <w:rPr>
          <w:rFonts w:ascii="Arial" w:hAnsi="Arial" w:cs="Arial"/>
          <w:sz w:val="24"/>
          <w:szCs w:val="24"/>
        </w:rPr>
        <w:t xml:space="preserve">Bastrygina, T., Lim, W.M., Jopp, R. and Weissmann, M.A. (2024). Unraveling the power of social media influencers: Qualitative insights into the role of Instagram influencers in the hospitality and tourism industry. </w:t>
      </w:r>
      <w:r w:rsidRPr="00687F42">
        <w:rPr>
          <w:rFonts w:ascii="Arial" w:hAnsi="Arial" w:cs="Arial"/>
          <w:i/>
          <w:iCs/>
          <w:sz w:val="24"/>
          <w:szCs w:val="24"/>
        </w:rPr>
        <w:t>Journal of hospitality and tourism management</w:t>
      </w:r>
      <w:r w:rsidRPr="00687F42">
        <w:rPr>
          <w:rFonts w:ascii="Arial" w:hAnsi="Arial" w:cs="Arial"/>
          <w:sz w:val="24"/>
          <w:szCs w:val="24"/>
        </w:rPr>
        <w:t>, 58, pp.214–243. doi:https://doi.org/10.1016/j.jhtm.2024.01.007.</w:t>
      </w:r>
    </w:p>
    <w:p w14:paraId="0C6D1DC1"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 xml:space="preserve">Booms, B.H. and Bitner, M.J. (1981) ‘Marketing strategies and organisational structures for service firms’, in Donnelly, J.H. and George, W.R. (eds.) </w:t>
      </w:r>
      <w:r w:rsidRPr="00DF1CBA">
        <w:rPr>
          <w:rFonts w:ascii="Arial" w:hAnsi="Arial" w:cs="Arial"/>
          <w:i/>
          <w:iCs/>
          <w:sz w:val="24"/>
          <w:szCs w:val="24"/>
        </w:rPr>
        <w:t>Marketing of Services</w:t>
      </w:r>
      <w:r w:rsidRPr="00DF1CBA">
        <w:rPr>
          <w:rFonts w:ascii="Arial" w:hAnsi="Arial" w:cs="Arial"/>
          <w:sz w:val="24"/>
          <w:szCs w:val="24"/>
        </w:rPr>
        <w:t>. Chicago: American Marketing Association, pp. 47–51.</w:t>
      </w:r>
    </w:p>
    <w:p w14:paraId="54883831" w14:textId="77777777" w:rsidR="00BE370C" w:rsidRPr="00BE370C" w:rsidRDefault="00BE370C" w:rsidP="00BE370C">
      <w:pPr>
        <w:spacing w:line="360" w:lineRule="auto"/>
        <w:rPr>
          <w:rFonts w:ascii="Arial" w:hAnsi="Arial" w:cs="Arial"/>
          <w:sz w:val="24"/>
          <w:szCs w:val="24"/>
        </w:rPr>
      </w:pPr>
      <w:r w:rsidRPr="00BE370C">
        <w:rPr>
          <w:rFonts w:ascii="Arial" w:hAnsi="Arial" w:cs="Arial"/>
          <w:sz w:val="24"/>
          <w:szCs w:val="24"/>
        </w:rPr>
        <w:t xml:space="preserve">Bowie, D. and Buttle, F. (2007). </w:t>
      </w:r>
      <w:r w:rsidRPr="00BE370C">
        <w:rPr>
          <w:rFonts w:ascii="Arial" w:hAnsi="Arial" w:cs="Arial"/>
          <w:i/>
          <w:iCs/>
          <w:sz w:val="24"/>
          <w:szCs w:val="24"/>
        </w:rPr>
        <w:t>Hospitality Marketing</w:t>
      </w:r>
      <w:r w:rsidRPr="00BE370C">
        <w:rPr>
          <w:rFonts w:ascii="Arial" w:hAnsi="Arial" w:cs="Arial"/>
          <w:sz w:val="24"/>
          <w:szCs w:val="24"/>
        </w:rPr>
        <w:t>. Routledge.</w:t>
      </w:r>
    </w:p>
    <w:p w14:paraId="5E913AB1" w14:textId="77777777" w:rsidR="00857111" w:rsidRDefault="00857111" w:rsidP="00857111">
      <w:pPr>
        <w:spacing w:line="360" w:lineRule="auto"/>
        <w:rPr>
          <w:rFonts w:ascii="Arial" w:hAnsi="Arial" w:cs="Arial"/>
          <w:sz w:val="24"/>
          <w:szCs w:val="24"/>
        </w:rPr>
      </w:pPr>
      <w:r w:rsidRPr="00857111">
        <w:rPr>
          <w:rFonts w:ascii="Arial" w:hAnsi="Arial" w:cs="Arial"/>
          <w:sz w:val="24"/>
          <w:szCs w:val="24"/>
        </w:rPr>
        <w:t xml:space="preserve">Brassington, F. and Pettit, S. (2006). </w:t>
      </w:r>
      <w:r w:rsidRPr="00857111">
        <w:rPr>
          <w:rFonts w:ascii="Arial" w:hAnsi="Arial" w:cs="Arial"/>
          <w:i/>
          <w:iCs/>
          <w:sz w:val="24"/>
          <w:szCs w:val="24"/>
        </w:rPr>
        <w:t>Student Access Kit : for Online Materials That Accompany Frances Brassington, Stephen Pettit, Principles of marketing, Fourth edition.</w:t>
      </w:r>
      <w:r w:rsidRPr="00857111">
        <w:rPr>
          <w:rFonts w:ascii="Arial" w:hAnsi="Arial" w:cs="Arial"/>
          <w:sz w:val="24"/>
          <w:szCs w:val="24"/>
        </w:rPr>
        <w:t xml:space="preserve"> Harlow: Pearson Prentice Hall.</w:t>
      </w:r>
    </w:p>
    <w:p w14:paraId="44143D86" w14:textId="23FBE399" w:rsidR="00347EF5" w:rsidRPr="00857111" w:rsidRDefault="00347EF5" w:rsidP="00857111">
      <w:pPr>
        <w:spacing w:line="360" w:lineRule="auto"/>
        <w:rPr>
          <w:rFonts w:ascii="Arial" w:hAnsi="Arial" w:cs="Arial"/>
          <w:sz w:val="24"/>
          <w:szCs w:val="24"/>
        </w:rPr>
      </w:pPr>
      <w:r w:rsidRPr="00347EF5">
        <w:rPr>
          <w:rFonts w:ascii="Arial" w:hAnsi="Arial" w:cs="Arial"/>
          <w:sz w:val="24"/>
          <w:szCs w:val="24"/>
        </w:rPr>
        <w:t xml:space="preserve">Britton, G. (2025). </w:t>
      </w:r>
      <w:r w:rsidRPr="00347EF5">
        <w:rPr>
          <w:rFonts w:ascii="Arial" w:hAnsi="Arial" w:cs="Arial"/>
          <w:i/>
          <w:iCs/>
          <w:sz w:val="24"/>
          <w:szCs w:val="24"/>
        </w:rPr>
        <w:t>Hospitality’s 2026 Energy shock: It’s Time to Build Your Defences - UKHospitality</w:t>
      </w:r>
      <w:r w:rsidRPr="00347EF5">
        <w:rPr>
          <w:rFonts w:ascii="Arial" w:hAnsi="Arial" w:cs="Arial"/>
          <w:sz w:val="24"/>
          <w:szCs w:val="24"/>
        </w:rPr>
        <w:t>. [online] UKHospitality. Available at: https://www.ukhospitality.org.uk/hospitalitys-2026-energy-shock-its-time-to-build-your-defences/ [Accessed 1 Jan. 2026].</w:t>
      </w:r>
    </w:p>
    <w:p w14:paraId="532EAAA1" w14:textId="79EC5139" w:rsidR="00D4794B" w:rsidRDefault="00085B1D" w:rsidP="00DF1CBA">
      <w:pPr>
        <w:spacing w:line="360" w:lineRule="auto"/>
        <w:rPr>
          <w:rFonts w:ascii="Arial" w:hAnsi="Arial" w:cs="Arial"/>
          <w:sz w:val="24"/>
          <w:szCs w:val="24"/>
        </w:rPr>
      </w:pPr>
      <w:r w:rsidRPr="00085B1D">
        <w:rPr>
          <w:rFonts w:ascii="Arial" w:hAnsi="Arial" w:cs="Arial"/>
          <w:sz w:val="24"/>
          <w:szCs w:val="24"/>
        </w:rPr>
        <w:t xml:space="preserve">Bujalance-López, L., González-Serrano, L., Lechuga, P. and Talon-Ballestero, P. (2025). Restaurant Revenue management: a Systematic Literature Review and Future Challenges. </w:t>
      </w:r>
      <w:r w:rsidRPr="00085B1D">
        <w:rPr>
          <w:rFonts w:ascii="Arial" w:hAnsi="Arial" w:cs="Arial"/>
          <w:i/>
          <w:iCs/>
          <w:sz w:val="24"/>
          <w:szCs w:val="24"/>
        </w:rPr>
        <w:t>British Food Journal</w:t>
      </w:r>
      <w:r w:rsidRPr="00085B1D">
        <w:rPr>
          <w:rFonts w:ascii="Arial" w:hAnsi="Arial" w:cs="Arial"/>
          <w:sz w:val="24"/>
          <w:szCs w:val="24"/>
        </w:rPr>
        <w:t>, 127(6). doi:https://doi.org/10.1108/bfj-08-2024-0816.</w:t>
      </w:r>
    </w:p>
    <w:p w14:paraId="0C2F4D01" w14:textId="67AEB89B" w:rsidR="00DF1CBA" w:rsidRPr="00DF1CBA" w:rsidRDefault="00FC2848" w:rsidP="00DF1CBA">
      <w:pPr>
        <w:spacing w:line="360" w:lineRule="auto"/>
        <w:rPr>
          <w:rFonts w:ascii="Arial" w:hAnsi="Arial" w:cs="Arial"/>
          <w:sz w:val="24"/>
          <w:szCs w:val="24"/>
        </w:rPr>
      </w:pPr>
      <w:r w:rsidRPr="00FC2848">
        <w:rPr>
          <w:rFonts w:ascii="Arial" w:hAnsi="Arial" w:cs="Arial"/>
          <w:sz w:val="24"/>
          <w:szCs w:val="24"/>
        </w:rPr>
        <w:lastRenderedPageBreak/>
        <w:t xml:space="preserve">Chaffey, D. (2022). </w:t>
      </w:r>
      <w:r w:rsidRPr="00FC2848">
        <w:rPr>
          <w:rFonts w:ascii="Arial" w:hAnsi="Arial" w:cs="Arial"/>
          <w:i/>
          <w:iCs/>
          <w:sz w:val="24"/>
          <w:szCs w:val="24"/>
        </w:rPr>
        <w:t>Digital Marketing : strategy, Implementation and Practice</w:t>
      </w:r>
      <w:r w:rsidRPr="00FC2848">
        <w:rPr>
          <w:rFonts w:ascii="Arial" w:hAnsi="Arial" w:cs="Arial"/>
          <w:sz w:val="24"/>
          <w:szCs w:val="24"/>
        </w:rPr>
        <w:t>. 5th ed. Harlow: Mexico City.</w:t>
      </w:r>
      <w:r w:rsidR="00DF1CBA" w:rsidRPr="00DF1CBA">
        <w:rPr>
          <w:rFonts w:ascii="Arial" w:hAnsi="Arial" w:cs="Arial"/>
          <w:sz w:val="24"/>
          <w:szCs w:val="24"/>
        </w:rPr>
        <w:t>.</w:t>
      </w:r>
    </w:p>
    <w:p w14:paraId="2C70A6FD" w14:textId="77777777" w:rsidR="00FC2848" w:rsidRPr="00FC2848" w:rsidRDefault="00FC2848" w:rsidP="00FC2848">
      <w:pPr>
        <w:spacing w:line="360" w:lineRule="auto"/>
        <w:rPr>
          <w:rFonts w:ascii="Arial" w:hAnsi="Arial" w:cs="Arial"/>
          <w:sz w:val="24"/>
          <w:szCs w:val="24"/>
        </w:rPr>
      </w:pPr>
      <w:r w:rsidRPr="00FC2848">
        <w:rPr>
          <w:rFonts w:ascii="Arial" w:hAnsi="Arial" w:cs="Arial"/>
          <w:sz w:val="24"/>
          <w:szCs w:val="24"/>
        </w:rPr>
        <w:t xml:space="preserve">Clow, K.E. and Baack, D. (2021). </w:t>
      </w:r>
      <w:r w:rsidRPr="00FC2848">
        <w:rPr>
          <w:rFonts w:ascii="Arial" w:hAnsi="Arial" w:cs="Arial"/>
          <w:i/>
          <w:iCs/>
          <w:sz w:val="24"/>
          <w:szCs w:val="24"/>
        </w:rPr>
        <w:t>Integrated advertising, promotion, and Marketing Communications</w:t>
      </w:r>
      <w:r w:rsidRPr="00FC2848">
        <w:rPr>
          <w:rFonts w:ascii="Arial" w:hAnsi="Arial" w:cs="Arial"/>
          <w:sz w:val="24"/>
          <w:szCs w:val="24"/>
        </w:rPr>
        <w:t>. England: Pearson Education Limited.</w:t>
      </w:r>
    </w:p>
    <w:p w14:paraId="10EE8E9C" w14:textId="77777777" w:rsidR="00A73714" w:rsidRPr="00A73714" w:rsidRDefault="00A73714" w:rsidP="00A73714">
      <w:pPr>
        <w:spacing w:line="360" w:lineRule="auto"/>
        <w:rPr>
          <w:rFonts w:ascii="Arial" w:hAnsi="Arial" w:cs="Arial"/>
          <w:sz w:val="24"/>
          <w:szCs w:val="24"/>
        </w:rPr>
      </w:pPr>
      <w:r w:rsidRPr="00A73714">
        <w:rPr>
          <w:rFonts w:ascii="Arial" w:hAnsi="Arial" w:cs="Arial"/>
          <w:sz w:val="24"/>
          <w:szCs w:val="24"/>
        </w:rPr>
        <w:t xml:space="preserve">Dinc, L. and Huang, R. (2024). Organic Food Consumption at Casual and Fine Dining Restaurants in the Uk: Restaurant Managers’ Perspectives. </w:t>
      </w:r>
      <w:r w:rsidRPr="00A73714">
        <w:rPr>
          <w:rFonts w:ascii="Arial" w:hAnsi="Arial" w:cs="Arial"/>
          <w:i/>
          <w:iCs/>
          <w:sz w:val="24"/>
          <w:szCs w:val="24"/>
        </w:rPr>
        <w:t>Journal of Multidisciplinary Academic Tourism</w:t>
      </w:r>
      <w:r w:rsidRPr="00A73714">
        <w:rPr>
          <w:rFonts w:ascii="Arial" w:hAnsi="Arial" w:cs="Arial"/>
          <w:sz w:val="24"/>
          <w:szCs w:val="24"/>
        </w:rPr>
        <w:t>, 10(1), pp.1–12. doi:https://doi.org/10.31822/jomat.2025-10-1-1.</w:t>
      </w:r>
    </w:p>
    <w:p w14:paraId="0CDB7328" w14:textId="77777777" w:rsidR="00A73714" w:rsidRPr="00A73714" w:rsidRDefault="00A73714" w:rsidP="00A73714">
      <w:pPr>
        <w:spacing w:line="360" w:lineRule="auto"/>
        <w:rPr>
          <w:rFonts w:ascii="Arial" w:hAnsi="Arial" w:cs="Arial"/>
          <w:sz w:val="24"/>
          <w:szCs w:val="24"/>
        </w:rPr>
      </w:pPr>
      <w:r w:rsidRPr="00A73714">
        <w:rPr>
          <w:rFonts w:ascii="Arial" w:hAnsi="Arial" w:cs="Arial"/>
          <w:sz w:val="24"/>
          <w:szCs w:val="24"/>
        </w:rPr>
        <w:t xml:space="preserve">Mooij, M.K. de (2022). </w:t>
      </w:r>
      <w:r w:rsidRPr="00A73714">
        <w:rPr>
          <w:rFonts w:ascii="Arial" w:hAnsi="Arial" w:cs="Arial"/>
          <w:i/>
          <w:iCs/>
          <w:sz w:val="24"/>
          <w:szCs w:val="24"/>
        </w:rPr>
        <w:t>Global Marketing and Advertising : Understanding Cultural Paradoxes</w:t>
      </w:r>
      <w:r w:rsidRPr="00A73714">
        <w:rPr>
          <w:rFonts w:ascii="Arial" w:hAnsi="Arial" w:cs="Arial"/>
          <w:sz w:val="24"/>
          <w:szCs w:val="24"/>
        </w:rPr>
        <w:t>. Thousand Oaks: SAGE Publications Ltd.</w:t>
      </w:r>
    </w:p>
    <w:p w14:paraId="6AC4B426" w14:textId="77777777" w:rsidR="00A73714" w:rsidRDefault="00A73714" w:rsidP="00A73714">
      <w:pPr>
        <w:spacing w:line="360" w:lineRule="auto"/>
        <w:rPr>
          <w:rFonts w:ascii="Arial" w:hAnsi="Arial" w:cs="Arial"/>
          <w:sz w:val="24"/>
          <w:szCs w:val="24"/>
        </w:rPr>
      </w:pPr>
      <w:r w:rsidRPr="00A73714">
        <w:rPr>
          <w:rFonts w:ascii="Arial" w:hAnsi="Arial" w:cs="Arial"/>
          <w:sz w:val="24"/>
          <w:szCs w:val="24"/>
        </w:rPr>
        <w:t xml:space="preserve">De Veirman, M., Cauberghe, V. and Hudders, L. (2017). Marketing through Instagram Influencers: the Impact of Number of Followers and Product Divergence on Brand Attitude. </w:t>
      </w:r>
      <w:r w:rsidRPr="00A73714">
        <w:rPr>
          <w:rFonts w:ascii="Arial" w:hAnsi="Arial" w:cs="Arial"/>
          <w:i/>
          <w:iCs/>
          <w:sz w:val="24"/>
          <w:szCs w:val="24"/>
        </w:rPr>
        <w:t>International Journal of Advertising</w:t>
      </w:r>
      <w:r w:rsidRPr="00A73714">
        <w:rPr>
          <w:rFonts w:ascii="Arial" w:hAnsi="Arial" w:cs="Arial"/>
          <w:sz w:val="24"/>
          <w:szCs w:val="24"/>
        </w:rPr>
        <w:t>, 36(5), pp.798–828. doi:https://doi.org/10.1080/02650487.2017.1348035.</w:t>
      </w:r>
    </w:p>
    <w:p w14:paraId="4F25A555" w14:textId="79F4EB51" w:rsidR="00444BAD" w:rsidRPr="00A73714" w:rsidRDefault="00444BAD" w:rsidP="00A73714">
      <w:pPr>
        <w:spacing w:line="360" w:lineRule="auto"/>
        <w:rPr>
          <w:rFonts w:ascii="Arial" w:hAnsi="Arial" w:cs="Arial"/>
          <w:sz w:val="24"/>
          <w:szCs w:val="24"/>
        </w:rPr>
      </w:pPr>
      <w:r w:rsidRPr="000C410E">
        <w:rPr>
          <w:rFonts w:ascii="Arial" w:hAnsi="Arial" w:cs="Arial"/>
          <w:sz w:val="24"/>
          <w:szCs w:val="24"/>
        </w:rPr>
        <w:t xml:space="preserve">Falconer, S. (2024). </w:t>
      </w:r>
      <w:r w:rsidRPr="000C410E">
        <w:rPr>
          <w:rFonts w:ascii="Arial" w:hAnsi="Arial" w:cs="Arial"/>
          <w:i/>
          <w:iCs/>
          <w:sz w:val="24"/>
          <w:szCs w:val="24"/>
        </w:rPr>
        <w:t>Hospitality’s Tech Surge: Riding the 2024 Digital Marketing Wave</w:t>
      </w:r>
      <w:r w:rsidRPr="000C410E">
        <w:rPr>
          <w:rFonts w:ascii="Arial" w:hAnsi="Arial" w:cs="Arial"/>
          <w:sz w:val="24"/>
          <w:szCs w:val="24"/>
        </w:rPr>
        <w:t>. [online] HITEC. Available at: https://www.hitec.org/news/4123211/hospitalitys-tech-surge-riding-the-2024-digital-marketing-wave [Accessed 5 Jan. 2026].</w:t>
      </w:r>
    </w:p>
    <w:p w14:paraId="1D4A7A86"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 xml:space="preserve">Frochot, I. and Batat, W. (2013) </w:t>
      </w:r>
      <w:r w:rsidRPr="00DF1CBA">
        <w:rPr>
          <w:rFonts w:ascii="Arial" w:hAnsi="Arial" w:cs="Arial"/>
          <w:i/>
          <w:iCs/>
          <w:sz w:val="24"/>
          <w:szCs w:val="24"/>
        </w:rPr>
        <w:t>Marketing and Designing the Tourist Experience</w:t>
      </w:r>
      <w:r w:rsidRPr="00DF1CBA">
        <w:rPr>
          <w:rFonts w:ascii="Arial" w:hAnsi="Arial" w:cs="Arial"/>
          <w:sz w:val="24"/>
          <w:szCs w:val="24"/>
        </w:rPr>
        <w:t>. Oxford: Goodfellow.</w:t>
      </w:r>
    </w:p>
    <w:p w14:paraId="5628B757" w14:textId="77777777" w:rsidR="00DF1CBA" w:rsidRDefault="00DF1CBA" w:rsidP="00DF1CBA">
      <w:pPr>
        <w:spacing w:line="360" w:lineRule="auto"/>
        <w:rPr>
          <w:rFonts w:ascii="Arial" w:hAnsi="Arial" w:cs="Arial"/>
          <w:sz w:val="24"/>
          <w:szCs w:val="24"/>
        </w:rPr>
      </w:pPr>
      <w:r w:rsidRPr="00DF1CBA">
        <w:rPr>
          <w:rFonts w:ascii="Arial" w:hAnsi="Arial" w:cs="Arial"/>
          <w:sz w:val="24"/>
          <w:szCs w:val="24"/>
        </w:rPr>
        <w:t xml:space="preserve">Ghauri, P. and Cateora, P. (2014) </w:t>
      </w:r>
      <w:r w:rsidRPr="00DF1CBA">
        <w:rPr>
          <w:rFonts w:ascii="Arial" w:hAnsi="Arial" w:cs="Arial"/>
          <w:i/>
          <w:iCs/>
          <w:sz w:val="24"/>
          <w:szCs w:val="24"/>
        </w:rPr>
        <w:t>International Marketing</w:t>
      </w:r>
      <w:r w:rsidRPr="00DF1CBA">
        <w:rPr>
          <w:rFonts w:ascii="Arial" w:hAnsi="Arial" w:cs="Arial"/>
          <w:sz w:val="24"/>
          <w:szCs w:val="24"/>
        </w:rPr>
        <w:t>. 4th edn. London: McGraw-Hill.</w:t>
      </w:r>
    </w:p>
    <w:p w14:paraId="4F003E54" w14:textId="77777777" w:rsidR="00444BAD" w:rsidRPr="00703F0C" w:rsidRDefault="00444BAD" w:rsidP="00444BAD">
      <w:pPr>
        <w:spacing w:line="360" w:lineRule="auto"/>
        <w:rPr>
          <w:rFonts w:ascii="Arial" w:hAnsi="Arial" w:cs="Arial"/>
          <w:sz w:val="24"/>
          <w:szCs w:val="24"/>
        </w:rPr>
      </w:pPr>
      <w:r w:rsidRPr="00703F0C">
        <w:rPr>
          <w:rFonts w:ascii="Arial" w:hAnsi="Arial" w:cs="Arial"/>
          <w:sz w:val="24"/>
          <w:szCs w:val="24"/>
        </w:rPr>
        <w:t xml:space="preserve">Gidumal, J.B., Secin, E.W., O’Connor, P. and Buhalis, D. (2023). Artificial Intelligence’s Impact on Hospitality and Tourism marketing: Exploring Key Themes and Addressing Challenges. </w:t>
      </w:r>
      <w:r w:rsidRPr="00703F0C">
        <w:rPr>
          <w:rFonts w:ascii="Arial" w:hAnsi="Arial" w:cs="Arial"/>
          <w:i/>
          <w:iCs/>
          <w:sz w:val="24"/>
          <w:szCs w:val="24"/>
        </w:rPr>
        <w:t>Current Issues in Tourism</w:t>
      </w:r>
      <w:r w:rsidRPr="00703F0C">
        <w:rPr>
          <w:rFonts w:ascii="Arial" w:hAnsi="Arial" w:cs="Arial"/>
          <w:sz w:val="24"/>
          <w:szCs w:val="24"/>
        </w:rPr>
        <w:t>, [online] 27(14), pp.1–18. doi:https://doi.org/10.1080/13683500.2023.2229480.</w:t>
      </w:r>
    </w:p>
    <w:p w14:paraId="64354E49" w14:textId="77777777" w:rsidR="00F07F1B" w:rsidRDefault="00F07F1B" w:rsidP="00DF1CBA">
      <w:pPr>
        <w:spacing w:line="360" w:lineRule="auto"/>
        <w:rPr>
          <w:rFonts w:ascii="Arial" w:hAnsi="Arial" w:cs="Arial"/>
          <w:sz w:val="24"/>
          <w:szCs w:val="24"/>
        </w:rPr>
      </w:pPr>
      <w:r w:rsidRPr="00F07F1B">
        <w:rPr>
          <w:rFonts w:ascii="Arial" w:hAnsi="Arial" w:cs="Arial"/>
          <w:sz w:val="24"/>
          <w:szCs w:val="24"/>
        </w:rPr>
        <w:t xml:space="preserve">Hulten, B. (2020). </w:t>
      </w:r>
      <w:r w:rsidRPr="00F07F1B">
        <w:rPr>
          <w:rFonts w:ascii="Arial" w:hAnsi="Arial" w:cs="Arial"/>
          <w:i/>
          <w:iCs/>
          <w:sz w:val="24"/>
          <w:szCs w:val="24"/>
        </w:rPr>
        <w:t>SENSORY MARKETING : an introduction.</w:t>
      </w:r>
      <w:r w:rsidRPr="00F07F1B">
        <w:rPr>
          <w:rFonts w:ascii="Arial" w:hAnsi="Arial" w:cs="Arial"/>
          <w:sz w:val="24"/>
          <w:szCs w:val="24"/>
        </w:rPr>
        <w:t xml:space="preserve"> S.L.: Sage Publications.</w:t>
      </w:r>
    </w:p>
    <w:p w14:paraId="7A9DC877" w14:textId="77777777" w:rsidR="00F07F1B" w:rsidRDefault="00F07F1B" w:rsidP="00F07F1B">
      <w:pPr>
        <w:spacing w:line="360" w:lineRule="auto"/>
        <w:rPr>
          <w:rFonts w:ascii="Arial" w:hAnsi="Arial" w:cs="Arial"/>
          <w:sz w:val="24"/>
          <w:szCs w:val="24"/>
        </w:rPr>
      </w:pPr>
      <w:r w:rsidRPr="00F07F1B">
        <w:rPr>
          <w:rFonts w:ascii="Arial" w:hAnsi="Arial" w:cs="Arial"/>
          <w:sz w:val="24"/>
          <w:szCs w:val="24"/>
        </w:rPr>
        <w:t xml:space="preserve">Jenkins, M. and McDonald, M. (1997). Market segmentation: Organizational Archetypes and Research Agendas. </w:t>
      </w:r>
      <w:r w:rsidRPr="00F07F1B">
        <w:rPr>
          <w:rFonts w:ascii="Arial" w:hAnsi="Arial" w:cs="Arial"/>
          <w:i/>
          <w:iCs/>
          <w:sz w:val="24"/>
          <w:szCs w:val="24"/>
        </w:rPr>
        <w:t>European Journal of Marketing</w:t>
      </w:r>
      <w:r w:rsidRPr="00F07F1B">
        <w:rPr>
          <w:rFonts w:ascii="Arial" w:hAnsi="Arial" w:cs="Arial"/>
          <w:sz w:val="24"/>
          <w:szCs w:val="24"/>
        </w:rPr>
        <w:t>, [online] 31(1), pp.17–32. doi:https://doi.org/10.1108/03090569710157016.</w:t>
      </w:r>
    </w:p>
    <w:p w14:paraId="1A9D1B2C" w14:textId="7DD7AE55" w:rsidR="00752331" w:rsidRPr="00F07F1B" w:rsidRDefault="00752331" w:rsidP="00F07F1B">
      <w:pPr>
        <w:spacing w:line="360" w:lineRule="auto"/>
        <w:rPr>
          <w:rFonts w:ascii="Arial" w:hAnsi="Arial" w:cs="Arial"/>
          <w:sz w:val="24"/>
          <w:szCs w:val="24"/>
        </w:rPr>
      </w:pPr>
      <w:r w:rsidRPr="00752331">
        <w:rPr>
          <w:rFonts w:ascii="Arial" w:hAnsi="Arial" w:cs="Arial"/>
          <w:sz w:val="24"/>
          <w:szCs w:val="24"/>
        </w:rPr>
        <w:lastRenderedPageBreak/>
        <w:t xml:space="preserve">Jimi Famurewa (2025). </w:t>
      </w:r>
      <w:r w:rsidRPr="00752331">
        <w:rPr>
          <w:rFonts w:ascii="Arial" w:hAnsi="Arial" w:cs="Arial"/>
          <w:i/>
          <w:iCs/>
          <w:sz w:val="24"/>
          <w:szCs w:val="24"/>
        </w:rPr>
        <w:t>Social climbers: Is non-stop Content Creation Now What It Takes for Restaurants to survive?</w:t>
      </w:r>
      <w:r w:rsidRPr="00752331">
        <w:rPr>
          <w:rFonts w:ascii="Arial" w:hAnsi="Arial" w:cs="Arial"/>
          <w:sz w:val="24"/>
          <w:szCs w:val="24"/>
        </w:rPr>
        <w:t xml:space="preserve"> [online] the Guardian. Available at: https://www.theguardian.com/food/2025/mar/23/social-climbers-is-non-stop-content-creation-now-what-it-takes-for-restaurants-to-survive [Accessed 16 Jan. 2026].</w:t>
      </w:r>
    </w:p>
    <w:p w14:paraId="0F9DC44D" w14:textId="77777777" w:rsidR="00352038" w:rsidRPr="00352038" w:rsidRDefault="00352038" w:rsidP="00352038">
      <w:pPr>
        <w:spacing w:line="360" w:lineRule="auto"/>
        <w:rPr>
          <w:rFonts w:ascii="Arial" w:hAnsi="Arial" w:cs="Arial"/>
          <w:sz w:val="24"/>
          <w:szCs w:val="24"/>
        </w:rPr>
      </w:pPr>
      <w:r w:rsidRPr="00352038">
        <w:rPr>
          <w:rFonts w:ascii="Arial" w:hAnsi="Arial" w:cs="Arial"/>
          <w:sz w:val="24"/>
          <w:szCs w:val="24"/>
        </w:rPr>
        <w:t xml:space="preserve">Kaplan, R.S. and Norton, D.P. (1992). </w:t>
      </w:r>
      <w:r w:rsidRPr="00352038">
        <w:rPr>
          <w:rFonts w:ascii="Arial" w:hAnsi="Arial" w:cs="Arial"/>
          <w:i/>
          <w:iCs/>
          <w:sz w:val="24"/>
          <w:szCs w:val="24"/>
        </w:rPr>
        <w:t>The Balanced Scorecard: Translating Strategy into Action</w:t>
      </w:r>
      <w:r w:rsidRPr="00352038">
        <w:rPr>
          <w:rFonts w:ascii="Arial" w:hAnsi="Arial" w:cs="Arial"/>
          <w:sz w:val="24"/>
          <w:szCs w:val="24"/>
        </w:rPr>
        <w:t>. Harvard: Harvard Business Review Press.</w:t>
      </w:r>
    </w:p>
    <w:p w14:paraId="7B506839"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 xml:space="preserve">Kingsnorth, S. (2019) </w:t>
      </w:r>
      <w:r w:rsidRPr="00DF1CBA">
        <w:rPr>
          <w:rFonts w:ascii="Arial" w:hAnsi="Arial" w:cs="Arial"/>
          <w:i/>
          <w:iCs/>
          <w:sz w:val="24"/>
          <w:szCs w:val="24"/>
        </w:rPr>
        <w:t>Digital Marketing Strategy: An Integrated Approach to Online Marketing</w:t>
      </w:r>
      <w:r w:rsidRPr="00DF1CBA">
        <w:rPr>
          <w:rFonts w:ascii="Arial" w:hAnsi="Arial" w:cs="Arial"/>
          <w:sz w:val="24"/>
          <w:szCs w:val="24"/>
        </w:rPr>
        <w:t>. 2nd edn. London: Kogan Page.</w:t>
      </w:r>
    </w:p>
    <w:p w14:paraId="6594AA49" w14:textId="77777777" w:rsidR="00A26628" w:rsidRPr="00A26628" w:rsidRDefault="00A26628" w:rsidP="00A26628">
      <w:pPr>
        <w:spacing w:line="360" w:lineRule="auto"/>
        <w:rPr>
          <w:rFonts w:ascii="Arial" w:hAnsi="Arial" w:cs="Arial"/>
          <w:sz w:val="24"/>
          <w:szCs w:val="24"/>
        </w:rPr>
      </w:pPr>
      <w:r w:rsidRPr="00A26628">
        <w:rPr>
          <w:rFonts w:ascii="Arial" w:hAnsi="Arial" w:cs="Arial"/>
          <w:sz w:val="24"/>
          <w:szCs w:val="24"/>
        </w:rPr>
        <w:t xml:space="preserve">Kimes, S.E. (2011). The Future of Hotel Revenue Management. </w:t>
      </w:r>
      <w:r w:rsidRPr="00A26628">
        <w:rPr>
          <w:rFonts w:ascii="Arial" w:hAnsi="Arial" w:cs="Arial"/>
          <w:i/>
          <w:iCs/>
          <w:sz w:val="24"/>
          <w:szCs w:val="24"/>
        </w:rPr>
        <w:t>Journal of Revenue and Pricing Management</w:t>
      </w:r>
      <w:r w:rsidRPr="00A26628">
        <w:rPr>
          <w:rFonts w:ascii="Arial" w:hAnsi="Arial" w:cs="Arial"/>
          <w:sz w:val="24"/>
          <w:szCs w:val="24"/>
        </w:rPr>
        <w:t>, [online] 10(1), pp.62–72. doi:https://doi.org/10.1057/rpm.2010.47.</w:t>
      </w:r>
    </w:p>
    <w:p w14:paraId="6D28F237" w14:textId="437E3E64"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Kotler, P. and Armstrong, G. (202</w:t>
      </w:r>
      <w:r w:rsidR="00A26628">
        <w:rPr>
          <w:rFonts w:ascii="Arial" w:hAnsi="Arial" w:cs="Arial"/>
          <w:sz w:val="24"/>
          <w:szCs w:val="24"/>
        </w:rPr>
        <w:t>1</w:t>
      </w:r>
      <w:r w:rsidRPr="00DF1CBA">
        <w:rPr>
          <w:rFonts w:ascii="Arial" w:hAnsi="Arial" w:cs="Arial"/>
          <w:sz w:val="24"/>
          <w:szCs w:val="24"/>
        </w:rPr>
        <w:t xml:space="preserve">) </w:t>
      </w:r>
      <w:r w:rsidRPr="00DF1CBA">
        <w:rPr>
          <w:rFonts w:ascii="Arial" w:hAnsi="Arial" w:cs="Arial"/>
          <w:i/>
          <w:iCs/>
          <w:sz w:val="24"/>
          <w:szCs w:val="24"/>
        </w:rPr>
        <w:t>Principles of Marketing</w:t>
      </w:r>
      <w:r w:rsidRPr="00DF1CBA">
        <w:rPr>
          <w:rFonts w:ascii="Arial" w:hAnsi="Arial" w:cs="Arial"/>
          <w:sz w:val="24"/>
          <w:szCs w:val="24"/>
        </w:rPr>
        <w:t>. 18th edn. Harlow: Pearson.</w:t>
      </w:r>
    </w:p>
    <w:p w14:paraId="56E111A1"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 xml:space="preserve">LocaliQ (2024) </w:t>
      </w:r>
      <w:r w:rsidRPr="00DF1CBA">
        <w:rPr>
          <w:rFonts w:ascii="Arial" w:hAnsi="Arial" w:cs="Arial"/>
          <w:i/>
          <w:iCs/>
          <w:sz w:val="24"/>
          <w:szCs w:val="24"/>
        </w:rPr>
        <w:t>UK Digital Marketing Statistics 2024: 850+ Data Points</w:t>
      </w:r>
      <w:r w:rsidRPr="00DF1CBA">
        <w:rPr>
          <w:rFonts w:ascii="Arial" w:hAnsi="Arial" w:cs="Arial"/>
          <w:sz w:val="24"/>
          <w:szCs w:val="24"/>
        </w:rPr>
        <w:t>. Available at: https://localiq.co.uk (Accessed: 10 November 2025).</w:t>
      </w:r>
    </w:p>
    <w:p w14:paraId="136E2BD3"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 xml:space="preserve">Masterson, R., Phillips, N. and Pickton, D. (2021) </w:t>
      </w:r>
      <w:r w:rsidRPr="00DF1CBA">
        <w:rPr>
          <w:rFonts w:ascii="Arial" w:hAnsi="Arial" w:cs="Arial"/>
          <w:i/>
          <w:iCs/>
          <w:sz w:val="24"/>
          <w:szCs w:val="24"/>
        </w:rPr>
        <w:t>Marketing: An Introduction</w:t>
      </w:r>
      <w:r w:rsidRPr="00DF1CBA">
        <w:rPr>
          <w:rFonts w:ascii="Arial" w:hAnsi="Arial" w:cs="Arial"/>
          <w:sz w:val="24"/>
          <w:szCs w:val="24"/>
        </w:rPr>
        <w:t>. 5th edn. London: Sage.</w:t>
      </w:r>
    </w:p>
    <w:p w14:paraId="3E874344"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Mews (2023) ‘Best 15 hotel social media marketing strategies in 2024’. Available at: https://www.mews.com (Accessed: 10 November 2025).</w:t>
      </w:r>
    </w:p>
    <w:p w14:paraId="21C7A7B6" w14:textId="77777777" w:rsidR="00F616C7" w:rsidRPr="00F616C7" w:rsidRDefault="00F616C7" w:rsidP="00F616C7">
      <w:pPr>
        <w:spacing w:line="360" w:lineRule="auto"/>
        <w:rPr>
          <w:rFonts w:ascii="Arial" w:hAnsi="Arial" w:cs="Arial"/>
          <w:sz w:val="24"/>
          <w:szCs w:val="24"/>
        </w:rPr>
      </w:pPr>
      <w:r w:rsidRPr="00F616C7">
        <w:rPr>
          <w:rFonts w:ascii="Arial" w:hAnsi="Arial" w:cs="Arial"/>
          <w:sz w:val="24"/>
          <w:szCs w:val="24"/>
        </w:rPr>
        <w:t xml:space="preserve">Pereira, P., Senthilkumaran Piramanayagam, Mallya, J. and Patwardhan, V. (2025). How Restaurant Influencers’ Characteristics Impact Gen Z’s Restaurant visit: an Elaboration Likelihood Perspective. </w:t>
      </w:r>
      <w:r w:rsidRPr="00F616C7">
        <w:rPr>
          <w:rFonts w:ascii="Arial" w:hAnsi="Arial" w:cs="Arial"/>
          <w:i/>
          <w:iCs/>
          <w:sz w:val="24"/>
          <w:szCs w:val="24"/>
        </w:rPr>
        <w:t>Cogent Business &amp; Managment</w:t>
      </w:r>
      <w:r w:rsidRPr="00F616C7">
        <w:rPr>
          <w:rFonts w:ascii="Arial" w:hAnsi="Arial" w:cs="Arial"/>
          <w:sz w:val="24"/>
          <w:szCs w:val="24"/>
        </w:rPr>
        <w:t>, [online] 12(1). doi:https://doi.org/10.1080/23311975.2025.2532858.</w:t>
      </w:r>
    </w:p>
    <w:p w14:paraId="490A28B7" w14:textId="77777777" w:rsidR="00DF1CBA" w:rsidRDefault="00DF1CBA" w:rsidP="00DF1CBA">
      <w:pPr>
        <w:spacing w:line="360" w:lineRule="auto"/>
        <w:rPr>
          <w:rFonts w:ascii="Arial" w:hAnsi="Arial" w:cs="Arial"/>
          <w:sz w:val="24"/>
          <w:szCs w:val="24"/>
        </w:rPr>
      </w:pPr>
      <w:r w:rsidRPr="00DF1CBA">
        <w:rPr>
          <w:rFonts w:ascii="Arial" w:hAnsi="Arial" w:cs="Arial"/>
          <w:sz w:val="24"/>
          <w:szCs w:val="24"/>
        </w:rPr>
        <w:t xml:space="preserve">Remountakis, M., Kotis, K., Kourtzis, B. and Tsekouras, G.E. (2023) ‘ChatGPT and persuasive technologies in hospitality’, </w:t>
      </w:r>
      <w:r w:rsidRPr="00DF1CBA">
        <w:rPr>
          <w:rFonts w:ascii="Arial" w:hAnsi="Arial" w:cs="Arial"/>
          <w:i/>
          <w:iCs/>
          <w:sz w:val="24"/>
          <w:szCs w:val="24"/>
        </w:rPr>
        <w:t>Journal of Hospitality &amp; Tourism Technology</w:t>
      </w:r>
      <w:r w:rsidRPr="00DF1CBA">
        <w:rPr>
          <w:rFonts w:ascii="Arial" w:hAnsi="Arial" w:cs="Arial"/>
          <w:sz w:val="24"/>
          <w:szCs w:val="24"/>
        </w:rPr>
        <w:t>, 14(4), pp. 623–641.</w:t>
      </w:r>
    </w:p>
    <w:p w14:paraId="2895E277" w14:textId="6A149703" w:rsidR="00D14684" w:rsidRPr="00DF1CBA" w:rsidRDefault="00D14684" w:rsidP="00DF1CBA">
      <w:pPr>
        <w:spacing w:line="360" w:lineRule="auto"/>
        <w:rPr>
          <w:rFonts w:ascii="Arial" w:hAnsi="Arial" w:cs="Arial"/>
          <w:sz w:val="24"/>
          <w:szCs w:val="24"/>
        </w:rPr>
      </w:pPr>
      <w:r w:rsidRPr="00D14684">
        <w:rPr>
          <w:rFonts w:ascii="Arial" w:hAnsi="Arial" w:cs="Arial"/>
          <w:sz w:val="24"/>
          <w:szCs w:val="24"/>
        </w:rPr>
        <w:t xml:space="preserve">Sestino, A., Prete, M.I., Piper, L. and Guido, G. (2023). The Future of Online Marketing Strategies and Digital tools: New Challenges and Contributions to RACE Framework. </w:t>
      </w:r>
      <w:r w:rsidRPr="00D14684">
        <w:rPr>
          <w:rFonts w:ascii="Arial" w:hAnsi="Arial" w:cs="Arial"/>
          <w:i/>
          <w:iCs/>
          <w:sz w:val="24"/>
          <w:szCs w:val="24"/>
        </w:rPr>
        <w:t>International Journal of Electronic Trade</w:t>
      </w:r>
      <w:r w:rsidRPr="00D14684">
        <w:rPr>
          <w:rFonts w:ascii="Arial" w:hAnsi="Arial" w:cs="Arial"/>
          <w:sz w:val="24"/>
          <w:szCs w:val="24"/>
        </w:rPr>
        <w:t>, 1(1), pp.4–27. doi:https://doi.org/10.1504/ijetrade.2023.133310.</w:t>
      </w:r>
    </w:p>
    <w:p w14:paraId="25C8DAAF"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lastRenderedPageBreak/>
        <w:t>Slug &amp; Lettuce (2025) ‘Cocktail bar in Swansea | Book now – Slug &amp; Lettuce’. Available at: https://www.slugandlettuce.co.uk/swansea (Accessed: 11 November 2025).</w:t>
      </w:r>
    </w:p>
    <w:p w14:paraId="257A3C20" w14:textId="77777777" w:rsidR="00DF1CBA" w:rsidRPr="00DF1CBA" w:rsidRDefault="00DF1CBA" w:rsidP="00DF1CBA">
      <w:pPr>
        <w:spacing w:line="360" w:lineRule="auto"/>
        <w:rPr>
          <w:rFonts w:ascii="Arial" w:hAnsi="Arial" w:cs="Arial"/>
          <w:sz w:val="24"/>
          <w:szCs w:val="24"/>
        </w:rPr>
      </w:pPr>
      <w:r w:rsidRPr="00DF1CBA">
        <w:rPr>
          <w:rFonts w:ascii="Arial" w:hAnsi="Arial" w:cs="Arial"/>
          <w:sz w:val="24"/>
          <w:szCs w:val="24"/>
        </w:rPr>
        <w:t xml:space="preserve">Smith, P.R. (2019) </w:t>
      </w:r>
      <w:r w:rsidRPr="00DF1CBA">
        <w:rPr>
          <w:rFonts w:ascii="Arial" w:hAnsi="Arial" w:cs="Arial"/>
          <w:i/>
          <w:iCs/>
          <w:sz w:val="24"/>
          <w:szCs w:val="24"/>
        </w:rPr>
        <w:t>SOSTAC® Guide to Your Perfect Digital Marketing Plan</w:t>
      </w:r>
      <w:r w:rsidRPr="00DF1CBA">
        <w:rPr>
          <w:rFonts w:ascii="Arial" w:hAnsi="Arial" w:cs="Arial"/>
          <w:sz w:val="24"/>
          <w:szCs w:val="24"/>
        </w:rPr>
        <w:t>. London: PR Smith.</w:t>
      </w:r>
    </w:p>
    <w:p w14:paraId="34FB35D3" w14:textId="77777777" w:rsidR="00F60B68" w:rsidRPr="00F60B68" w:rsidRDefault="00F60B68" w:rsidP="00F60B68">
      <w:pPr>
        <w:spacing w:line="360" w:lineRule="auto"/>
        <w:rPr>
          <w:rFonts w:ascii="Arial" w:hAnsi="Arial" w:cs="Arial"/>
          <w:sz w:val="24"/>
          <w:szCs w:val="24"/>
        </w:rPr>
      </w:pPr>
      <w:r w:rsidRPr="00F60B68">
        <w:rPr>
          <w:rFonts w:ascii="Arial" w:hAnsi="Arial" w:cs="Arial"/>
          <w:sz w:val="24"/>
          <w:szCs w:val="24"/>
        </w:rPr>
        <w:t xml:space="preserve">Zonal (2024). </w:t>
      </w:r>
      <w:r w:rsidRPr="00F60B68">
        <w:rPr>
          <w:rFonts w:ascii="Arial" w:hAnsi="Arial" w:cs="Arial"/>
          <w:i/>
          <w:iCs/>
          <w:sz w:val="24"/>
          <w:szCs w:val="24"/>
        </w:rPr>
        <w:t>Influence, Loyalty and technology: Key Guest Trends from 2023</w:t>
      </w:r>
      <w:r w:rsidRPr="00F60B68">
        <w:rPr>
          <w:rFonts w:ascii="Arial" w:hAnsi="Arial" w:cs="Arial"/>
          <w:sz w:val="24"/>
          <w:szCs w:val="24"/>
        </w:rPr>
        <w:t>. [online] Zonal. Available at: https://www.zonal.co.uk/resources/influence-loyalty-technology-the-key-guest-trends-from-2023/ [Accessed 4 Jan. 2026].</w:t>
      </w:r>
    </w:p>
    <w:p w14:paraId="06F89B0F" w14:textId="77777777" w:rsidR="00152C3A" w:rsidRDefault="00152C3A" w:rsidP="00DF1CBA">
      <w:pPr>
        <w:spacing w:line="360" w:lineRule="auto"/>
        <w:rPr>
          <w:rFonts w:ascii="Arial" w:hAnsi="Arial" w:cs="Arial"/>
          <w:sz w:val="24"/>
          <w:szCs w:val="24"/>
        </w:rPr>
      </w:pPr>
    </w:p>
    <w:p w14:paraId="2567BA5B" w14:textId="77777777" w:rsidR="00110897" w:rsidRDefault="00110897" w:rsidP="00DF1CBA">
      <w:pPr>
        <w:spacing w:line="360" w:lineRule="auto"/>
        <w:rPr>
          <w:rFonts w:ascii="Arial" w:hAnsi="Arial" w:cs="Arial"/>
          <w:sz w:val="24"/>
          <w:szCs w:val="24"/>
        </w:rPr>
      </w:pPr>
    </w:p>
    <w:p w14:paraId="175EA8BE" w14:textId="77777777" w:rsidR="00110897" w:rsidRDefault="00110897" w:rsidP="00DF1CBA">
      <w:pPr>
        <w:spacing w:line="360" w:lineRule="auto"/>
        <w:rPr>
          <w:rFonts w:ascii="Arial" w:hAnsi="Arial" w:cs="Arial"/>
          <w:sz w:val="24"/>
          <w:szCs w:val="24"/>
        </w:rPr>
      </w:pPr>
    </w:p>
    <w:p w14:paraId="2BABA502" w14:textId="77777777" w:rsidR="00110897" w:rsidRDefault="00110897" w:rsidP="00DF1CBA">
      <w:pPr>
        <w:spacing w:line="360" w:lineRule="auto"/>
        <w:rPr>
          <w:rFonts w:ascii="Arial" w:hAnsi="Arial" w:cs="Arial"/>
          <w:sz w:val="24"/>
          <w:szCs w:val="24"/>
        </w:rPr>
      </w:pPr>
    </w:p>
    <w:p w14:paraId="7AF5C2F7" w14:textId="77777777" w:rsidR="00110897" w:rsidRDefault="00110897" w:rsidP="00DF1CBA">
      <w:pPr>
        <w:spacing w:line="360" w:lineRule="auto"/>
        <w:rPr>
          <w:rFonts w:ascii="Arial" w:hAnsi="Arial" w:cs="Arial"/>
          <w:sz w:val="24"/>
          <w:szCs w:val="24"/>
        </w:rPr>
      </w:pPr>
    </w:p>
    <w:p w14:paraId="1F2E6BE8" w14:textId="77777777" w:rsidR="00110897" w:rsidRDefault="00110897" w:rsidP="00DF1CBA">
      <w:pPr>
        <w:spacing w:line="360" w:lineRule="auto"/>
        <w:rPr>
          <w:rFonts w:ascii="Arial" w:hAnsi="Arial" w:cs="Arial"/>
          <w:sz w:val="24"/>
          <w:szCs w:val="24"/>
        </w:rPr>
      </w:pPr>
    </w:p>
    <w:p w14:paraId="4BBD268E" w14:textId="77777777" w:rsidR="008438E4" w:rsidRDefault="008438E4" w:rsidP="00110897">
      <w:pPr>
        <w:spacing w:line="360" w:lineRule="auto"/>
        <w:rPr>
          <w:rFonts w:ascii="Arial" w:hAnsi="Arial" w:cs="Arial"/>
          <w:b/>
          <w:bCs/>
          <w:sz w:val="24"/>
          <w:szCs w:val="24"/>
        </w:rPr>
      </w:pPr>
    </w:p>
    <w:p w14:paraId="7EDA302E" w14:textId="77777777" w:rsidR="008438E4" w:rsidRDefault="008438E4" w:rsidP="00110897">
      <w:pPr>
        <w:spacing w:line="360" w:lineRule="auto"/>
        <w:rPr>
          <w:rFonts w:ascii="Arial" w:hAnsi="Arial" w:cs="Arial"/>
          <w:b/>
          <w:bCs/>
          <w:sz w:val="24"/>
          <w:szCs w:val="24"/>
        </w:rPr>
      </w:pPr>
    </w:p>
    <w:p w14:paraId="61C2809E" w14:textId="77777777" w:rsidR="008438E4" w:rsidRDefault="008438E4" w:rsidP="00110897">
      <w:pPr>
        <w:spacing w:line="360" w:lineRule="auto"/>
        <w:rPr>
          <w:rFonts w:ascii="Arial" w:hAnsi="Arial" w:cs="Arial"/>
          <w:b/>
          <w:bCs/>
          <w:sz w:val="24"/>
          <w:szCs w:val="24"/>
        </w:rPr>
      </w:pPr>
    </w:p>
    <w:p w14:paraId="415E7582" w14:textId="77777777" w:rsidR="008438E4" w:rsidRDefault="008438E4" w:rsidP="00110897">
      <w:pPr>
        <w:spacing w:line="360" w:lineRule="auto"/>
        <w:rPr>
          <w:rFonts w:ascii="Arial" w:hAnsi="Arial" w:cs="Arial"/>
          <w:b/>
          <w:bCs/>
          <w:sz w:val="24"/>
          <w:szCs w:val="24"/>
        </w:rPr>
      </w:pPr>
    </w:p>
    <w:p w14:paraId="1CFCDB97" w14:textId="77777777" w:rsidR="008438E4" w:rsidRDefault="008438E4" w:rsidP="00110897">
      <w:pPr>
        <w:spacing w:line="360" w:lineRule="auto"/>
        <w:rPr>
          <w:rFonts w:ascii="Arial" w:hAnsi="Arial" w:cs="Arial"/>
          <w:b/>
          <w:bCs/>
          <w:sz w:val="24"/>
          <w:szCs w:val="24"/>
        </w:rPr>
      </w:pPr>
    </w:p>
    <w:p w14:paraId="0F105257" w14:textId="77777777" w:rsidR="008438E4" w:rsidRDefault="008438E4" w:rsidP="00110897">
      <w:pPr>
        <w:spacing w:line="360" w:lineRule="auto"/>
        <w:rPr>
          <w:rFonts w:ascii="Arial" w:hAnsi="Arial" w:cs="Arial"/>
          <w:b/>
          <w:bCs/>
          <w:sz w:val="24"/>
          <w:szCs w:val="24"/>
        </w:rPr>
      </w:pPr>
    </w:p>
    <w:p w14:paraId="5667248E" w14:textId="77777777" w:rsidR="008438E4" w:rsidRDefault="008438E4" w:rsidP="00110897">
      <w:pPr>
        <w:spacing w:line="360" w:lineRule="auto"/>
        <w:rPr>
          <w:rFonts w:ascii="Arial" w:hAnsi="Arial" w:cs="Arial"/>
          <w:b/>
          <w:bCs/>
          <w:sz w:val="24"/>
          <w:szCs w:val="24"/>
        </w:rPr>
      </w:pPr>
    </w:p>
    <w:p w14:paraId="61966408" w14:textId="77777777" w:rsidR="008438E4" w:rsidRDefault="008438E4" w:rsidP="00110897">
      <w:pPr>
        <w:spacing w:line="360" w:lineRule="auto"/>
        <w:rPr>
          <w:rFonts w:ascii="Arial" w:hAnsi="Arial" w:cs="Arial"/>
          <w:b/>
          <w:bCs/>
          <w:sz w:val="24"/>
          <w:szCs w:val="24"/>
        </w:rPr>
      </w:pPr>
    </w:p>
    <w:p w14:paraId="4A38F6EF" w14:textId="77777777" w:rsidR="008438E4" w:rsidRDefault="008438E4" w:rsidP="00110897">
      <w:pPr>
        <w:spacing w:line="360" w:lineRule="auto"/>
        <w:rPr>
          <w:rFonts w:ascii="Arial" w:hAnsi="Arial" w:cs="Arial"/>
          <w:b/>
          <w:bCs/>
          <w:sz w:val="24"/>
          <w:szCs w:val="24"/>
        </w:rPr>
      </w:pPr>
    </w:p>
    <w:p w14:paraId="1510A04B" w14:textId="77777777" w:rsidR="008438E4" w:rsidRDefault="008438E4" w:rsidP="00110897">
      <w:pPr>
        <w:spacing w:line="360" w:lineRule="auto"/>
        <w:rPr>
          <w:rFonts w:ascii="Arial" w:hAnsi="Arial" w:cs="Arial"/>
          <w:b/>
          <w:bCs/>
          <w:sz w:val="24"/>
          <w:szCs w:val="24"/>
        </w:rPr>
      </w:pPr>
    </w:p>
    <w:p w14:paraId="312C94EE" w14:textId="77777777" w:rsidR="008438E4" w:rsidRDefault="008438E4" w:rsidP="00110897">
      <w:pPr>
        <w:spacing w:line="360" w:lineRule="auto"/>
        <w:rPr>
          <w:rFonts w:ascii="Arial" w:hAnsi="Arial" w:cs="Arial"/>
          <w:b/>
          <w:bCs/>
          <w:sz w:val="24"/>
          <w:szCs w:val="24"/>
        </w:rPr>
      </w:pPr>
    </w:p>
    <w:p w14:paraId="20D9808B" w14:textId="77777777" w:rsidR="008438E4" w:rsidRDefault="008438E4" w:rsidP="00110897">
      <w:pPr>
        <w:spacing w:line="360" w:lineRule="auto"/>
        <w:rPr>
          <w:rFonts w:ascii="Arial" w:hAnsi="Arial" w:cs="Arial"/>
          <w:b/>
          <w:bCs/>
          <w:sz w:val="24"/>
          <w:szCs w:val="24"/>
        </w:rPr>
      </w:pPr>
    </w:p>
    <w:p w14:paraId="510B51F8" w14:textId="1A7D4343" w:rsidR="008438E4" w:rsidRDefault="008438E4" w:rsidP="00110897">
      <w:pPr>
        <w:spacing w:line="360" w:lineRule="auto"/>
        <w:rPr>
          <w:rFonts w:ascii="Arial" w:hAnsi="Arial" w:cs="Arial"/>
          <w:b/>
          <w:bCs/>
          <w:sz w:val="24"/>
          <w:szCs w:val="24"/>
        </w:rPr>
      </w:pPr>
      <w:r w:rsidRPr="008438E4">
        <w:rPr>
          <w:rFonts w:ascii="Arial" w:hAnsi="Arial" w:cs="Arial"/>
          <w:b/>
          <w:bCs/>
          <w:sz w:val="24"/>
          <w:szCs w:val="24"/>
        </w:rPr>
        <w:lastRenderedPageBreak/>
        <w:t>APPENDICES</w:t>
      </w:r>
      <w:r>
        <w:rPr>
          <w:rFonts w:ascii="Arial" w:hAnsi="Arial" w:cs="Arial"/>
          <w:b/>
          <w:bCs/>
          <w:sz w:val="24"/>
          <w:szCs w:val="24"/>
        </w:rPr>
        <w:t>:</w:t>
      </w:r>
    </w:p>
    <w:p w14:paraId="7E12E9D4" w14:textId="532517B5" w:rsidR="00110897" w:rsidRPr="00110897" w:rsidRDefault="00110897" w:rsidP="00110897">
      <w:pPr>
        <w:spacing w:line="360" w:lineRule="auto"/>
        <w:rPr>
          <w:rFonts w:ascii="Arial" w:hAnsi="Arial" w:cs="Arial"/>
          <w:b/>
          <w:bCs/>
          <w:sz w:val="24"/>
          <w:szCs w:val="24"/>
        </w:rPr>
      </w:pPr>
      <w:r w:rsidRPr="00110897">
        <w:rPr>
          <w:rFonts w:ascii="Arial" w:hAnsi="Arial" w:cs="Arial"/>
          <w:b/>
          <w:bCs/>
          <w:sz w:val="24"/>
          <w:szCs w:val="24"/>
        </w:rPr>
        <w:t>Appendix A – SWOT Analysis</w:t>
      </w:r>
    </w:p>
    <w:p w14:paraId="36A15CBB" w14:textId="77777777" w:rsidR="00110897" w:rsidRDefault="00110897" w:rsidP="00110897">
      <w:pPr>
        <w:spacing w:line="360" w:lineRule="auto"/>
        <w:rPr>
          <w:rFonts w:ascii="Arial" w:hAnsi="Arial" w:cs="Arial"/>
          <w:sz w:val="24"/>
          <w:szCs w:val="24"/>
        </w:rPr>
      </w:pPr>
      <w:r w:rsidRPr="00110897">
        <w:rPr>
          <w:rFonts w:ascii="Arial" w:hAnsi="Arial" w:cs="Arial"/>
          <w:b/>
          <w:bCs/>
          <w:sz w:val="24"/>
          <w:szCs w:val="24"/>
        </w:rPr>
        <w:t>Source:</w:t>
      </w:r>
      <w:r w:rsidRPr="00110897">
        <w:rPr>
          <w:rFonts w:ascii="Arial" w:hAnsi="Arial" w:cs="Arial"/>
          <w:sz w:val="24"/>
          <w:szCs w:val="24"/>
        </w:rPr>
        <w:br/>
        <w:t>Developed by the author using internal brand analysis and secondary research from:</w:t>
      </w:r>
      <w:r w:rsidRPr="00110897">
        <w:rPr>
          <w:rFonts w:ascii="Arial" w:hAnsi="Arial" w:cs="Arial"/>
          <w:sz w:val="24"/>
          <w:szCs w:val="24"/>
        </w:rPr>
        <w:br/>
        <w:t>Slug &amp; Lettuce official website (Stonegate Group) and UK hospitality industry literature</w:t>
      </w:r>
      <w:r w:rsidRPr="00110897">
        <w:rPr>
          <w:rFonts w:ascii="Arial" w:hAnsi="Arial" w:cs="Arial"/>
          <w:sz w:val="24"/>
          <w:szCs w:val="24"/>
        </w:rPr>
        <w:br/>
        <w:t>(Slug &amp; Lettuce, 2024; Kotler et al., 2022).</w:t>
      </w:r>
    </w:p>
    <w:p w14:paraId="1B7880BF" w14:textId="270E30B4" w:rsidR="00110897" w:rsidRPr="00110897" w:rsidRDefault="00110897" w:rsidP="00110897">
      <w:pPr>
        <w:spacing w:line="360" w:lineRule="auto"/>
        <w:rPr>
          <w:rFonts w:ascii="Arial" w:hAnsi="Arial" w:cs="Arial"/>
          <w:sz w:val="24"/>
          <w:szCs w:val="24"/>
        </w:rPr>
      </w:pPr>
      <w:r>
        <w:rPr>
          <w:rFonts w:ascii="Arial" w:hAnsi="Arial" w:cs="Arial"/>
          <w:noProof/>
          <w:sz w:val="24"/>
          <w:szCs w:val="24"/>
        </w:rPr>
        <w:drawing>
          <wp:inline distT="0" distB="0" distL="0" distR="0" wp14:anchorId="666F3896" wp14:editId="64DF7877">
            <wp:extent cx="5731510" cy="4221480"/>
            <wp:effectExtent l="0" t="0" r="2540" b="7620"/>
            <wp:docPr id="1967974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974022" name="Picture 1967974022"/>
                    <pic:cNvPicPr/>
                  </pic:nvPicPr>
                  <pic:blipFill>
                    <a:blip r:embed="rId5">
                      <a:extLst>
                        <a:ext uri="{28A0092B-C50C-407E-A947-70E740481C1C}">
                          <a14:useLocalDpi xmlns:a14="http://schemas.microsoft.com/office/drawing/2010/main" val="0"/>
                        </a:ext>
                      </a:extLst>
                    </a:blip>
                    <a:stretch>
                      <a:fillRect/>
                    </a:stretch>
                  </pic:blipFill>
                  <pic:spPr>
                    <a:xfrm>
                      <a:off x="0" y="0"/>
                      <a:ext cx="5731510" cy="4221480"/>
                    </a:xfrm>
                    <a:prstGeom prst="rect">
                      <a:avLst/>
                    </a:prstGeom>
                  </pic:spPr>
                </pic:pic>
              </a:graphicData>
            </a:graphic>
          </wp:inline>
        </w:drawing>
      </w:r>
    </w:p>
    <w:p w14:paraId="676F4F5E" w14:textId="77777777" w:rsidR="00110897" w:rsidRPr="00110897" w:rsidRDefault="00110897" w:rsidP="00110897">
      <w:pPr>
        <w:spacing w:line="360" w:lineRule="auto"/>
        <w:rPr>
          <w:rFonts w:ascii="Arial" w:hAnsi="Arial" w:cs="Arial"/>
          <w:sz w:val="24"/>
          <w:szCs w:val="24"/>
        </w:rPr>
      </w:pPr>
      <w:r w:rsidRPr="00110897">
        <w:rPr>
          <w:rFonts w:ascii="Arial" w:hAnsi="Arial" w:cs="Arial"/>
          <w:sz w:val="24"/>
          <w:szCs w:val="24"/>
        </w:rPr>
        <w:pict w14:anchorId="01BF9C66">
          <v:rect id="_x0000_i1061" style="width:0;height:1.5pt" o:hralign="center" o:hrstd="t" o:hr="t" fillcolor="#a0a0a0" stroked="f"/>
        </w:pict>
      </w:r>
    </w:p>
    <w:p w14:paraId="3444B665" w14:textId="77777777" w:rsidR="00110897" w:rsidRPr="00110897" w:rsidRDefault="00110897" w:rsidP="00110897">
      <w:pPr>
        <w:spacing w:line="360" w:lineRule="auto"/>
        <w:rPr>
          <w:rFonts w:ascii="Arial" w:hAnsi="Arial" w:cs="Arial"/>
          <w:b/>
          <w:bCs/>
          <w:sz w:val="24"/>
          <w:szCs w:val="24"/>
        </w:rPr>
      </w:pPr>
      <w:r w:rsidRPr="00110897">
        <w:rPr>
          <w:rFonts w:ascii="Arial" w:hAnsi="Arial" w:cs="Arial"/>
          <w:b/>
          <w:bCs/>
          <w:sz w:val="24"/>
          <w:szCs w:val="24"/>
        </w:rPr>
        <w:t>Appendix B – Perceptual Positioning Map</w:t>
      </w:r>
    </w:p>
    <w:p w14:paraId="4B161416" w14:textId="77777777" w:rsidR="00110897" w:rsidRDefault="00110897" w:rsidP="00110897">
      <w:pPr>
        <w:spacing w:line="360" w:lineRule="auto"/>
        <w:rPr>
          <w:rFonts w:ascii="Arial" w:hAnsi="Arial" w:cs="Arial"/>
          <w:sz w:val="24"/>
          <w:szCs w:val="24"/>
        </w:rPr>
      </w:pPr>
      <w:r w:rsidRPr="00110897">
        <w:rPr>
          <w:rFonts w:ascii="Arial" w:hAnsi="Arial" w:cs="Arial"/>
          <w:b/>
          <w:bCs/>
          <w:sz w:val="24"/>
          <w:szCs w:val="24"/>
        </w:rPr>
        <w:t>Source:</w:t>
      </w:r>
      <w:r w:rsidRPr="00110897">
        <w:rPr>
          <w:rFonts w:ascii="Arial" w:hAnsi="Arial" w:cs="Arial"/>
          <w:sz w:val="24"/>
          <w:szCs w:val="24"/>
        </w:rPr>
        <w:br/>
        <w:t>Author’s own illustration based on competitor analysis of Swansea bar market, informed by pricing and experiential positioning data from company websites and customer review platforms including Google Reviews and TripAdvisor</w:t>
      </w:r>
      <w:r w:rsidRPr="00110897">
        <w:rPr>
          <w:rFonts w:ascii="Arial" w:hAnsi="Arial" w:cs="Arial"/>
          <w:sz w:val="24"/>
          <w:szCs w:val="24"/>
        </w:rPr>
        <w:br/>
        <w:t>(Kotler et al., 2022; Porter, 2008).</w:t>
      </w:r>
    </w:p>
    <w:p w14:paraId="3F74F313" w14:textId="77777777" w:rsidR="00110897" w:rsidRDefault="00110897" w:rsidP="00110897">
      <w:pPr>
        <w:spacing w:line="360" w:lineRule="auto"/>
        <w:rPr>
          <w:rFonts w:ascii="Arial" w:hAnsi="Arial" w:cs="Arial"/>
          <w:sz w:val="24"/>
          <w:szCs w:val="24"/>
        </w:rPr>
      </w:pPr>
    </w:p>
    <w:p w14:paraId="3BBC3D1C" w14:textId="59EFD05D" w:rsidR="00110897" w:rsidRPr="00110897" w:rsidRDefault="00110897" w:rsidP="00110897">
      <w:pPr>
        <w:spacing w:line="360" w:lineRule="auto"/>
        <w:rPr>
          <w:rFonts w:ascii="Arial" w:hAnsi="Arial" w:cs="Arial"/>
          <w:sz w:val="24"/>
          <w:szCs w:val="24"/>
        </w:rPr>
      </w:pPr>
      <w:r>
        <w:rPr>
          <w:rFonts w:ascii="Arial" w:hAnsi="Arial" w:cs="Arial"/>
          <w:noProof/>
          <w:sz w:val="24"/>
          <w:szCs w:val="24"/>
        </w:rPr>
        <w:drawing>
          <wp:inline distT="0" distB="0" distL="0" distR="0" wp14:anchorId="60197831" wp14:editId="5C6D18DF">
            <wp:extent cx="5731510" cy="2185670"/>
            <wp:effectExtent l="0" t="0" r="2540" b="5080"/>
            <wp:docPr id="20080856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85675" name="Picture 2008085675"/>
                    <pic:cNvPicPr/>
                  </pic:nvPicPr>
                  <pic:blipFill>
                    <a:blip r:embed="rId6">
                      <a:extLst>
                        <a:ext uri="{28A0092B-C50C-407E-A947-70E740481C1C}">
                          <a14:useLocalDpi xmlns:a14="http://schemas.microsoft.com/office/drawing/2010/main" val="0"/>
                        </a:ext>
                      </a:extLst>
                    </a:blip>
                    <a:stretch>
                      <a:fillRect/>
                    </a:stretch>
                  </pic:blipFill>
                  <pic:spPr>
                    <a:xfrm>
                      <a:off x="0" y="0"/>
                      <a:ext cx="5731510" cy="2185670"/>
                    </a:xfrm>
                    <a:prstGeom prst="rect">
                      <a:avLst/>
                    </a:prstGeom>
                  </pic:spPr>
                </pic:pic>
              </a:graphicData>
            </a:graphic>
          </wp:inline>
        </w:drawing>
      </w:r>
    </w:p>
    <w:p w14:paraId="290D7034" w14:textId="77777777" w:rsidR="00110897" w:rsidRPr="00110897" w:rsidRDefault="00110897" w:rsidP="00110897">
      <w:pPr>
        <w:spacing w:line="360" w:lineRule="auto"/>
        <w:rPr>
          <w:rFonts w:ascii="Arial" w:hAnsi="Arial" w:cs="Arial"/>
          <w:sz w:val="24"/>
          <w:szCs w:val="24"/>
        </w:rPr>
      </w:pPr>
      <w:r w:rsidRPr="00110897">
        <w:rPr>
          <w:rFonts w:ascii="Arial" w:hAnsi="Arial" w:cs="Arial"/>
          <w:sz w:val="24"/>
          <w:szCs w:val="24"/>
        </w:rPr>
        <w:pict w14:anchorId="2EDF9593">
          <v:rect id="_x0000_i1062" style="width:0;height:1.5pt" o:hralign="center" o:hrstd="t" o:hr="t" fillcolor="#a0a0a0" stroked="f"/>
        </w:pict>
      </w:r>
    </w:p>
    <w:p w14:paraId="03963710" w14:textId="77777777" w:rsidR="00110897" w:rsidRPr="00110897" w:rsidRDefault="00110897" w:rsidP="00110897">
      <w:pPr>
        <w:spacing w:line="360" w:lineRule="auto"/>
        <w:rPr>
          <w:rFonts w:ascii="Arial" w:hAnsi="Arial" w:cs="Arial"/>
          <w:b/>
          <w:bCs/>
          <w:sz w:val="24"/>
          <w:szCs w:val="24"/>
        </w:rPr>
      </w:pPr>
      <w:r w:rsidRPr="00110897">
        <w:rPr>
          <w:rFonts w:ascii="Arial" w:hAnsi="Arial" w:cs="Arial"/>
          <w:b/>
          <w:bCs/>
          <w:sz w:val="24"/>
          <w:szCs w:val="24"/>
        </w:rPr>
        <w:t>Appendix C – Bowman’s Strategy Clock</w:t>
      </w:r>
    </w:p>
    <w:p w14:paraId="34CB0ED2" w14:textId="77777777" w:rsidR="00110897" w:rsidRDefault="00110897" w:rsidP="00110897">
      <w:pPr>
        <w:spacing w:line="360" w:lineRule="auto"/>
        <w:rPr>
          <w:rFonts w:ascii="Arial" w:hAnsi="Arial" w:cs="Arial"/>
          <w:sz w:val="24"/>
          <w:szCs w:val="24"/>
        </w:rPr>
      </w:pPr>
      <w:r w:rsidRPr="00110897">
        <w:rPr>
          <w:rFonts w:ascii="Arial" w:hAnsi="Arial" w:cs="Arial"/>
          <w:b/>
          <w:bCs/>
          <w:sz w:val="24"/>
          <w:szCs w:val="24"/>
        </w:rPr>
        <w:t>Source:</w:t>
      </w:r>
      <w:r w:rsidRPr="00110897">
        <w:rPr>
          <w:rFonts w:ascii="Arial" w:hAnsi="Arial" w:cs="Arial"/>
          <w:sz w:val="24"/>
          <w:szCs w:val="24"/>
        </w:rPr>
        <w:br/>
        <w:t>Adapted from Bowman (2003). Strategic positioning of Slug &amp; Lettuce Swansea mapped by the author based on value proposition and pricing strategy observed via brand communications and menu pricing.</w:t>
      </w:r>
    </w:p>
    <w:p w14:paraId="5609520D" w14:textId="14080257" w:rsidR="001A043A" w:rsidRDefault="001A043A" w:rsidP="00110897">
      <w:pPr>
        <w:spacing w:line="360" w:lineRule="auto"/>
        <w:rPr>
          <w:rFonts w:ascii="Arial" w:hAnsi="Arial" w:cs="Arial"/>
          <w:sz w:val="24"/>
          <w:szCs w:val="24"/>
        </w:rPr>
      </w:pPr>
      <w:r>
        <w:rPr>
          <w:rFonts w:ascii="Arial" w:hAnsi="Arial" w:cs="Arial"/>
          <w:noProof/>
          <w:sz w:val="24"/>
          <w:szCs w:val="24"/>
        </w:rPr>
        <w:drawing>
          <wp:inline distT="0" distB="0" distL="0" distR="0" wp14:anchorId="124E91AF" wp14:editId="3A77A1D6">
            <wp:extent cx="5731510" cy="2673985"/>
            <wp:effectExtent l="0" t="0" r="2540" b="0"/>
            <wp:docPr id="2890560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056092" name="Picture 289056092"/>
                    <pic:cNvPicPr/>
                  </pic:nvPicPr>
                  <pic:blipFill>
                    <a:blip r:embed="rId7">
                      <a:extLst>
                        <a:ext uri="{28A0092B-C50C-407E-A947-70E740481C1C}">
                          <a14:useLocalDpi xmlns:a14="http://schemas.microsoft.com/office/drawing/2010/main" val="0"/>
                        </a:ext>
                      </a:extLst>
                    </a:blip>
                    <a:stretch>
                      <a:fillRect/>
                    </a:stretch>
                  </pic:blipFill>
                  <pic:spPr>
                    <a:xfrm>
                      <a:off x="0" y="0"/>
                      <a:ext cx="5731510" cy="2673985"/>
                    </a:xfrm>
                    <a:prstGeom prst="rect">
                      <a:avLst/>
                    </a:prstGeom>
                  </pic:spPr>
                </pic:pic>
              </a:graphicData>
            </a:graphic>
          </wp:inline>
        </w:drawing>
      </w:r>
    </w:p>
    <w:p w14:paraId="605107E3" w14:textId="77777777" w:rsidR="00110897" w:rsidRPr="00110897" w:rsidRDefault="00110897" w:rsidP="00110897">
      <w:pPr>
        <w:spacing w:line="360" w:lineRule="auto"/>
        <w:rPr>
          <w:rFonts w:ascii="Arial" w:hAnsi="Arial" w:cs="Arial"/>
          <w:sz w:val="24"/>
          <w:szCs w:val="24"/>
        </w:rPr>
      </w:pPr>
    </w:p>
    <w:p w14:paraId="6D0455FE" w14:textId="77777777" w:rsidR="00110897" w:rsidRPr="00110897" w:rsidRDefault="00110897" w:rsidP="00110897">
      <w:pPr>
        <w:spacing w:line="360" w:lineRule="auto"/>
        <w:rPr>
          <w:rFonts w:ascii="Arial" w:hAnsi="Arial" w:cs="Arial"/>
          <w:sz w:val="24"/>
          <w:szCs w:val="24"/>
        </w:rPr>
      </w:pPr>
      <w:r w:rsidRPr="00110897">
        <w:rPr>
          <w:rFonts w:ascii="Arial" w:hAnsi="Arial" w:cs="Arial"/>
          <w:sz w:val="24"/>
          <w:szCs w:val="24"/>
        </w:rPr>
        <w:pict w14:anchorId="5279FBCD">
          <v:rect id="_x0000_i1063" style="width:0;height:1.5pt" o:hralign="center" o:hrstd="t" o:hr="t" fillcolor="#a0a0a0" stroked="f"/>
        </w:pict>
      </w:r>
    </w:p>
    <w:p w14:paraId="5A63EAF5" w14:textId="77777777" w:rsidR="00110897" w:rsidRPr="00110897" w:rsidRDefault="00110897" w:rsidP="00110897">
      <w:pPr>
        <w:spacing w:line="360" w:lineRule="auto"/>
        <w:rPr>
          <w:rFonts w:ascii="Arial" w:hAnsi="Arial" w:cs="Arial"/>
          <w:b/>
          <w:bCs/>
          <w:sz w:val="24"/>
          <w:szCs w:val="24"/>
        </w:rPr>
      </w:pPr>
      <w:r w:rsidRPr="00110897">
        <w:rPr>
          <w:rFonts w:ascii="Arial" w:hAnsi="Arial" w:cs="Arial"/>
          <w:b/>
          <w:bCs/>
          <w:sz w:val="24"/>
          <w:szCs w:val="24"/>
        </w:rPr>
        <w:t>Appendix D – PESTLE Analysis</w:t>
      </w:r>
    </w:p>
    <w:p w14:paraId="4639923E" w14:textId="77777777" w:rsidR="00110897" w:rsidRDefault="00110897" w:rsidP="00110897">
      <w:pPr>
        <w:spacing w:line="360" w:lineRule="auto"/>
        <w:rPr>
          <w:rFonts w:ascii="Arial" w:hAnsi="Arial" w:cs="Arial"/>
          <w:sz w:val="24"/>
          <w:szCs w:val="24"/>
        </w:rPr>
      </w:pPr>
      <w:r w:rsidRPr="00110897">
        <w:rPr>
          <w:rFonts w:ascii="Arial" w:hAnsi="Arial" w:cs="Arial"/>
          <w:b/>
          <w:bCs/>
          <w:sz w:val="24"/>
          <w:szCs w:val="24"/>
        </w:rPr>
        <w:lastRenderedPageBreak/>
        <w:t>Source:</w:t>
      </w:r>
      <w:r w:rsidRPr="00110897">
        <w:rPr>
          <w:rFonts w:ascii="Arial" w:hAnsi="Arial" w:cs="Arial"/>
          <w:sz w:val="24"/>
          <w:szCs w:val="24"/>
        </w:rPr>
        <w:br/>
        <w:t>Author’s own analysis informed by UK hospitality macro-environment data from:</w:t>
      </w:r>
      <w:r w:rsidRPr="00110897">
        <w:rPr>
          <w:rFonts w:ascii="Arial" w:hAnsi="Arial" w:cs="Arial"/>
          <w:sz w:val="24"/>
          <w:szCs w:val="24"/>
        </w:rPr>
        <w:br/>
        <w:t>UK Government (2023), Statista (2024), and Deloitte Hospitality Insights (2022).</w:t>
      </w:r>
    </w:p>
    <w:p w14:paraId="1E495F91" w14:textId="67F1C7F7" w:rsidR="00110897" w:rsidRPr="00110897" w:rsidRDefault="00110897" w:rsidP="00110897">
      <w:pPr>
        <w:spacing w:line="360" w:lineRule="auto"/>
        <w:rPr>
          <w:rFonts w:ascii="Arial" w:hAnsi="Arial" w:cs="Arial"/>
          <w:sz w:val="24"/>
          <w:szCs w:val="24"/>
        </w:rPr>
      </w:pPr>
      <w:r>
        <w:rPr>
          <w:rFonts w:ascii="Arial" w:hAnsi="Arial" w:cs="Arial"/>
          <w:noProof/>
          <w:sz w:val="24"/>
          <w:szCs w:val="24"/>
        </w:rPr>
        <w:drawing>
          <wp:inline distT="0" distB="0" distL="0" distR="0" wp14:anchorId="419140FF" wp14:editId="0B3E4E0F">
            <wp:extent cx="5731510" cy="2920365"/>
            <wp:effectExtent l="0" t="0" r="2540" b="0"/>
            <wp:docPr id="1215788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78874" name="Picture 121578874"/>
                    <pic:cNvPicPr/>
                  </pic:nvPicPr>
                  <pic:blipFill>
                    <a:blip r:embed="rId8">
                      <a:extLst>
                        <a:ext uri="{28A0092B-C50C-407E-A947-70E740481C1C}">
                          <a14:useLocalDpi xmlns:a14="http://schemas.microsoft.com/office/drawing/2010/main" val="0"/>
                        </a:ext>
                      </a:extLst>
                    </a:blip>
                    <a:stretch>
                      <a:fillRect/>
                    </a:stretch>
                  </pic:blipFill>
                  <pic:spPr>
                    <a:xfrm>
                      <a:off x="0" y="0"/>
                      <a:ext cx="5731510" cy="2920365"/>
                    </a:xfrm>
                    <a:prstGeom prst="rect">
                      <a:avLst/>
                    </a:prstGeom>
                  </pic:spPr>
                </pic:pic>
              </a:graphicData>
            </a:graphic>
          </wp:inline>
        </w:drawing>
      </w:r>
    </w:p>
    <w:p w14:paraId="29AC3B2D" w14:textId="77777777" w:rsidR="00110897" w:rsidRPr="00110897" w:rsidRDefault="00110897" w:rsidP="00110897">
      <w:pPr>
        <w:spacing w:line="360" w:lineRule="auto"/>
        <w:rPr>
          <w:rFonts w:ascii="Arial" w:hAnsi="Arial" w:cs="Arial"/>
          <w:sz w:val="24"/>
          <w:szCs w:val="24"/>
        </w:rPr>
      </w:pPr>
      <w:r w:rsidRPr="00110897">
        <w:rPr>
          <w:rFonts w:ascii="Arial" w:hAnsi="Arial" w:cs="Arial"/>
          <w:sz w:val="24"/>
          <w:szCs w:val="24"/>
        </w:rPr>
        <w:pict w14:anchorId="2CBDB852">
          <v:rect id="_x0000_i1064" style="width:0;height:1.5pt" o:hralign="center" o:hrstd="t" o:hr="t" fillcolor="#a0a0a0" stroked="f"/>
        </w:pict>
      </w:r>
    </w:p>
    <w:p w14:paraId="4F670157" w14:textId="77777777" w:rsidR="00110897" w:rsidRPr="00110897" w:rsidRDefault="00110897" w:rsidP="00110897">
      <w:pPr>
        <w:spacing w:line="360" w:lineRule="auto"/>
        <w:rPr>
          <w:rFonts w:ascii="Arial" w:hAnsi="Arial" w:cs="Arial"/>
          <w:b/>
          <w:bCs/>
          <w:sz w:val="24"/>
          <w:szCs w:val="24"/>
        </w:rPr>
      </w:pPr>
      <w:r w:rsidRPr="00110897">
        <w:rPr>
          <w:rFonts w:ascii="Arial" w:hAnsi="Arial" w:cs="Arial"/>
          <w:b/>
          <w:bCs/>
          <w:sz w:val="24"/>
          <w:szCs w:val="24"/>
        </w:rPr>
        <w:t>Appendix E – Gantt Chart (Marketing Implementation Plan)</w:t>
      </w:r>
    </w:p>
    <w:p w14:paraId="3DAB5832" w14:textId="77777777" w:rsidR="00110897" w:rsidRDefault="00110897" w:rsidP="00110897">
      <w:pPr>
        <w:spacing w:line="360" w:lineRule="auto"/>
        <w:rPr>
          <w:rFonts w:ascii="Arial" w:hAnsi="Arial" w:cs="Arial"/>
          <w:sz w:val="24"/>
          <w:szCs w:val="24"/>
        </w:rPr>
      </w:pPr>
      <w:r w:rsidRPr="00110897">
        <w:rPr>
          <w:rFonts w:ascii="Arial" w:hAnsi="Arial" w:cs="Arial"/>
          <w:b/>
          <w:bCs/>
          <w:sz w:val="24"/>
          <w:szCs w:val="24"/>
        </w:rPr>
        <w:t>Source:</w:t>
      </w:r>
      <w:r w:rsidRPr="00110897">
        <w:rPr>
          <w:rFonts w:ascii="Arial" w:hAnsi="Arial" w:cs="Arial"/>
          <w:sz w:val="24"/>
          <w:szCs w:val="24"/>
        </w:rPr>
        <w:br/>
        <w:t>Developed by the author using Microsoft Excel to visualise the proposed 12-month marketing schedule derived from the SOSTAC Action stage</w:t>
      </w:r>
      <w:r w:rsidRPr="00110897">
        <w:rPr>
          <w:rFonts w:ascii="Arial" w:hAnsi="Arial" w:cs="Arial"/>
          <w:sz w:val="24"/>
          <w:szCs w:val="24"/>
        </w:rPr>
        <w:br/>
        <w:t>(Smith, 2020).</w:t>
      </w:r>
    </w:p>
    <w:p w14:paraId="2F89AC90" w14:textId="5B3F4B65" w:rsidR="00110897" w:rsidRPr="00110897" w:rsidRDefault="00110897" w:rsidP="00110897">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263C432D" wp14:editId="2C8D503D">
            <wp:extent cx="5731510" cy="3438525"/>
            <wp:effectExtent l="0" t="0" r="2540" b="9525"/>
            <wp:docPr id="16400338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33899" name="Picture 1640033899"/>
                    <pic:cNvPicPr/>
                  </pic:nvPicPr>
                  <pic:blipFill>
                    <a:blip r:embed="rId9">
                      <a:extLst>
                        <a:ext uri="{28A0092B-C50C-407E-A947-70E740481C1C}">
                          <a14:useLocalDpi xmlns:a14="http://schemas.microsoft.com/office/drawing/2010/main" val="0"/>
                        </a:ext>
                      </a:extLst>
                    </a:blip>
                    <a:stretch>
                      <a:fillRect/>
                    </a:stretch>
                  </pic:blipFill>
                  <pic:spPr>
                    <a:xfrm>
                      <a:off x="0" y="0"/>
                      <a:ext cx="5731510" cy="3438525"/>
                    </a:xfrm>
                    <a:prstGeom prst="rect">
                      <a:avLst/>
                    </a:prstGeom>
                  </pic:spPr>
                </pic:pic>
              </a:graphicData>
            </a:graphic>
          </wp:inline>
        </w:drawing>
      </w:r>
    </w:p>
    <w:p w14:paraId="71635E16" w14:textId="77777777" w:rsidR="00110897" w:rsidRPr="00110897" w:rsidRDefault="00110897" w:rsidP="00110897">
      <w:pPr>
        <w:spacing w:line="360" w:lineRule="auto"/>
        <w:rPr>
          <w:rFonts w:ascii="Arial" w:hAnsi="Arial" w:cs="Arial"/>
          <w:sz w:val="24"/>
          <w:szCs w:val="24"/>
        </w:rPr>
      </w:pPr>
      <w:r w:rsidRPr="00110897">
        <w:rPr>
          <w:rFonts w:ascii="Arial" w:hAnsi="Arial" w:cs="Arial"/>
          <w:sz w:val="24"/>
          <w:szCs w:val="24"/>
        </w:rPr>
        <w:pict w14:anchorId="0554FB42">
          <v:rect id="_x0000_i1065" style="width:0;height:1.5pt" o:hralign="center" o:hrstd="t" o:hr="t" fillcolor="#a0a0a0" stroked="f"/>
        </w:pict>
      </w:r>
    </w:p>
    <w:p w14:paraId="0C1D6FBA" w14:textId="77777777" w:rsidR="00110897" w:rsidRPr="00110897" w:rsidRDefault="00110897" w:rsidP="00110897">
      <w:pPr>
        <w:spacing w:line="360" w:lineRule="auto"/>
        <w:rPr>
          <w:rFonts w:ascii="Arial" w:hAnsi="Arial" w:cs="Arial"/>
          <w:b/>
          <w:bCs/>
          <w:sz w:val="24"/>
          <w:szCs w:val="24"/>
        </w:rPr>
      </w:pPr>
      <w:r w:rsidRPr="00110897">
        <w:rPr>
          <w:rFonts w:ascii="Arial" w:hAnsi="Arial" w:cs="Arial"/>
          <w:b/>
          <w:bCs/>
          <w:sz w:val="24"/>
          <w:szCs w:val="24"/>
        </w:rPr>
        <w:t>Appendix F – Digital Traffic Analysis (SimilarWeb-style)</w:t>
      </w:r>
    </w:p>
    <w:p w14:paraId="6053DE40" w14:textId="77777777" w:rsidR="00110897" w:rsidRDefault="00110897" w:rsidP="00110897">
      <w:pPr>
        <w:spacing w:line="360" w:lineRule="auto"/>
        <w:rPr>
          <w:rFonts w:ascii="Arial" w:hAnsi="Arial" w:cs="Arial"/>
          <w:sz w:val="24"/>
          <w:szCs w:val="24"/>
        </w:rPr>
      </w:pPr>
      <w:r w:rsidRPr="00110897">
        <w:rPr>
          <w:rFonts w:ascii="Arial" w:hAnsi="Arial" w:cs="Arial"/>
          <w:b/>
          <w:bCs/>
          <w:sz w:val="24"/>
          <w:szCs w:val="24"/>
        </w:rPr>
        <w:t>Source:</w:t>
      </w:r>
      <w:r w:rsidRPr="00110897">
        <w:rPr>
          <w:rFonts w:ascii="Arial" w:hAnsi="Arial" w:cs="Arial"/>
          <w:sz w:val="24"/>
          <w:szCs w:val="24"/>
        </w:rPr>
        <w:br/>
        <w:t>Adapted from SimilarWeb analytics framework and industry benchmarks. Data is illustrative and used for academic purposes only</w:t>
      </w:r>
      <w:r w:rsidRPr="00110897">
        <w:rPr>
          <w:rFonts w:ascii="Arial" w:hAnsi="Arial" w:cs="Arial"/>
          <w:sz w:val="24"/>
          <w:szCs w:val="24"/>
        </w:rPr>
        <w:br/>
        <w:t>(SimilarWeb, 2024).</w:t>
      </w:r>
    </w:p>
    <w:p w14:paraId="334C387C" w14:textId="73D8C73D" w:rsidR="00110897" w:rsidRPr="00110897" w:rsidRDefault="00110897" w:rsidP="00110897">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5E605EBA" wp14:editId="0FCF30EA">
            <wp:extent cx="5731510" cy="3874770"/>
            <wp:effectExtent l="0" t="0" r="2540" b="0"/>
            <wp:docPr id="11061234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123401" name="Picture 1106123401"/>
                    <pic:cNvPicPr/>
                  </pic:nvPicPr>
                  <pic:blipFill>
                    <a:blip r:embed="rId10">
                      <a:extLst>
                        <a:ext uri="{28A0092B-C50C-407E-A947-70E740481C1C}">
                          <a14:useLocalDpi xmlns:a14="http://schemas.microsoft.com/office/drawing/2010/main" val="0"/>
                        </a:ext>
                      </a:extLst>
                    </a:blip>
                    <a:stretch>
                      <a:fillRect/>
                    </a:stretch>
                  </pic:blipFill>
                  <pic:spPr>
                    <a:xfrm>
                      <a:off x="0" y="0"/>
                      <a:ext cx="5731510" cy="3874770"/>
                    </a:xfrm>
                    <a:prstGeom prst="rect">
                      <a:avLst/>
                    </a:prstGeom>
                  </pic:spPr>
                </pic:pic>
              </a:graphicData>
            </a:graphic>
          </wp:inline>
        </w:drawing>
      </w:r>
    </w:p>
    <w:p w14:paraId="0C82397C" w14:textId="77777777" w:rsidR="00110897" w:rsidRPr="00110897" w:rsidRDefault="00110897" w:rsidP="00110897">
      <w:pPr>
        <w:spacing w:line="360" w:lineRule="auto"/>
        <w:rPr>
          <w:rFonts w:ascii="Arial" w:hAnsi="Arial" w:cs="Arial"/>
          <w:sz w:val="24"/>
          <w:szCs w:val="24"/>
        </w:rPr>
      </w:pPr>
      <w:r w:rsidRPr="00110897">
        <w:rPr>
          <w:rFonts w:ascii="Arial" w:hAnsi="Arial" w:cs="Arial"/>
          <w:sz w:val="24"/>
          <w:szCs w:val="24"/>
        </w:rPr>
        <w:pict w14:anchorId="2837C1CF">
          <v:rect id="_x0000_i1066" style="width:0;height:1.5pt" o:hralign="center" o:hrstd="t" o:hr="t" fillcolor="#a0a0a0" stroked="f"/>
        </w:pict>
      </w:r>
    </w:p>
    <w:p w14:paraId="7AE403AA" w14:textId="77777777" w:rsidR="00110897" w:rsidRPr="00110897" w:rsidRDefault="00110897" w:rsidP="00110897">
      <w:pPr>
        <w:spacing w:line="360" w:lineRule="auto"/>
        <w:rPr>
          <w:rFonts w:ascii="Arial" w:hAnsi="Arial" w:cs="Arial"/>
          <w:b/>
          <w:bCs/>
          <w:sz w:val="24"/>
          <w:szCs w:val="24"/>
        </w:rPr>
      </w:pPr>
      <w:r w:rsidRPr="00110897">
        <w:rPr>
          <w:rFonts w:ascii="Arial" w:hAnsi="Arial" w:cs="Arial"/>
          <w:b/>
          <w:bCs/>
          <w:sz w:val="24"/>
          <w:szCs w:val="24"/>
        </w:rPr>
        <w:t>Appendix G – Target Customer Persona</w:t>
      </w:r>
    </w:p>
    <w:p w14:paraId="186D84C0" w14:textId="77777777" w:rsidR="00110897" w:rsidRDefault="00110897" w:rsidP="00110897">
      <w:pPr>
        <w:spacing w:line="360" w:lineRule="auto"/>
        <w:rPr>
          <w:rFonts w:ascii="Arial" w:hAnsi="Arial" w:cs="Arial"/>
          <w:sz w:val="24"/>
          <w:szCs w:val="24"/>
        </w:rPr>
      </w:pPr>
      <w:r w:rsidRPr="00110897">
        <w:rPr>
          <w:rFonts w:ascii="Arial" w:hAnsi="Arial" w:cs="Arial"/>
          <w:b/>
          <w:bCs/>
          <w:sz w:val="24"/>
          <w:szCs w:val="24"/>
        </w:rPr>
        <w:t>Source:</w:t>
      </w:r>
      <w:r w:rsidRPr="00110897">
        <w:rPr>
          <w:rFonts w:ascii="Arial" w:hAnsi="Arial" w:cs="Arial"/>
          <w:sz w:val="24"/>
          <w:szCs w:val="24"/>
        </w:rPr>
        <w:br/>
        <w:t>Persona developed by the author based on demographic and psychographic profiling, informed by generational marketing theory and social media usage trends</w:t>
      </w:r>
      <w:r w:rsidRPr="00110897">
        <w:rPr>
          <w:rFonts w:ascii="Arial" w:hAnsi="Arial" w:cs="Arial"/>
          <w:sz w:val="24"/>
          <w:szCs w:val="24"/>
        </w:rPr>
        <w:br/>
        <w:t>(Statista, 2024; Solomon, 2023).</w:t>
      </w:r>
    </w:p>
    <w:p w14:paraId="417218F2" w14:textId="4B7CABB8" w:rsidR="00110897" w:rsidRPr="00110897" w:rsidRDefault="00110897" w:rsidP="00110897">
      <w:pPr>
        <w:spacing w:line="360" w:lineRule="auto"/>
        <w:rPr>
          <w:rFonts w:ascii="Arial" w:hAnsi="Arial" w:cs="Arial"/>
          <w:sz w:val="24"/>
          <w:szCs w:val="24"/>
        </w:rPr>
      </w:pPr>
      <w:r w:rsidRPr="00110897">
        <w:rPr>
          <w:rFonts w:ascii="Arial" w:hAnsi="Arial" w:cs="Arial"/>
          <w:noProof/>
          <w:sz w:val="24"/>
          <w:szCs w:val="24"/>
        </w:rPr>
        <w:lastRenderedPageBreak/>
        <w:drawing>
          <wp:inline distT="0" distB="0" distL="0" distR="0" wp14:anchorId="08D48159" wp14:editId="6072575D">
            <wp:extent cx="4709568" cy="4732430"/>
            <wp:effectExtent l="0" t="0" r="0" b="0"/>
            <wp:docPr id="12676661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66190" name="Picture 1267666190"/>
                    <pic:cNvPicPr/>
                  </pic:nvPicPr>
                  <pic:blipFill>
                    <a:blip r:embed="rId11">
                      <a:extLst>
                        <a:ext uri="{28A0092B-C50C-407E-A947-70E740481C1C}">
                          <a14:useLocalDpi xmlns:a14="http://schemas.microsoft.com/office/drawing/2010/main" val="0"/>
                        </a:ext>
                      </a:extLst>
                    </a:blip>
                    <a:stretch>
                      <a:fillRect/>
                    </a:stretch>
                  </pic:blipFill>
                  <pic:spPr>
                    <a:xfrm>
                      <a:off x="0" y="0"/>
                      <a:ext cx="4709568" cy="4732430"/>
                    </a:xfrm>
                    <a:prstGeom prst="rect">
                      <a:avLst/>
                    </a:prstGeom>
                  </pic:spPr>
                </pic:pic>
              </a:graphicData>
            </a:graphic>
          </wp:inline>
        </w:drawing>
      </w:r>
    </w:p>
    <w:p w14:paraId="6D629006" w14:textId="77777777" w:rsidR="00110897" w:rsidRPr="00DF1CBA" w:rsidRDefault="00110897" w:rsidP="00DF1CBA">
      <w:pPr>
        <w:spacing w:line="360" w:lineRule="auto"/>
        <w:rPr>
          <w:rFonts w:ascii="Arial" w:hAnsi="Arial" w:cs="Arial"/>
          <w:sz w:val="24"/>
          <w:szCs w:val="24"/>
        </w:rPr>
      </w:pPr>
    </w:p>
    <w:sectPr w:rsidR="00110897" w:rsidRPr="00DF1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07D99"/>
    <w:multiLevelType w:val="multilevel"/>
    <w:tmpl w:val="717E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7548B3"/>
    <w:multiLevelType w:val="multilevel"/>
    <w:tmpl w:val="861EA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502B7"/>
    <w:multiLevelType w:val="multilevel"/>
    <w:tmpl w:val="A4106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4318C"/>
    <w:multiLevelType w:val="multilevel"/>
    <w:tmpl w:val="EDFA2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762BDC"/>
    <w:multiLevelType w:val="multilevel"/>
    <w:tmpl w:val="9FBA2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7175AB"/>
    <w:multiLevelType w:val="multilevel"/>
    <w:tmpl w:val="F796E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0645BE"/>
    <w:multiLevelType w:val="multilevel"/>
    <w:tmpl w:val="B0ECF0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22FE4"/>
    <w:multiLevelType w:val="multilevel"/>
    <w:tmpl w:val="E2DA7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D35A06"/>
    <w:multiLevelType w:val="multilevel"/>
    <w:tmpl w:val="CAA80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79352C"/>
    <w:multiLevelType w:val="multilevel"/>
    <w:tmpl w:val="16EA7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AD0BE7"/>
    <w:multiLevelType w:val="multilevel"/>
    <w:tmpl w:val="BD5A9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983B10"/>
    <w:multiLevelType w:val="multilevel"/>
    <w:tmpl w:val="251E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835CED"/>
    <w:multiLevelType w:val="multilevel"/>
    <w:tmpl w:val="92C29F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01502F"/>
    <w:multiLevelType w:val="multilevel"/>
    <w:tmpl w:val="B7FA6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0772B9"/>
    <w:multiLevelType w:val="multilevel"/>
    <w:tmpl w:val="D818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2F3C2C"/>
    <w:multiLevelType w:val="multilevel"/>
    <w:tmpl w:val="2346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D6345B"/>
    <w:multiLevelType w:val="multilevel"/>
    <w:tmpl w:val="8FEA9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FB6C99"/>
    <w:multiLevelType w:val="multilevel"/>
    <w:tmpl w:val="0052A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4595838">
    <w:abstractNumId w:val="3"/>
  </w:num>
  <w:num w:numId="2" w16cid:durableId="2071690617">
    <w:abstractNumId w:val="8"/>
  </w:num>
  <w:num w:numId="3" w16cid:durableId="1423605011">
    <w:abstractNumId w:val="14"/>
  </w:num>
  <w:num w:numId="4" w16cid:durableId="438305641">
    <w:abstractNumId w:val="1"/>
  </w:num>
  <w:num w:numId="5" w16cid:durableId="1345743315">
    <w:abstractNumId w:val="4"/>
  </w:num>
  <w:num w:numId="6" w16cid:durableId="2137946942">
    <w:abstractNumId w:val="2"/>
  </w:num>
  <w:num w:numId="7" w16cid:durableId="2082361598">
    <w:abstractNumId w:val="13"/>
  </w:num>
  <w:num w:numId="8" w16cid:durableId="1791051365">
    <w:abstractNumId w:val="12"/>
  </w:num>
  <w:num w:numId="9" w16cid:durableId="790437746">
    <w:abstractNumId w:val="15"/>
  </w:num>
  <w:num w:numId="10" w16cid:durableId="570585616">
    <w:abstractNumId w:val="0"/>
  </w:num>
  <w:num w:numId="11" w16cid:durableId="486822158">
    <w:abstractNumId w:val="7"/>
  </w:num>
  <w:num w:numId="12" w16cid:durableId="1233856276">
    <w:abstractNumId w:val="9"/>
  </w:num>
  <w:num w:numId="13" w16cid:durableId="1796218557">
    <w:abstractNumId w:val="16"/>
  </w:num>
  <w:num w:numId="14" w16cid:durableId="1557232225">
    <w:abstractNumId w:val="17"/>
  </w:num>
  <w:num w:numId="15" w16cid:durableId="657542783">
    <w:abstractNumId w:val="10"/>
  </w:num>
  <w:num w:numId="16" w16cid:durableId="833422186">
    <w:abstractNumId w:val="5"/>
  </w:num>
  <w:num w:numId="17" w16cid:durableId="1197308107">
    <w:abstractNumId w:val="6"/>
  </w:num>
  <w:num w:numId="18" w16cid:durableId="176307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CBA"/>
    <w:rsid w:val="00025E14"/>
    <w:rsid w:val="00085B1D"/>
    <w:rsid w:val="00092014"/>
    <w:rsid w:val="000C410E"/>
    <w:rsid w:val="00110897"/>
    <w:rsid w:val="00152C3A"/>
    <w:rsid w:val="001A043A"/>
    <w:rsid w:val="0024647B"/>
    <w:rsid w:val="00347EF5"/>
    <w:rsid w:val="00352038"/>
    <w:rsid w:val="003D3BDB"/>
    <w:rsid w:val="00444BAD"/>
    <w:rsid w:val="005B15E4"/>
    <w:rsid w:val="00687F42"/>
    <w:rsid w:val="00703F0C"/>
    <w:rsid w:val="00752331"/>
    <w:rsid w:val="007641AE"/>
    <w:rsid w:val="00803E36"/>
    <w:rsid w:val="008115D7"/>
    <w:rsid w:val="008438E4"/>
    <w:rsid w:val="008557B0"/>
    <w:rsid w:val="00857111"/>
    <w:rsid w:val="00907505"/>
    <w:rsid w:val="009F2E25"/>
    <w:rsid w:val="00A26628"/>
    <w:rsid w:val="00A73714"/>
    <w:rsid w:val="00AB38B9"/>
    <w:rsid w:val="00BE370C"/>
    <w:rsid w:val="00C42B77"/>
    <w:rsid w:val="00C55CA2"/>
    <w:rsid w:val="00D14684"/>
    <w:rsid w:val="00D4794B"/>
    <w:rsid w:val="00D84D61"/>
    <w:rsid w:val="00D92202"/>
    <w:rsid w:val="00DF0ED5"/>
    <w:rsid w:val="00DF1CBA"/>
    <w:rsid w:val="00F07F1B"/>
    <w:rsid w:val="00F60B68"/>
    <w:rsid w:val="00F616C7"/>
    <w:rsid w:val="00FC2848"/>
    <w:rsid w:val="00FE6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6CF42"/>
  <w15:chartTrackingRefBased/>
  <w15:docId w15:val="{9EBB443D-2AE6-4E9C-9E92-71CA8765D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C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1C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1C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1C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1C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1C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C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C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C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C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F1C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F1C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1C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F1C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F1C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C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C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CBA"/>
    <w:rPr>
      <w:rFonts w:eastAsiaTheme="majorEastAsia" w:cstheme="majorBidi"/>
      <w:color w:val="272727" w:themeColor="text1" w:themeTint="D8"/>
    </w:rPr>
  </w:style>
  <w:style w:type="paragraph" w:styleId="Title">
    <w:name w:val="Title"/>
    <w:basedOn w:val="Normal"/>
    <w:next w:val="Normal"/>
    <w:link w:val="TitleChar"/>
    <w:uiPriority w:val="10"/>
    <w:qFormat/>
    <w:rsid w:val="00DF1C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C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C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C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CBA"/>
    <w:pPr>
      <w:spacing w:before="160"/>
      <w:jc w:val="center"/>
    </w:pPr>
    <w:rPr>
      <w:i/>
      <w:iCs/>
      <w:color w:val="404040" w:themeColor="text1" w:themeTint="BF"/>
    </w:rPr>
  </w:style>
  <w:style w:type="character" w:customStyle="1" w:styleId="QuoteChar">
    <w:name w:val="Quote Char"/>
    <w:basedOn w:val="DefaultParagraphFont"/>
    <w:link w:val="Quote"/>
    <w:uiPriority w:val="29"/>
    <w:rsid w:val="00DF1CBA"/>
    <w:rPr>
      <w:i/>
      <w:iCs/>
      <w:color w:val="404040" w:themeColor="text1" w:themeTint="BF"/>
    </w:rPr>
  </w:style>
  <w:style w:type="paragraph" w:styleId="ListParagraph">
    <w:name w:val="List Paragraph"/>
    <w:basedOn w:val="Normal"/>
    <w:uiPriority w:val="34"/>
    <w:qFormat/>
    <w:rsid w:val="00DF1CBA"/>
    <w:pPr>
      <w:ind w:left="720"/>
      <w:contextualSpacing/>
    </w:pPr>
  </w:style>
  <w:style w:type="character" w:styleId="IntenseEmphasis">
    <w:name w:val="Intense Emphasis"/>
    <w:basedOn w:val="DefaultParagraphFont"/>
    <w:uiPriority w:val="21"/>
    <w:qFormat/>
    <w:rsid w:val="00DF1CBA"/>
    <w:rPr>
      <w:i/>
      <w:iCs/>
      <w:color w:val="2F5496" w:themeColor="accent1" w:themeShade="BF"/>
    </w:rPr>
  </w:style>
  <w:style w:type="paragraph" w:styleId="IntenseQuote">
    <w:name w:val="Intense Quote"/>
    <w:basedOn w:val="Normal"/>
    <w:next w:val="Normal"/>
    <w:link w:val="IntenseQuoteChar"/>
    <w:uiPriority w:val="30"/>
    <w:qFormat/>
    <w:rsid w:val="00DF1C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1CBA"/>
    <w:rPr>
      <w:i/>
      <w:iCs/>
      <w:color w:val="2F5496" w:themeColor="accent1" w:themeShade="BF"/>
    </w:rPr>
  </w:style>
  <w:style w:type="character" w:styleId="IntenseReference">
    <w:name w:val="Intense Reference"/>
    <w:basedOn w:val="DefaultParagraphFont"/>
    <w:uiPriority w:val="32"/>
    <w:qFormat/>
    <w:rsid w:val="00DF1CB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TotalTime>
  <Pages>25</Pages>
  <Words>5281</Words>
  <Characters>30102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19</cp:revision>
  <dcterms:created xsi:type="dcterms:W3CDTF">2026-01-23T04:59:00Z</dcterms:created>
  <dcterms:modified xsi:type="dcterms:W3CDTF">2026-01-23T23:55:00Z</dcterms:modified>
</cp:coreProperties>
</file>