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99726" w14:textId="77777777" w:rsidR="00184332" w:rsidRDefault="00184332" w:rsidP="00184332">
      <w:pPr>
        <w:spacing w:line="360" w:lineRule="auto"/>
        <w:rPr>
          <w:rFonts w:ascii="Arial" w:hAnsi="Arial" w:cs="Arial"/>
          <w:sz w:val="22"/>
          <w:szCs w:val="22"/>
        </w:rPr>
      </w:pPr>
      <w:r w:rsidRPr="00A406E5">
        <w:rPr>
          <w:rFonts w:ascii="Arial" w:hAnsi="Arial" w:cs="Arial"/>
          <w:noProof/>
        </w:rPr>
        <w:drawing>
          <wp:anchor distT="0" distB="0" distL="114300" distR="114300" simplePos="0" relativeHeight="251659264" behindDoc="0" locked="0" layoutInCell="1" allowOverlap="1" wp14:anchorId="0B0676F1" wp14:editId="120DBA32">
            <wp:simplePos x="0" y="0"/>
            <wp:positionH relativeFrom="margin">
              <wp:posOffset>0</wp:posOffset>
            </wp:positionH>
            <wp:positionV relativeFrom="paragraph">
              <wp:posOffset>342900</wp:posOffset>
            </wp:positionV>
            <wp:extent cx="2162175" cy="7239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162175" cy="723900"/>
                    </a:xfrm>
                    <a:prstGeom prst="rect">
                      <a:avLst/>
                    </a:prstGeom>
                    <a:noFill/>
                    <a:ln>
                      <a:noFill/>
                    </a:ln>
                  </pic:spPr>
                </pic:pic>
              </a:graphicData>
            </a:graphic>
            <wp14:sizeRelH relativeFrom="margin">
              <wp14:pctWidth>0</wp14:pctWidth>
            </wp14:sizeRelH>
          </wp:anchor>
        </w:drawing>
      </w:r>
    </w:p>
    <w:p w14:paraId="295875B5" w14:textId="77777777" w:rsidR="00184332" w:rsidRDefault="00184332" w:rsidP="00184332">
      <w:pPr>
        <w:spacing w:line="360" w:lineRule="auto"/>
        <w:rPr>
          <w:rFonts w:ascii="Arial" w:hAnsi="Arial" w:cs="Arial"/>
          <w:sz w:val="22"/>
          <w:szCs w:val="22"/>
        </w:rPr>
      </w:pPr>
    </w:p>
    <w:p w14:paraId="41A85F9E" w14:textId="77777777" w:rsidR="00184332" w:rsidRDefault="00184332" w:rsidP="00184332">
      <w:pPr>
        <w:spacing w:line="360" w:lineRule="auto"/>
        <w:rPr>
          <w:rFonts w:ascii="Arial" w:hAnsi="Arial" w:cs="Arial"/>
          <w:sz w:val="22"/>
          <w:szCs w:val="22"/>
        </w:rPr>
      </w:pPr>
    </w:p>
    <w:p w14:paraId="73691972" w14:textId="77777777" w:rsidR="00184332" w:rsidRDefault="00184332" w:rsidP="00184332">
      <w:pPr>
        <w:spacing w:line="360" w:lineRule="auto"/>
        <w:rPr>
          <w:rFonts w:ascii="Arial" w:hAnsi="Arial" w:cs="Arial"/>
          <w:sz w:val="22"/>
          <w:szCs w:val="22"/>
        </w:rPr>
      </w:pPr>
    </w:p>
    <w:p w14:paraId="22021D95" w14:textId="77777777" w:rsidR="00184332" w:rsidRDefault="00184332" w:rsidP="00184332">
      <w:pPr>
        <w:spacing w:line="360" w:lineRule="auto"/>
        <w:rPr>
          <w:rFonts w:ascii="Arial" w:hAnsi="Arial" w:cs="Arial"/>
          <w:sz w:val="22"/>
          <w:szCs w:val="22"/>
        </w:rPr>
      </w:pPr>
    </w:p>
    <w:p w14:paraId="463597A6" w14:textId="2332675A" w:rsidR="00184332" w:rsidRPr="0094090F" w:rsidRDefault="00D07FA2" w:rsidP="0094090F">
      <w:pPr>
        <w:spacing w:line="360" w:lineRule="auto"/>
        <w:rPr>
          <w:rFonts w:ascii="Arial" w:hAnsi="Arial" w:cs="Arial"/>
          <w:b/>
          <w:bCs/>
          <w:sz w:val="36"/>
          <w:szCs w:val="36"/>
        </w:rPr>
      </w:pPr>
      <w:r w:rsidRPr="0094090F">
        <w:rPr>
          <w:rFonts w:ascii="Arial" w:hAnsi="Arial" w:cs="Arial"/>
          <w:b/>
          <w:bCs/>
          <w:sz w:val="36"/>
          <w:szCs w:val="36"/>
        </w:rPr>
        <w:t>The Role of Emotional Intelligence and Mindfulness in Enhancing Workplace Effectiveness and Managing Generational Diversity</w:t>
      </w:r>
    </w:p>
    <w:p w14:paraId="11078FD4" w14:textId="77777777" w:rsidR="00184332" w:rsidRPr="0094090F" w:rsidRDefault="00184332" w:rsidP="0094090F">
      <w:pPr>
        <w:spacing w:line="360" w:lineRule="auto"/>
        <w:rPr>
          <w:rFonts w:ascii="Arial" w:hAnsi="Arial" w:cs="Arial"/>
          <w:sz w:val="36"/>
          <w:szCs w:val="36"/>
        </w:rPr>
      </w:pPr>
    </w:p>
    <w:p w14:paraId="6A25674B" w14:textId="77777777" w:rsidR="00184332" w:rsidRPr="0094090F" w:rsidRDefault="00184332" w:rsidP="0094090F">
      <w:pPr>
        <w:spacing w:line="360" w:lineRule="auto"/>
        <w:rPr>
          <w:rFonts w:ascii="Arial" w:hAnsi="Arial" w:cs="Arial"/>
          <w:sz w:val="36"/>
          <w:szCs w:val="36"/>
        </w:rPr>
      </w:pPr>
    </w:p>
    <w:p w14:paraId="37F899B0" w14:textId="77777777" w:rsidR="00184332" w:rsidRPr="0094090F" w:rsidRDefault="00184332" w:rsidP="0094090F">
      <w:pPr>
        <w:spacing w:line="360" w:lineRule="auto"/>
        <w:rPr>
          <w:rFonts w:ascii="Arial" w:hAnsi="Arial" w:cs="Arial"/>
          <w:sz w:val="36"/>
          <w:szCs w:val="36"/>
        </w:rPr>
      </w:pPr>
    </w:p>
    <w:p w14:paraId="572CCEED" w14:textId="77777777" w:rsidR="00184332" w:rsidRPr="0094090F" w:rsidRDefault="00184332" w:rsidP="0094090F">
      <w:pPr>
        <w:spacing w:line="360" w:lineRule="auto"/>
        <w:rPr>
          <w:rFonts w:ascii="Arial" w:hAnsi="Arial" w:cs="Arial"/>
          <w:sz w:val="36"/>
          <w:szCs w:val="36"/>
        </w:rPr>
      </w:pPr>
    </w:p>
    <w:p w14:paraId="6D0B39B4" w14:textId="199DACE6" w:rsidR="00184332" w:rsidRPr="0094090F" w:rsidRDefault="00184332" w:rsidP="0094090F">
      <w:pPr>
        <w:spacing w:line="360" w:lineRule="auto"/>
        <w:rPr>
          <w:rFonts w:ascii="Arial" w:hAnsi="Arial" w:cs="Arial"/>
          <w:b/>
          <w:bCs/>
          <w:sz w:val="36"/>
          <w:szCs w:val="36"/>
        </w:rPr>
      </w:pPr>
      <w:r w:rsidRPr="0094090F">
        <w:rPr>
          <w:rFonts w:ascii="Arial" w:hAnsi="Arial" w:cs="Arial"/>
          <w:b/>
          <w:bCs/>
          <w:sz w:val="36"/>
          <w:szCs w:val="36"/>
        </w:rPr>
        <w:t xml:space="preserve">Module: </w:t>
      </w:r>
      <w:r w:rsidR="000571A3" w:rsidRPr="0094090F">
        <w:rPr>
          <w:rFonts w:ascii="Arial" w:hAnsi="Arial" w:cs="Arial"/>
          <w:b/>
          <w:sz w:val="36"/>
          <w:szCs w:val="36"/>
        </w:rPr>
        <w:t>LCLM5006</w:t>
      </w:r>
      <w:r w:rsidRPr="0094090F">
        <w:rPr>
          <w:rFonts w:ascii="Arial" w:hAnsi="Arial" w:cs="Arial"/>
          <w:b/>
          <w:bCs/>
          <w:sz w:val="36"/>
          <w:szCs w:val="36"/>
        </w:rPr>
        <w:t xml:space="preserve"> – </w:t>
      </w:r>
      <w:r w:rsidR="00142230" w:rsidRPr="0094090F">
        <w:rPr>
          <w:rFonts w:ascii="Arial" w:eastAsia="Times New Roman" w:hAnsi="Arial" w:cs="Arial"/>
          <w:b/>
          <w:sz w:val="36"/>
          <w:szCs w:val="36"/>
        </w:rPr>
        <w:t xml:space="preserve">Developing Emotional Intelligence Skills  </w:t>
      </w:r>
    </w:p>
    <w:p w14:paraId="62B1A5E6" w14:textId="2032AF73" w:rsidR="00184332" w:rsidRPr="0094090F" w:rsidRDefault="00184332" w:rsidP="0094090F">
      <w:pPr>
        <w:spacing w:line="360" w:lineRule="auto"/>
        <w:rPr>
          <w:rFonts w:ascii="Arial" w:hAnsi="Arial" w:cs="Arial"/>
          <w:b/>
          <w:bCs/>
          <w:sz w:val="36"/>
          <w:szCs w:val="36"/>
        </w:rPr>
      </w:pPr>
      <w:r w:rsidRPr="0094090F">
        <w:rPr>
          <w:rFonts w:ascii="Arial" w:hAnsi="Arial" w:cs="Arial"/>
          <w:b/>
          <w:bCs/>
          <w:sz w:val="36"/>
          <w:szCs w:val="36"/>
        </w:rPr>
        <w:t xml:space="preserve">Lecturer: </w:t>
      </w:r>
      <w:r w:rsidR="00767C5D" w:rsidRPr="0094090F">
        <w:rPr>
          <w:rFonts w:ascii="Arial" w:hAnsi="Arial" w:cs="Arial"/>
          <w:b/>
          <w:bCs/>
          <w:sz w:val="36"/>
          <w:szCs w:val="36"/>
        </w:rPr>
        <w:t>Abdallah Naser</w:t>
      </w:r>
    </w:p>
    <w:p w14:paraId="54365DF7" w14:textId="77777777" w:rsidR="00184332" w:rsidRPr="0094090F" w:rsidRDefault="00184332" w:rsidP="0094090F">
      <w:pPr>
        <w:spacing w:line="360" w:lineRule="auto"/>
        <w:rPr>
          <w:rFonts w:ascii="Arial" w:hAnsi="Arial" w:cs="Arial"/>
          <w:b/>
          <w:bCs/>
          <w:sz w:val="36"/>
          <w:szCs w:val="36"/>
        </w:rPr>
      </w:pPr>
      <w:r w:rsidRPr="0094090F">
        <w:rPr>
          <w:rFonts w:ascii="Arial" w:hAnsi="Arial" w:cs="Arial"/>
          <w:b/>
          <w:bCs/>
          <w:sz w:val="36"/>
          <w:szCs w:val="36"/>
        </w:rPr>
        <w:t xml:space="preserve">Student Name &amp; ID: Amalia </w:t>
      </w:r>
      <w:proofErr w:type="spellStart"/>
      <w:r w:rsidRPr="0094090F">
        <w:rPr>
          <w:rFonts w:ascii="Arial" w:hAnsi="Arial" w:cs="Arial"/>
          <w:b/>
          <w:bCs/>
          <w:sz w:val="36"/>
          <w:szCs w:val="36"/>
        </w:rPr>
        <w:t>Terente</w:t>
      </w:r>
      <w:proofErr w:type="spellEnd"/>
      <w:r w:rsidRPr="0094090F">
        <w:rPr>
          <w:rFonts w:ascii="Arial" w:hAnsi="Arial" w:cs="Arial"/>
          <w:b/>
          <w:bCs/>
          <w:sz w:val="36"/>
          <w:szCs w:val="36"/>
        </w:rPr>
        <w:t xml:space="preserve"> 2329447</w:t>
      </w:r>
    </w:p>
    <w:p w14:paraId="44BFBEC5" w14:textId="54EF120C" w:rsidR="00184332" w:rsidRPr="0094090F" w:rsidRDefault="00184332" w:rsidP="0094090F">
      <w:pPr>
        <w:spacing w:line="360" w:lineRule="auto"/>
        <w:rPr>
          <w:rFonts w:ascii="Arial" w:hAnsi="Arial" w:cs="Arial"/>
          <w:b/>
          <w:bCs/>
          <w:sz w:val="36"/>
          <w:szCs w:val="36"/>
        </w:rPr>
      </w:pPr>
      <w:r w:rsidRPr="0094090F">
        <w:rPr>
          <w:rFonts w:ascii="Arial" w:hAnsi="Arial" w:cs="Arial"/>
          <w:b/>
          <w:bCs/>
          <w:sz w:val="36"/>
          <w:szCs w:val="36"/>
        </w:rPr>
        <w:t xml:space="preserve">Date: </w:t>
      </w:r>
      <w:r w:rsidR="00767C5D" w:rsidRPr="0094090F">
        <w:rPr>
          <w:rFonts w:ascii="Arial" w:hAnsi="Arial" w:cs="Arial"/>
          <w:b/>
          <w:bCs/>
          <w:sz w:val="36"/>
          <w:szCs w:val="36"/>
        </w:rPr>
        <w:t>22</w:t>
      </w:r>
      <w:r w:rsidRPr="0094090F">
        <w:rPr>
          <w:rFonts w:ascii="Arial" w:hAnsi="Arial" w:cs="Arial"/>
          <w:b/>
          <w:bCs/>
          <w:sz w:val="36"/>
          <w:szCs w:val="36"/>
        </w:rPr>
        <w:t>.03.0206</w:t>
      </w:r>
    </w:p>
    <w:p w14:paraId="00DF1F07" w14:textId="77777777" w:rsidR="00184332" w:rsidRPr="0094090F" w:rsidRDefault="00184332" w:rsidP="0094090F">
      <w:pPr>
        <w:spacing w:line="360" w:lineRule="auto"/>
        <w:rPr>
          <w:rFonts w:ascii="Arial" w:hAnsi="Arial" w:cs="Arial"/>
        </w:rPr>
      </w:pPr>
    </w:p>
    <w:p w14:paraId="01EC9C06" w14:textId="77777777" w:rsidR="00184332" w:rsidRPr="0094090F" w:rsidRDefault="00184332" w:rsidP="0094090F">
      <w:pPr>
        <w:spacing w:line="360" w:lineRule="auto"/>
        <w:rPr>
          <w:rFonts w:ascii="Arial" w:hAnsi="Arial" w:cs="Arial"/>
        </w:rPr>
      </w:pPr>
    </w:p>
    <w:sdt>
      <w:sdtPr>
        <w:id w:val="-1128388531"/>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2B56C703" w14:textId="4FC89DEE" w:rsidR="000E23EC" w:rsidRDefault="000E23EC">
          <w:pPr>
            <w:pStyle w:val="TOCHeading"/>
          </w:pPr>
          <w:r>
            <w:t>Table of Contents</w:t>
          </w:r>
        </w:p>
        <w:p w14:paraId="2AC52AA9" w14:textId="32466F5A" w:rsidR="00777CE1" w:rsidRDefault="000E23E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5097618" w:history="1">
            <w:r w:rsidR="00777CE1" w:rsidRPr="005C0958">
              <w:rPr>
                <w:rStyle w:val="Hyperlink"/>
                <w:noProof/>
              </w:rPr>
              <w:t>Introduction</w:t>
            </w:r>
            <w:r w:rsidR="00777CE1">
              <w:rPr>
                <w:noProof/>
                <w:webHidden/>
              </w:rPr>
              <w:tab/>
            </w:r>
            <w:r w:rsidR="00777CE1">
              <w:rPr>
                <w:noProof/>
                <w:webHidden/>
              </w:rPr>
              <w:fldChar w:fldCharType="begin"/>
            </w:r>
            <w:r w:rsidR="00777CE1">
              <w:rPr>
                <w:noProof/>
                <w:webHidden/>
              </w:rPr>
              <w:instrText xml:space="preserve"> PAGEREF _Toc225097618 \h </w:instrText>
            </w:r>
            <w:r w:rsidR="00777CE1">
              <w:rPr>
                <w:noProof/>
                <w:webHidden/>
              </w:rPr>
            </w:r>
            <w:r w:rsidR="00777CE1">
              <w:rPr>
                <w:noProof/>
                <w:webHidden/>
              </w:rPr>
              <w:fldChar w:fldCharType="separate"/>
            </w:r>
            <w:r w:rsidR="00777CE1">
              <w:rPr>
                <w:noProof/>
                <w:webHidden/>
              </w:rPr>
              <w:t>3</w:t>
            </w:r>
            <w:r w:rsidR="00777CE1">
              <w:rPr>
                <w:noProof/>
                <w:webHidden/>
              </w:rPr>
              <w:fldChar w:fldCharType="end"/>
            </w:r>
          </w:hyperlink>
        </w:p>
        <w:p w14:paraId="690264BE" w14:textId="26C7FDAB" w:rsidR="00777CE1" w:rsidRDefault="00777CE1">
          <w:pPr>
            <w:pStyle w:val="TOC1"/>
            <w:tabs>
              <w:tab w:val="right" w:leader="dot" w:pos="9350"/>
            </w:tabs>
            <w:rPr>
              <w:rFonts w:eastAsiaTheme="minorEastAsia"/>
              <w:noProof/>
            </w:rPr>
          </w:pPr>
          <w:hyperlink w:anchor="_Toc225097619" w:history="1">
            <w:r w:rsidRPr="005C0958">
              <w:rPr>
                <w:rStyle w:val="Hyperlink"/>
                <w:noProof/>
              </w:rPr>
              <w:t>Critical Evaluation of Emotional Intelligence in the Workplace</w:t>
            </w:r>
            <w:r>
              <w:rPr>
                <w:noProof/>
                <w:webHidden/>
              </w:rPr>
              <w:tab/>
            </w:r>
            <w:r>
              <w:rPr>
                <w:noProof/>
                <w:webHidden/>
              </w:rPr>
              <w:fldChar w:fldCharType="begin"/>
            </w:r>
            <w:r>
              <w:rPr>
                <w:noProof/>
                <w:webHidden/>
              </w:rPr>
              <w:instrText xml:space="preserve"> PAGEREF _Toc225097619 \h </w:instrText>
            </w:r>
            <w:r>
              <w:rPr>
                <w:noProof/>
                <w:webHidden/>
              </w:rPr>
            </w:r>
            <w:r>
              <w:rPr>
                <w:noProof/>
                <w:webHidden/>
              </w:rPr>
              <w:fldChar w:fldCharType="separate"/>
            </w:r>
            <w:r>
              <w:rPr>
                <w:noProof/>
                <w:webHidden/>
              </w:rPr>
              <w:t>4</w:t>
            </w:r>
            <w:r>
              <w:rPr>
                <w:noProof/>
                <w:webHidden/>
              </w:rPr>
              <w:fldChar w:fldCharType="end"/>
            </w:r>
          </w:hyperlink>
        </w:p>
        <w:p w14:paraId="1BDFB494" w14:textId="062A747F" w:rsidR="00777CE1" w:rsidRDefault="00777CE1">
          <w:pPr>
            <w:pStyle w:val="TOC1"/>
            <w:tabs>
              <w:tab w:val="right" w:leader="dot" w:pos="9350"/>
            </w:tabs>
            <w:rPr>
              <w:rFonts w:eastAsiaTheme="minorEastAsia"/>
              <w:noProof/>
            </w:rPr>
          </w:pPr>
          <w:hyperlink w:anchor="_Toc225097620" w:history="1">
            <w:r w:rsidRPr="005C0958">
              <w:rPr>
                <w:rStyle w:val="Hyperlink"/>
                <w:noProof/>
              </w:rPr>
              <w:t>Generational Characteristics in Recruitment (X, Y, Z)</w:t>
            </w:r>
            <w:r>
              <w:rPr>
                <w:noProof/>
                <w:webHidden/>
              </w:rPr>
              <w:tab/>
            </w:r>
            <w:r>
              <w:rPr>
                <w:noProof/>
                <w:webHidden/>
              </w:rPr>
              <w:fldChar w:fldCharType="begin"/>
            </w:r>
            <w:r>
              <w:rPr>
                <w:noProof/>
                <w:webHidden/>
              </w:rPr>
              <w:instrText xml:space="preserve"> PAGEREF _Toc225097620 \h </w:instrText>
            </w:r>
            <w:r>
              <w:rPr>
                <w:noProof/>
                <w:webHidden/>
              </w:rPr>
            </w:r>
            <w:r>
              <w:rPr>
                <w:noProof/>
                <w:webHidden/>
              </w:rPr>
              <w:fldChar w:fldCharType="separate"/>
            </w:r>
            <w:r>
              <w:rPr>
                <w:noProof/>
                <w:webHidden/>
              </w:rPr>
              <w:t>8</w:t>
            </w:r>
            <w:r>
              <w:rPr>
                <w:noProof/>
                <w:webHidden/>
              </w:rPr>
              <w:fldChar w:fldCharType="end"/>
            </w:r>
          </w:hyperlink>
        </w:p>
        <w:p w14:paraId="701F464A" w14:textId="66DF1646" w:rsidR="00777CE1" w:rsidRDefault="00777CE1">
          <w:pPr>
            <w:pStyle w:val="TOC1"/>
            <w:tabs>
              <w:tab w:val="right" w:leader="dot" w:pos="9350"/>
            </w:tabs>
            <w:rPr>
              <w:rFonts w:eastAsiaTheme="minorEastAsia"/>
              <w:noProof/>
            </w:rPr>
          </w:pPr>
          <w:hyperlink w:anchor="_Toc225097621" w:history="1">
            <w:r w:rsidRPr="005C0958">
              <w:rPr>
                <w:rStyle w:val="Hyperlink"/>
                <w:noProof/>
              </w:rPr>
              <w:t>Conclusion and Recommendations</w:t>
            </w:r>
            <w:r>
              <w:rPr>
                <w:noProof/>
                <w:webHidden/>
              </w:rPr>
              <w:tab/>
            </w:r>
            <w:r>
              <w:rPr>
                <w:noProof/>
                <w:webHidden/>
              </w:rPr>
              <w:fldChar w:fldCharType="begin"/>
            </w:r>
            <w:r>
              <w:rPr>
                <w:noProof/>
                <w:webHidden/>
              </w:rPr>
              <w:instrText xml:space="preserve"> PAGEREF _Toc225097621 \h </w:instrText>
            </w:r>
            <w:r>
              <w:rPr>
                <w:noProof/>
                <w:webHidden/>
              </w:rPr>
            </w:r>
            <w:r>
              <w:rPr>
                <w:noProof/>
                <w:webHidden/>
              </w:rPr>
              <w:fldChar w:fldCharType="separate"/>
            </w:r>
            <w:r>
              <w:rPr>
                <w:noProof/>
                <w:webHidden/>
              </w:rPr>
              <w:t>13</w:t>
            </w:r>
            <w:r>
              <w:rPr>
                <w:noProof/>
                <w:webHidden/>
              </w:rPr>
              <w:fldChar w:fldCharType="end"/>
            </w:r>
          </w:hyperlink>
        </w:p>
        <w:p w14:paraId="7AD86B62" w14:textId="4E9F6A2F" w:rsidR="00777CE1" w:rsidRDefault="00777CE1">
          <w:pPr>
            <w:pStyle w:val="TOC1"/>
            <w:tabs>
              <w:tab w:val="right" w:leader="dot" w:pos="9350"/>
            </w:tabs>
            <w:rPr>
              <w:rFonts w:eastAsiaTheme="minorEastAsia"/>
              <w:noProof/>
            </w:rPr>
          </w:pPr>
          <w:hyperlink w:anchor="_Toc225097622" w:history="1">
            <w:r w:rsidRPr="005C0958">
              <w:rPr>
                <w:rStyle w:val="Hyperlink"/>
                <w:noProof/>
              </w:rPr>
              <w:t>Reference List</w:t>
            </w:r>
            <w:r>
              <w:rPr>
                <w:noProof/>
                <w:webHidden/>
              </w:rPr>
              <w:tab/>
            </w:r>
            <w:r>
              <w:rPr>
                <w:noProof/>
                <w:webHidden/>
              </w:rPr>
              <w:fldChar w:fldCharType="begin"/>
            </w:r>
            <w:r>
              <w:rPr>
                <w:noProof/>
                <w:webHidden/>
              </w:rPr>
              <w:instrText xml:space="preserve"> PAGEREF _Toc225097622 \h </w:instrText>
            </w:r>
            <w:r>
              <w:rPr>
                <w:noProof/>
                <w:webHidden/>
              </w:rPr>
            </w:r>
            <w:r>
              <w:rPr>
                <w:noProof/>
                <w:webHidden/>
              </w:rPr>
              <w:fldChar w:fldCharType="separate"/>
            </w:r>
            <w:r>
              <w:rPr>
                <w:noProof/>
                <w:webHidden/>
              </w:rPr>
              <w:t>14</w:t>
            </w:r>
            <w:r>
              <w:rPr>
                <w:noProof/>
                <w:webHidden/>
              </w:rPr>
              <w:fldChar w:fldCharType="end"/>
            </w:r>
          </w:hyperlink>
        </w:p>
        <w:p w14:paraId="3B1D7FCD" w14:textId="5B9C7B05" w:rsidR="000E23EC" w:rsidRDefault="000E23EC">
          <w:r>
            <w:rPr>
              <w:b/>
              <w:bCs/>
              <w:noProof/>
            </w:rPr>
            <w:fldChar w:fldCharType="end"/>
          </w:r>
        </w:p>
      </w:sdtContent>
    </w:sdt>
    <w:p w14:paraId="06EC203C" w14:textId="77777777" w:rsidR="00184332" w:rsidRPr="0094090F" w:rsidRDefault="00184332" w:rsidP="0094090F">
      <w:pPr>
        <w:spacing w:line="360" w:lineRule="auto"/>
        <w:rPr>
          <w:rFonts w:ascii="Arial" w:hAnsi="Arial" w:cs="Arial"/>
        </w:rPr>
      </w:pPr>
    </w:p>
    <w:p w14:paraId="4DDEF51E" w14:textId="77777777" w:rsidR="00184332" w:rsidRPr="0094090F" w:rsidRDefault="00184332" w:rsidP="0094090F">
      <w:pPr>
        <w:spacing w:line="360" w:lineRule="auto"/>
        <w:rPr>
          <w:rFonts w:ascii="Arial" w:hAnsi="Arial" w:cs="Arial"/>
        </w:rPr>
      </w:pPr>
    </w:p>
    <w:p w14:paraId="0E896CEC" w14:textId="77777777" w:rsidR="00184332" w:rsidRPr="0094090F" w:rsidRDefault="00184332" w:rsidP="0094090F">
      <w:pPr>
        <w:spacing w:line="360" w:lineRule="auto"/>
        <w:rPr>
          <w:rFonts w:ascii="Arial" w:hAnsi="Arial" w:cs="Arial"/>
        </w:rPr>
      </w:pPr>
    </w:p>
    <w:p w14:paraId="0EDB7780" w14:textId="77777777" w:rsidR="00184332" w:rsidRPr="0094090F" w:rsidRDefault="00184332" w:rsidP="0094090F">
      <w:pPr>
        <w:spacing w:line="360" w:lineRule="auto"/>
        <w:rPr>
          <w:rFonts w:ascii="Arial" w:hAnsi="Arial" w:cs="Arial"/>
        </w:rPr>
      </w:pPr>
    </w:p>
    <w:p w14:paraId="2ED38C67" w14:textId="77777777" w:rsidR="00184332" w:rsidRPr="0094090F" w:rsidRDefault="00184332" w:rsidP="0094090F">
      <w:pPr>
        <w:spacing w:line="360" w:lineRule="auto"/>
        <w:rPr>
          <w:rFonts w:ascii="Arial" w:hAnsi="Arial" w:cs="Arial"/>
        </w:rPr>
      </w:pPr>
    </w:p>
    <w:p w14:paraId="0BDC3B58" w14:textId="77777777" w:rsidR="00184332" w:rsidRPr="0094090F" w:rsidRDefault="00184332" w:rsidP="0094090F">
      <w:pPr>
        <w:spacing w:line="360" w:lineRule="auto"/>
        <w:rPr>
          <w:rFonts w:ascii="Arial" w:hAnsi="Arial" w:cs="Arial"/>
        </w:rPr>
      </w:pPr>
    </w:p>
    <w:p w14:paraId="38B36573" w14:textId="77777777" w:rsidR="00184332" w:rsidRPr="0094090F" w:rsidRDefault="00184332" w:rsidP="0094090F">
      <w:pPr>
        <w:spacing w:line="360" w:lineRule="auto"/>
        <w:rPr>
          <w:rFonts w:ascii="Arial" w:hAnsi="Arial" w:cs="Arial"/>
        </w:rPr>
      </w:pPr>
    </w:p>
    <w:p w14:paraId="39B31A14" w14:textId="77777777" w:rsidR="00184332" w:rsidRPr="0094090F" w:rsidRDefault="00184332" w:rsidP="0094090F">
      <w:pPr>
        <w:spacing w:line="360" w:lineRule="auto"/>
        <w:rPr>
          <w:rFonts w:ascii="Arial" w:hAnsi="Arial" w:cs="Arial"/>
        </w:rPr>
      </w:pPr>
    </w:p>
    <w:p w14:paraId="343C8620" w14:textId="77777777" w:rsidR="00184332" w:rsidRPr="0094090F" w:rsidRDefault="00184332" w:rsidP="0094090F">
      <w:pPr>
        <w:spacing w:line="360" w:lineRule="auto"/>
        <w:rPr>
          <w:rFonts w:ascii="Arial" w:hAnsi="Arial" w:cs="Arial"/>
        </w:rPr>
      </w:pPr>
    </w:p>
    <w:p w14:paraId="390BE9D6" w14:textId="77777777" w:rsidR="00184332" w:rsidRPr="0094090F" w:rsidRDefault="00184332" w:rsidP="0094090F">
      <w:pPr>
        <w:spacing w:line="360" w:lineRule="auto"/>
        <w:rPr>
          <w:rFonts w:ascii="Arial" w:hAnsi="Arial" w:cs="Arial"/>
        </w:rPr>
      </w:pPr>
    </w:p>
    <w:p w14:paraId="12CF2921" w14:textId="77777777" w:rsidR="00184332" w:rsidRPr="0094090F" w:rsidRDefault="00184332" w:rsidP="0094090F">
      <w:pPr>
        <w:spacing w:line="360" w:lineRule="auto"/>
        <w:rPr>
          <w:rFonts w:ascii="Arial" w:hAnsi="Arial" w:cs="Arial"/>
        </w:rPr>
      </w:pPr>
    </w:p>
    <w:p w14:paraId="5E982A61" w14:textId="77777777" w:rsidR="00184332" w:rsidRPr="0094090F" w:rsidRDefault="00184332" w:rsidP="0094090F">
      <w:pPr>
        <w:spacing w:line="360" w:lineRule="auto"/>
        <w:rPr>
          <w:rFonts w:ascii="Arial" w:hAnsi="Arial" w:cs="Arial"/>
        </w:rPr>
      </w:pPr>
    </w:p>
    <w:p w14:paraId="7AD8D7C6" w14:textId="77777777" w:rsidR="00184332" w:rsidRPr="0094090F" w:rsidRDefault="00184332" w:rsidP="0094090F">
      <w:pPr>
        <w:spacing w:line="360" w:lineRule="auto"/>
        <w:rPr>
          <w:rFonts w:ascii="Arial" w:hAnsi="Arial" w:cs="Arial"/>
        </w:rPr>
      </w:pPr>
    </w:p>
    <w:p w14:paraId="42E8372B" w14:textId="77777777" w:rsidR="00184332" w:rsidRPr="0094090F" w:rsidRDefault="00184332" w:rsidP="0094090F">
      <w:pPr>
        <w:spacing w:line="360" w:lineRule="auto"/>
        <w:rPr>
          <w:rFonts w:ascii="Arial" w:hAnsi="Arial" w:cs="Arial"/>
        </w:rPr>
      </w:pPr>
    </w:p>
    <w:p w14:paraId="4F8FF5C8" w14:textId="77777777" w:rsidR="00184332" w:rsidRPr="0094090F" w:rsidRDefault="00184332" w:rsidP="0094090F">
      <w:pPr>
        <w:spacing w:line="360" w:lineRule="auto"/>
        <w:rPr>
          <w:rFonts w:ascii="Arial" w:hAnsi="Arial" w:cs="Arial"/>
        </w:rPr>
      </w:pPr>
    </w:p>
    <w:p w14:paraId="5FC8408C" w14:textId="77777777" w:rsidR="00184332" w:rsidRPr="0094090F" w:rsidRDefault="00184332" w:rsidP="0094090F">
      <w:pPr>
        <w:spacing w:line="360" w:lineRule="auto"/>
        <w:rPr>
          <w:rFonts w:ascii="Arial" w:hAnsi="Arial" w:cs="Arial"/>
        </w:rPr>
      </w:pPr>
    </w:p>
    <w:p w14:paraId="05361D18" w14:textId="231A5E64" w:rsidR="00625C49" w:rsidRPr="0094090F" w:rsidRDefault="00625C49" w:rsidP="000E23EC">
      <w:pPr>
        <w:pStyle w:val="Heading1"/>
      </w:pPr>
      <w:bookmarkStart w:id="0" w:name="_Toc225097618"/>
      <w:r w:rsidRPr="0094090F">
        <w:lastRenderedPageBreak/>
        <w:t>Introduction</w:t>
      </w:r>
      <w:bookmarkEnd w:id="0"/>
    </w:p>
    <w:p w14:paraId="0806D306"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In contemporary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contexts </w:t>
      </w:r>
      <w:proofErr w:type="spellStart"/>
      <w:r w:rsidRPr="0094090F">
        <w:rPr>
          <w:rFonts w:ascii="Arial" w:hAnsi="Arial" w:cs="Arial"/>
          <w:sz w:val="22"/>
          <w:szCs w:val="22"/>
        </w:rPr>
        <w:t>characterised</w:t>
      </w:r>
      <w:proofErr w:type="spellEnd"/>
      <w:r w:rsidRPr="0094090F">
        <w:rPr>
          <w:rFonts w:ascii="Arial" w:hAnsi="Arial" w:cs="Arial"/>
          <w:sz w:val="22"/>
          <w:szCs w:val="22"/>
        </w:rPr>
        <w:t xml:space="preserve"> by rapid technological change, </w:t>
      </w:r>
      <w:proofErr w:type="spellStart"/>
      <w:r w:rsidRPr="0094090F">
        <w:rPr>
          <w:rFonts w:ascii="Arial" w:hAnsi="Arial" w:cs="Arial"/>
          <w:sz w:val="22"/>
          <w:szCs w:val="22"/>
        </w:rPr>
        <w:t>globalisation</w:t>
      </w:r>
      <w:proofErr w:type="spellEnd"/>
      <w:r w:rsidRPr="0094090F">
        <w:rPr>
          <w:rFonts w:ascii="Arial" w:hAnsi="Arial" w:cs="Arial"/>
          <w:sz w:val="22"/>
          <w:szCs w:val="22"/>
        </w:rPr>
        <w:t xml:space="preserve">, and increasing workforce diversity, the ability to manage interpersonal dynamics is a key determinant of professional effectiveness. Traditional measures of intelligence, such as cognitive ability and technical expertise, are no longer sufficient. Instead, emotional intelligence (EI) has gained prominence as a critical competency underpinning effective communication, leadership, and decision-making (Goleman, 1998). EI refers to the ability to </w:t>
      </w:r>
      <w:proofErr w:type="spellStart"/>
      <w:r w:rsidRPr="0094090F">
        <w:rPr>
          <w:rFonts w:ascii="Arial" w:hAnsi="Arial" w:cs="Arial"/>
          <w:sz w:val="22"/>
          <w:szCs w:val="22"/>
        </w:rPr>
        <w:t>recognise</w:t>
      </w:r>
      <w:proofErr w:type="spellEnd"/>
      <w:r w:rsidRPr="0094090F">
        <w:rPr>
          <w:rFonts w:ascii="Arial" w:hAnsi="Arial" w:cs="Arial"/>
          <w:sz w:val="22"/>
          <w:szCs w:val="22"/>
        </w:rPr>
        <w:t xml:space="preserve">, understand, and regulate one’s own emotions while also influencing </w:t>
      </w:r>
      <w:proofErr w:type="gramStart"/>
      <w:r w:rsidRPr="0094090F">
        <w:rPr>
          <w:rFonts w:ascii="Arial" w:hAnsi="Arial" w:cs="Arial"/>
          <w:sz w:val="22"/>
          <w:szCs w:val="22"/>
        </w:rPr>
        <w:t>those of others</w:t>
      </w:r>
      <w:proofErr w:type="gramEnd"/>
      <w:r w:rsidRPr="0094090F">
        <w:rPr>
          <w:rFonts w:ascii="Arial" w:hAnsi="Arial" w:cs="Arial"/>
          <w:sz w:val="22"/>
          <w:szCs w:val="22"/>
        </w:rPr>
        <w:t xml:space="preserve"> (Mayer, Salovey and Caruso, 2004) and is essential for fostering collaboration and maintaining productive workplace relationships.</w:t>
      </w:r>
    </w:p>
    <w:p w14:paraId="08DA5497"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Alongside EI, mindfulness has emerged as a complementary </w:t>
      </w:r>
      <w:proofErr w:type="gramStart"/>
      <w:r w:rsidRPr="0094090F">
        <w:rPr>
          <w:rFonts w:ascii="Arial" w:hAnsi="Arial" w:cs="Arial"/>
          <w:sz w:val="22"/>
          <w:szCs w:val="22"/>
        </w:rPr>
        <w:t>construct</w:t>
      </w:r>
      <w:proofErr w:type="gramEnd"/>
      <w:r w:rsidRPr="0094090F">
        <w:rPr>
          <w:rFonts w:ascii="Arial" w:hAnsi="Arial" w:cs="Arial"/>
          <w:sz w:val="22"/>
          <w:szCs w:val="22"/>
        </w:rPr>
        <w:t xml:space="preserve"> that enhances individuals’ capacity to manage internal experiences and external pressures. Defined as present-moment awareness with a </w:t>
      </w:r>
      <w:proofErr w:type="spellStart"/>
      <w:r w:rsidRPr="0094090F">
        <w:rPr>
          <w:rFonts w:ascii="Arial" w:hAnsi="Arial" w:cs="Arial"/>
          <w:sz w:val="22"/>
          <w:szCs w:val="22"/>
        </w:rPr>
        <w:t>non-judgemental</w:t>
      </w:r>
      <w:proofErr w:type="spellEnd"/>
      <w:r w:rsidRPr="0094090F">
        <w:rPr>
          <w:rFonts w:ascii="Arial" w:hAnsi="Arial" w:cs="Arial"/>
          <w:sz w:val="22"/>
          <w:szCs w:val="22"/>
        </w:rPr>
        <w:t xml:space="preserve"> focus (Kabat-Zinn, 2003), mindfulness is associated with reduced stress, improved concentration, and greater emotional resilience (Good et al., 2016). It also strengthens emotional intelligence by promoting self-awareness and emotional regulation, enabling more thoughtful and controlled responses to workplace challenges (Brown and Ryan, 2003).</w:t>
      </w:r>
    </w:p>
    <w:p w14:paraId="3AEBDC4E"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Furthermore, increasing generational diversity—across Generation X, Millennials, and Generation Z—adds complexity to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management, as these groups differ in values, expectations, and work preferences (Twenge, 2010). Consequently, managers must integrate emotional intelligence with generational awareness to foster inclusive and high-performing environments. This report critically evaluates EI in the workplace and examines generational differences, highlighting their implications for management and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effectiveness.</w:t>
      </w:r>
    </w:p>
    <w:p w14:paraId="056F5FB3" w14:textId="77777777" w:rsidR="00625C49" w:rsidRPr="0094090F" w:rsidRDefault="00625C49" w:rsidP="0094090F">
      <w:pPr>
        <w:spacing w:line="360" w:lineRule="auto"/>
        <w:rPr>
          <w:rFonts w:ascii="Arial" w:hAnsi="Arial" w:cs="Arial"/>
          <w:sz w:val="22"/>
          <w:szCs w:val="22"/>
        </w:rPr>
      </w:pPr>
    </w:p>
    <w:p w14:paraId="1CB714D2" w14:textId="77777777" w:rsidR="00625C49" w:rsidRPr="0094090F" w:rsidRDefault="00625C49" w:rsidP="0094090F">
      <w:pPr>
        <w:spacing w:line="360" w:lineRule="auto"/>
        <w:rPr>
          <w:rFonts w:ascii="Arial" w:hAnsi="Arial" w:cs="Arial"/>
          <w:sz w:val="22"/>
          <w:szCs w:val="22"/>
        </w:rPr>
      </w:pPr>
    </w:p>
    <w:p w14:paraId="5B9ED6BA" w14:textId="77777777" w:rsidR="009970A8" w:rsidRDefault="009970A8" w:rsidP="000E23EC">
      <w:pPr>
        <w:pStyle w:val="Heading1"/>
      </w:pPr>
      <w:bookmarkStart w:id="1" w:name="_Toc225097619"/>
    </w:p>
    <w:p w14:paraId="36A67802" w14:textId="7C8D811B" w:rsidR="00625C49" w:rsidRPr="0094090F" w:rsidRDefault="00625C49" w:rsidP="000E23EC">
      <w:pPr>
        <w:pStyle w:val="Heading1"/>
      </w:pPr>
      <w:r w:rsidRPr="0094090F">
        <w:t>Critical Evaluation of Emotional Intelligence in the Workplace</w:t>
      </w:r>
      <w:bookmarkEnd w:id="1"/>
    </w:p>
    <w:p w14:paraId="2B56B5A7"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Emotional intelligence (EI) has become a central concept in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w:t>
      </w:r>
      <w:proofErr w:type="spellStart"/>
      <w:r w:rsidRPr="0094090F">
        <w:rPr>
          <w:rFonts w:ascii="Arial" w:hAnsi="Arial" w:cs="Arial"/>
          <w:sz w:val="22"/>
          <w:szCs w:val="22"/>
        </w:rPr>
        <w:t>behaviour</w:t>
      </w:r>
      <w:proofErr w:type="spellEnd"/>
      <w:r w:rsidRPr="0094090F">
        <w:rPr>
          <w:rFonts w:ascii="Arial" w:hAnsi="Arial" w:cs="Arial"/>
          <w:sz w:val="22"/>
          <w:szCs w:val="22"/>
        </w:rPr>
        <w:t xml:space="preserve"> and management studies, reflecting a shift from traditional notions of intelligence towards a more holistic understanding of human capability in the workplace. EI can be defined as the ability to perceive, understand, manage, and </w:t>
      </w:r>
      <w:proofErr w:type="spellStart"/>
      <w:r w:rsidRPr="0094090F">
        <w:rPr>
          <w:rFonts w:ascii="Arial" w:hAnsi="Arial" w:cs="Arial"/>
          <w:sz w:val="22"/>
          <w:szCs w:val="22"/>
        </w:rPr>
        <w:t>utilise</w:t>
      </w:r>
      <w:proofErr w:type="spellEnd"/>
      <w:r w:rsidRPr="0094090F">
        <w:rPr>
          <w:rFonts w:ascii="Arial" w:hAnsi="Arial" w:cs="Arial"/>
          <w:sz w:val="22"/>
          <w:szCs w:val="22"/>
        </w:rPr>
        <w:t xml:space="preserve"> emotions effectively in oneself and others (Mayer, Salovey and Caruso, 2004). Its relevance has grown significantly due to the increasing complexity of workplace interactions, the rise of team-based structures, and the need for effective leadership in dynamic environments. Research suggests that employees with higher levels of emotional intelligence are more likely to demonstrate enhanced job performance, improved interpersonal relationships, and greater adaptability to change (Côté, 2014). However, while EI is widely promoted as a key determinant of success, it is important to critically evaluate its theoretical foundations, practical applications, and limitations within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contexts.</w:t>
      </w:r>
    </w:p>
    <w:p w14:paraId="388381BD"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Key Emotional Intelligence Models</w:t>
      </w:r>
    </w:p>
    <w:p w14:paraId="281500BC"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One of the most influential frameworks is Goleman’s mixed model of emotional intelligence, which identifies five core components: self-awareness, self-regulation, motivation, empathy, and social skills (Goleman, 1998). This model integrates both emotional competencies and </w:t>
      </w:r>
      <w:proofErr w:type="spellStart"/>
      <w:r w:rsidRPr="0094090F">
        <w:rPr>
          <w:rFonts w:ascii="Arial" w:hAnsi="Arial" w:cs="Arial"/>
          <w:sz w:val="22"/>
          <w:szCs w:val="22"/>
        </w:rPr>
        <w:t>behavioural</w:t>
      </w:r>
      <w:proofErr w:type="spellEnd"/>
      <w:r w:rsidRPr="0094090F">
        <w:rPr>
          <w:rFonts w:ascii="Arial" w:hAnsi="Arial" w:cs="Arial"/>
          <w:sz w:val="22"/>
          <w:szCs w:val="22"/>
        </w:rPr>
        <w:t xml:space="preserve"> attributes, making it particularly relevant to workplace settings. Goleman argues that these components are essential for effective leadership and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performance, as they enable individuals to manage themselves and their relationships more effectively.</w:t>
      </w:r>
    </w:p>
    <w:p w14:paraId="48C9F44E"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In contrast, Mayer and Salovey’s Ability Model </w:t>
      </w:r>
      <w:proofErr w:type="spellStart"/>
      <w:r w:rsidRPr="0094090F">
        <w:rPr>
          <w:rFonts w:ascii="Arial" w:hAnsi="Arial" w:cs="Arial"/>
          <w:sz w:val="22"/>
          <w:szCs w:val="22"/>
        </w:rPr>
        <w:t>conceptualises</w:t>
      </w:r>
      <w:proofErr w:type="spellEnd"/>
      <w:r w:rsidRPr="0094090F">
        <w:rPr>
          <w:rFonts w:ascii="Arial" w:hAnsi="Arial" w:cs="Arial"/>
          <w:sz w:val="22"/>
          <w:szCs w:val="22"/>
        </w:rPr>
        <w:t xml:space="preserve"> emotional intelligence as a form of cognitive ability involving four key processes: perceiving emotions, using emotions to facilitate thinking, understanding emotions, and managing emotions (Mayer, Salovey and Caruso, 2004). This model </w:t>
      </w:r>
      <w:proofErr w:type="spellStart"/>
      <w:r w:rsidRPr="0094090F">
        <w:rPr>
          <w:rFonts w:ascii="Arial" w:hAnsi="Arial" w:cs="Arial"/>
          <w:sz w:val="22"/>
          <w:szCs w:val="22"/>
        </w:rPr>
        <w:t>emphasises</w:t>
      </w:r>
      <w:proofErr w:type="spellEnd"/>
      <w:r w:rsidRPr="0094090F">
        <w:rPr>
          <w:rFonts w:ascii="Arial" w:hAnsi="Arial" w:cs="Arial"/>
          <w:sz w:val="22"/>
          <w:szCs w:val="22"/>
        </w:rPr>
        <w:t xml:space="preserve"> EI as a measurable intelligence </w:t>
      </w:r>
      <w:proofErr w:type="gramStart"/>
      <w:r w:rsidRPr="0094090F">
        <w:rPr>
          <w:rFonts w:ascii="Arial" w:hAnsi="Arial" w:cs="Arial"/>
          <w:sz w:val="22"/>
          <w:szCs w:val="22"/>
        </w:rPr>
        <w:t>similar to</w:t>
      </w:r>
      <w:proofErr w:type="gramEnd"/>
      <w:r w:rsidRPr="0094090F">
        <w:rPr>
          <w:rFonts w:ascii="Arial" w:hAnsi="Arial" w:cs="Arial"/>
          <w:sz w:val="22"/>
          <w:szCs w:val="22"/>
        </w:rPr>
        <w:t xml:space="preserve"> traditional IQ, thereby offering a more structured and theoretically grounded approach. It has been widely supported in academic research due to its empirical basis and clear conceptual boundaries.</w:t>
      </w:r>
    </w:p>
    <w:p w14:paraId="06AE1D2C"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Additionally, Bar-On’s model adopts a broader perspective by focusing on emotional and social competencies, including stress tolerance, adaptability, interpersonal relationships, and general mood (Bar-On, 2006). This model highlights the importance of psychological well-being and </w:t>
      </w:r>
      <w:r w:rsidRPr="0094090F">
        <w:rPr>
          <w:rFonts w:ascii="Arial" w:hAnsi="Arial" w:cs="Arial"/>
          <w:sz w:val="22"/>
          <w:szCs w:val="22"/>
        </w:rPr>
        <w:lastRenderedPageBreak/>
        <w:t xml:space="preserve">coping mechanisms in determining workplace effectiveness. While each model offers valuable insights, they differ in their </w:t>
      </w:r>
      <w:proofErr w:type="spellStart"/>
      <w:r w:rsidRPr="0094090F">
        <w:rPr>
          <w:rFonts w:ascii="Arial" w:hAnsi="Arial" w:cs="Arial"/>
          <w:sz w:val="22"/>
          <w:szCs w:val="22"/>
        </w:rPr>
        <w:t>conceptualisation</w:t>
      </w:r>
      <w:proofErr w:type="spellEnd"/>
      <w:r w:rsidRPr="0094090F">
        <w:rPr>
          <w:rFonts w:ascii="Arial" w:hAnsi="Arial" w:cs="Arial"/>
          <w:sz w:val="22"/>
          <w:szCs w:val="22"/>
        </w:rPr>
        <w:t xml:space="preserve"> of EI, with some focusing on abilities and others on personality traits and competencies. This lack of consensus has led to ongoing debates regarding the definition and measurement of emotional intelligence.</w:t>
      </w:r>
    </w:p>
    <w:p w14:paraId="60A1C360"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Application of EI Components in the Workplace</w:t>
      </w:r>
    </w:p>
    <w:p w14:paraId="38D12207"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Self-awareness is widely regarded as the foundation of emotional intelligence, as it enables individuals to </w:t>
      </w:r>
      <w:proofErr w:type="spellStart"/>
      <w:r w:rsidRPr="0094090F">
        <w:rPr>
          <w:rFonts w:ascii="Arial" w:hAnsi="Arial" w:cs="Arial"/>
          <w:sz w:val="22"/>
          <w:szCs w:val="22"/>
        </w:rPr>
        <w:t>recognise</w:t>
      </w:r>
      <w:proofErr w:type="spellEnd"/>
      <w:r w:rsidRPr="0094090F">
        <w:rPr>
          <w:rFonts w:ascii="Arial" w:hAnsi="Arial" w:cs="Arial"/>
          <w:sz w:val="22"/>
          <w:szCs w:val="22"/>
        </w:rPr>
        <w:t xml:space="preserve"> their emotional states and understand how </w:t>
      </w:r>
      <w:proofErr w:type="gramStart"/>
      <w:r w:rsidRPr="0094090F">
        <w:rPr>
          <w:rFonts w:ascii="Arial" w:hAnsi="Arial" w:cs="Arial"/>
          <w:sz w:val="22"/>
          <w:szCs w:val="22"/>
        </w:rPr>
        <w:t>these influence</w:t>
      </w:r>
      <w:proofErr w:type="gramEnd"/>
      <w:r w:rsidRPr="0094090F">
        <w:rPr>
          <w:rFonts w:ascii="Arial" w:hAnsi="Arial" w:cs="Arial"/>
          <w:sz w:val="22"/>
          <w:szCs w:val="22"/>
        </w:rPr>
        <w:t xml:space="preserve"> their </w:t>
      </w:r>
      <w:proofErr w:type="spellStart"/>
      <w:r w:rsidRPr="0094090F">
        <w:rPr>
          <w:rFonts w:ascii="Arial" w:hAnsi="Arial" w:cs="Arial"/>
          <w:sz w:val="22"/>
          <w:szCs w:val="22"/>
        </w:rPr>
        <w:t>behaviour</w:t>
      </w:r>
      <w:proofErr w:type="spellEnd"/>
      <w:r w:rsidRPr="0094090F">
        <w:rPr>
          <w:rFonts w:ascii="Arial" w:hAnsi="Arial" w:cs="Arial"/>
          <w:sz w:val="22"/>
          <w:szCs w:val="22"/>
        </w:rPr>
        <w:t xml:space="preserve"> and decision-making (Goleman, 1998). In workplace contexts, self-aware employees are better equipped to identify their strengths and limitations, seek feedback, and engage in reflective practice. For example, an employee who </w:t>
      </w:r>
      <w:proofErr w:type="spellStart"/>
      <w:r w:rsidRPr="0094090F">
        <w:rPr>
          <w:rFonts w:ascii="Arial" w:hAnsi="Arial" w:cs="Arial"/>
          <w:sz w:val="22"/>
          <w:szCs w:val="22"/>
        </w:rPr>
        <w:t>recognises</w:t>
      </w:r>
      <w:proofErr w:type="spellEnd"/>
      <w:r w:rsidRPr="0094090F">
        <w:rPr>
          <w:rFonts w:ascii="Arial" w:hAnsi="Arial" w:cs="Arial"/>
          <w:sz w:val="22"/>
          <w:szCs w:val="22"/>
        </w:rPr>
        <w:t xml:space="preserve"> feelings of frustration during a team project may consciously adjust their communication style to prevent conflict. However, self-awareness alone does not guarantee effective </w:t>
      </w:r>
      <w:proofErr w:type="spellStart"/>
      <w:r w:rsidRPr="0094090F">
        <w:rPr>
          <w:rFonts w:ascii="Arial" w:hAnsi="Arial" w:cs="Arial"/>
          <w:sz w:val="22"/>
          <w:szCs w:val="22"/>
        </w:rPr>
        <w:t>behaviour</w:t>
      </w:r>
      <w:proofErr w:type="spellEnd"/>
      <w:r w:rsidRPr="0094090F">
        <w:rPr>
          <w:rFonts w:ascii="Arial" w:hAnsi="Arial" w:cs="Arial"/>
          <w:sz w:val="22"/>
          <w:szCs w:val="22"/>
        </w:rPr>
        <w:t xml:space="preserve">; it must be accompanied by the ability to regulate emotions. Furthermore, excessive self-focus may lead to </w:t>
      </w:r>
      <w:proofErr w:type="spellStart"/>
      <w:r w:rsidRPr="0094090F">
        <w:rPr>
          <w:rFonts w:ascii="Arial" w:hAnsi="Arial" w:cs="Arial"/>
          <w:sz w:val="22"/>
          <w:szCs w:val="22"/>
        </w:rPr>
        <w:t>overanalysis</w:t>
      </w:r>
      <w:proofErr w:type="spellEnd"/>
      <w:r w:rsidRPr="0094090F">
        <w:rPr>
          <w:rFonts w:ascii="Arial" w:hAnsi="Arial" w:cs="Arial"/>
          <w:sz w:val="22"/>
          <w:szCs w:val="22"/>
        </w:rPr>
        <w:t xml:space="preserve"> or reduced confidence, highlighting the need for balance.</w:t>
      </w:r>
    </w:p>
    <w:p w14:paraId="4A132C73"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Self-regulation involves the ability to control emotional responses and adapt </w:t>
      </w:r>
      <w:proofErr w:type="spellStart"/>
      <w:r w:rsidRPr="0094090F">
        <w:rPr>
          <w:rFonts w:ascii="Arial" w:hAnsi="Arial" w:cs="Arial"/>
          <w:sz w:val="22"/>
          <w:szCs w:val="22"/>
        </w:rPr>
        <w:t>behaviour</w:t>
      </w:r>
      <w:proofErr w:type="spellEnd"/>
      <w:r w:rsidRPr="0094090F">
        <w:rPr>
          <w:rFonts w:ascii="Arial" w:hAnsi="Arial" w:cs="Arial"/>
          <w:sz w:val="22"/>
          <w:szCs w:val="22"/>
        </w:rPr>
        <w:t xml:space="preserve"> to suit different situations. This is particularly important in high-pressure environments where impulsive reactions can have negative consequences. Employees who demonstrate strong self-regulation are more likely to remain calm under stress, respond constructively to criticism, and maintain professionalism in challenging interactions (Gross, 1998). Nevertheless, there are potential drawbacks associated with excessive emotional control. Over-regulation may suppress authentic emotional expression, potentially </w:t>
      </w:r>
      <w:proofErr w:type="gramStart"/>
      <w:r w:rsidRPr="0094090F">
        <w:rPr>
          <w:rFonts w:ascii="Arial" w:hAnsi="Arial" w:cs="Arial"/>
          <w:sz w:val="22"/>
          <w:szCs w:val="22"/>
        </w:rPr>
        <w:t>limiting</w:t>
      </w:r>
      <w:proofErr w:type="gramEnd"/>
      <w:r w:rsidRPr="0094090F">
        <w:rPr>
          <w:rFonts w:ascii="Arial" w:hAnsi="Arial" w:cs="Arial"/>
          <w:sz w:val="22"/>
          <w:szCs w:val="22"/>
        </w:rPr>
        <w:t xml:space="preserve"> creativity and reducing trust among colleagues who may perceive such individuals as inauthentic or detached.</w:t>
      </w:r>
    </w:p>
    <w:p w14:paraId="5C9D23AC"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Motivation, within the context of emotional intelligence, refers to an individual’s intrinsic drive to achieve goals and maintain a positive outlook despite challenges. Goleman (1998) </w:t>
      </w:r>
      <w:proofErr w:type="spellStart"/>
      <w:r w:rsidRPr="0094090F">
        <w:rPr>
          <w:rFonts w:ascii="Arial" w:hAnsi="Arial" w:cs="Arial"/>
          <w:sz w:val="22"/>
          <w:szCs w:val="22"/>
        </w:rPr>
        <w:t>emphasises</w:t>
      </w:r>
      <w:proofErr w:type="spellEnd"/>
      <w:r w:rsidRPr="0094090F">
        <w:rPr>
          <w:rFonts w:ascii="Arial" w:hAnsi="Arial" w:cs="Arial"/>
          <w:sz w:val="22"/>
          <w:szCs w:val="22"/>
        </w:rPr>
        <w:t xml:space="preserve"> that emotionally intelligent individuals are often </w:t>
      </w:r>
      <w:proofErr w:type="spellStart"/>
      <w:r w:rsidRPr="0094090F">
        <w:rPr>
          <w:rFonts w:ascii="Arial" w:hAnsi="Arial" w:cs="Arial"/>
          <w:sz w:val="22"/>
          <w:szCs w:val="22"/>
        </w:rPr>
        <w:t>characterised</w:t>
      </w:r>
      <w:proofErr w:type="spellEnd"/>
      <w:r w:rsidRPr="0094090F">
        <w:rPr>
          <w:rFonts w:ascii="Arial" w:hAnsi="Arial" w:cs="Arial"/>
          <w:sz w:val="22"/>
          <w:szCs w:val="22"/>
        </w:rPr>
        <w:t xml:space="preserve"> by resilience, optimism, and a strong commitment to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objectives. In practice, this can lead to higher levels of engagement, persistence, and productivity. However, motivation is influenced by a range of external factors, including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culture, leadership style, and reward systems (Ryan and Deci, 2000). As such, it would be overly simplistic to attribute employee motivation solely to emotional intelligence, as contextual variables play a significant role.</w:t>
      </w:r>
    </w:p>
    <w:p w14:paraId="136E6CE8"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Empathy is another critical component of emotional intelligence, involving the ability to understand and share the feelings of others. In increasingly diverse workplaces, empathy is </w:t>
      </w:r>
      <w:r w:rsidRPr="0094090F">
        <w:rPr>
          <w:rFonts w:ascii="Arial" w:hAnsi="Arial" w:cs="Arial"/>
          <w:sz w:val="22"/>
          <w:szCs w:val="22"/>
        </w:rPr>
        <w:lastRenderedPageBreak/>
        <w:t>essential for fostering inclusivity, building trust, and facilitating effective collaboration (Goleman, 1998). Employees who demonstrate empathy are better able to manage interpersonal conflicts, support colleagues, and respond to the needs of clients and stakeholders. However, empathy also has potential limitations. Excessive emotional involvement may lead to compassion fatigue or burnout, particularly in roles that require constant interpersonal engagement. Additionally, highly empathetic individuals may struggle to make objective decisions, especially in situations requiring impartial judgement.</w:t>
      </w:r>
    </w:p>
    <w:p w14:paraId="0E54B795"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Social skills encompass a range of interpersonal competencies, including communication, teamwork, conflict resolution, and leadership. These skills enable individuals to build and maintain relationships, influence others, and work effectively within teams. In leadership contexts, strong social skills are associated with the ability to inspire and motivate others, manage change, and create a positive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climate (Boyatzis, 2008). However, there is a risk that social skills may be misinterpreted as superficial charm or manipulation if not grounded in genuine emotional understanding. This highlights the importance of authenticity in the application of emotional intelligence.</w:t>
      </w:r>
    </w:p>
    <w:p w14:paraId="6313848D"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Critical Perspective</w:t>
      </w:r>
    </w:p>
    <w:p w14:paraId="7ED1029D"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Despite the widespread recognition of emotional intelligence as a valuable workplace competency, several criticisms have been raised regarding its </w:t>
      </w:r>
      <w:proofErr w:type="spellStart"/>
      <w:r w:rsidRPr="0094090F">
        <w:rPr>
          <w:rFonts w:ascii="Arial" w:hAnsi="Arial" w:cs="Arial"/>
          <w:sz w:val="22"/>
          <w:szCs w:val="22"/>
        </w:rPr>
        <w:t>conceptualisation</w:t>
      </w:r>
      <w:proofErr w:type="spellEnd"/>
      <w:r w:rsidRPr="0094090F">
        <w:rPr>
          <w:rFonts w:ascii="Arial" w:hAnsi="Arial" w:cs="Arial"/>
          <w:sz w:val="22"/>
          <w:szCs w:val="22"/>
        </w:rPr>
        <w:t xml:space="preserve"> and application. One of the primary challenges is the lack of a universally accepted definition of EI, which has led to inconsistencies in measurement and interpretation (Landy, 2005). Different models </w:t>
      </w:r>
      <w:proofErr w:type="spellStart"/>
      <w:r w:rsidRPr="0094090F">
        <w:rPr>
          <w:rFonts w:ascii="Arial" w:hAnsi="Arial" w:cs="Arial"/>
          <w:sz w:val="22"/>
          <w:szCs w:val="22"/>
        </w:rPr>
        <w:t>conceptualise</w:t>
      </w:r>
      <w:proofErr w:type="spellEnd"/>
      <w:r w:rsidRPr="0094090F">
        <w:rPr>
          <w:rFonts w:ascii="Arial" w:hAnsi="Arial" w:cs="Arial"/>
          <w:sz w:val="22"/>
          <w:szCs w:val="22"/>
        </w:rPr>
        <w:t xml:space="preserve"> EI in varying ways, ranging from cognitive abilities to personality traits, making it difficult to establish a </w:t>
      </w:r>
      <w:proofErr w:type="spellStart"/>
      <w:r w:rsidRPr="0094090F">
        <w:rPr>
          <w:rFonts w:ascii="Arial" w:hAnsi="Arial" w:cs="Arial"/>
          <w:sz w:val="22"/>
          <w:szCs w:val="22"/>
        </w:rPr>
        <w:t>standardised</w:t>
      </w:r>
      <w:proofErr w:type="spellEnd"/>
      <w:r w:rsidRPr="0094090F">
        <w:rPr>
          <w:rFonts w:ascii="Arial" w:hAnsi="Arial" w:cs="Arial"/>
          <w:sz w:val="22"/>
          <w:szCs w:val="22"/>
        </w:rPr>
        <w:t xml:space="preserve"> framework.</w:t>
      </w:r>
    </w:p>
    <w:p w14:paraId="335E48BB"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Furthermore, the measurement of emotional intelligence remains a contentious issue. While ability-based models </w:t>
      </w:r>
      <w:proofErr w:type="spellStart"/>
      <w:r w:rsidRPr="0094090F">
        <w:rPr>
          <w:rFonts w:ascii="Arial" w:hAnsi="Arial" w:cs="Arial"/>
          <w:sz w:val="22"/>
          <w:szCs w:val="22"/>
        </w:rPr>
        <w:t>utilise</w:t>
      </w:r>
      <w:proofErr w:type="spellEnd"/>
      <w:r w:rsidRPr="0094090F">
        <w:rPr>
          <w:rFonts w:ascii="Arial" w:hAnsi="Arial" w:cs="Arial"/>
          <w:sz w:val="22"/>
          <w:szCs w:val="22"/>
        </w:rPr>
        <w:t xml:space="preserve"> performance-based assessments, mixed models often rely on self-report measures, which are subject to bias and social desirability effects. This raises questions about the validity and reliability of EI assessments in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settings (Zeidner, Matthews and Roberts, 2009).</w:t>
      </w:r>
    </w:p>
    <w:p w14:paraId="431905F9"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Another important consideration is the role of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culture in shaping the expression and value of emotional intelligence. In highly competitive or performance-driven environments, emotional awareness and interpersonal sensitivity may be undervalued in </w:t>
      </w:r>
      <w:proofErr w:type="spellStart"/>
      <w:r w:rsidRPr="0094090F">
        <w:rPr>
          <w:rFonts w:ascii="Arial" w:hAnsi="Arial" w:cs="Arial"/>
          <w:sz w:val="22"/>
          <w:szCs w:val="22"/>
        </w:rPr>
        <w:t>favour</w:t>
      </w:r>
      <w:proofErr w:type="spellEnd"/>
      <w:r w:rsidRPr="0094090F">
        <w:rPr>
          <w:rFonts w:ascii="Arial" w:hAnsi="Arial" w:cs="Arial"/>
          <w:sz w:val="22"/>
          <w:szCs w:val="22"/>
        </w:rPr>
        <w:t xml:space="preserve"> of efficiency and results. Conversely, in collaborative and people-orientated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EI may be actively </w:t>
      </w:r>
      <w:r w:rsidRPr="0094090F">
        <w:rPr>
          <w:rFonts w:ascii="Arial" w:hAnsi="Arial" w:cs="Arial"/>
          <w:sz w:val="22"/>
          <w:szCs w:val="22"/>
        </w:rPr>
        <w:lastRenderedPageBreak/>
        <w:t>encouraged and rewarded. This suggests that the effectiveness of emotional intelligence is context-dependent and cannot be fully understood in isolation.</w:t>
      </w:r>
    </w:p>
    <w:p w14:paraId="32070BB5"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Moreover, critics have highlighted the potential for emotional intelligence to be used manipulatively. Individuals with high EI may possess the ability to influence others’ emotions in ways that serve their own interests, raising ethical concerns (Kilduff, </w:t>
      </w:r>
      <w:proofErr w:type="spellStart"/>
      <w:r w:rsidRPr="0094090F">
        <w:rPr>
          <w:rFonts w:ascii="Arial" w:hAnsi="Arial" w:cs="Arial"/>
          <w:sz w:val="22"/>
          <w:szCs w:val="22"/>
        </w:rPr>
        <w:t>Chiaburu</w:t>
      </w:r>
      <w:proofErr w:type="spellEnd"/>
      <w:r w:rsidRPr="0094090F">
        <w:rPr>
          <w:rFonts w:ascii="Arial" w:hAnsi="Arial" w:cs="Arial"/>
          <w:sz w:val="22"/>
          <w:szCs w:val="22"/>
        </w:rPr>
        <w:t xml:space="preserve"> and Menges, 2010). For example, a manager may use their understanding of employees’ emotions to gain compliance rather than to support well-being. This underscores the importance of integrating ethical considerations into EI training and development </w:t>
      </w:r>
      <w:proofErr w:type="spellStart"/>
      <w:r w:rsidRPr="0094090F">
        <w:rPr>
          <w:rFonts w:ascii="Arial" w:hAnsi="Arial" w:cs="Arial"/>
          <w:sz w:val="22"/>
          <w:szCs w:val="22"/>
        </w:rPr>
        <w:t>programmes</w:t>
      </w:r>
      <w:proofErr w:type="spellEnd"/>
      <w:r w:rsidRPr="0094090F">
        <w:rPr>
          <w:rFonts w:ascii="Arial" w:hAnsi="Arial" w:cs="Arial"/>
          <w:sz w:val="22"/>
          <w:szCs w:val="22"/>
        </w:rPr>
        <w:t>.</w:t>
      </w:r>
    </w:p>
    <w:p w14:paraId="5358E7F5"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Despite these limitations, the benefits of emotional intelligence in the workplace are substantial. Empirical evidence suggests that EI is positively associated with job performance, leadership effectiveness, and employee well-being (Côté, 2014). Employees who effectively </w:t>
      </w:r>
      <w:proofErr w:type="spellStart"/>
      <w:r w:rsidRPr="0094090F">
        <w:rPr>
          <w:rFonts w:ascii="Arial" w:hAnsi="Arial" w:cs="Arial"/>
          <w:sz w:val="22"/>
          <w:szCs w:val="22"/>
        </w:rPr>
        <w:t>utilise</w:t>
      </w:r>
      <w:proofErr w:type="spellEnd"/>
      <w:r w:rsidRPr="0094090F">
        <w:rPr>
          <w:rFonts w:ascii="Arial" w:hAnsi="Arial" w:cs="Arial"/>
          <w:sz w:val="22"/>
          <w:szCs w:val="22"/>
        </w:rPr>
        <w:t xml:space="preserve"> EI components are better equipped to manage stress, resolve conflicts, and build strong interpersonal relationships. These capabilities contribute to improved teamwork,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commitment, and overall performance.</w:t>
      </w:r>
    </w:p>
    <w:p w14:paraId="14C78D9B"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Furthermore, the integration of mindfulness practices can enhance the effectiveness of emotional intelligence. Mindfulness promotes self-awareness and emotional regulation by encouraging individuals to observe their thoughts and feelings without judgement (Brown and Ryan, 2003). This aligns closely with the core components of EI, particularly self-awareness and self-regulation, and can strengthen individuals’ ability to respond thoughtfully to workplace challenges.</w:t>
      </w:r>
    </w:p>
    <w:p w14:paraId="4690207E"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Summary</w:t>
      </w:r>
    </w:p>
    <w:p w14:paraId="223B498F"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In summary, emotional intelligence plays a significant role in shaping workplace </w:t>
      </w:r>
      <w:proofErr w:type="spellStart"/>
      <w:r w:rsidRPr="0094090F">
        <w:rPr>
          <w:rFonts w:ascii="Arial" w:hAnsi="Arial" w:cs="Arial"/>
          <w:sz w:val="22"/>
          <w:szCs w:val="22"/>
        </w:rPr>
        <w:t>behaviour</w:t>
      </w:r>
      <w:proofErr w:type="spellEnd"/>
      <w:r w:rsidRPr="0094090F">
        <w:rPr>
          <w:rFonts w:ascii="Arial" w:hAnsi="Arial" w:cs="Arial"/>
          <w:sz w:val="22"/>
          <w:szCs w:val="22"/>
        </w:rPr>
        <w:t xml:space="preserve"> and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outcomes. While various models offer different perspectives on EI, they collectively highlight the importance of emotional awareness, regulation, and interpersonal competence. The application of EI components—such as self-awareness, self-regulation, motivation, empathy, and social skills—can enhance communication, collaboration, and leadership effectiveness.</w:t>
      </w:r>
    </w:p>
    <w:p w14:paraId="6627B106" w14:textId="77777777" w:rsidR="00777CE1" w:rsidRDefault="00625C49" w:rsidP="00777CE1">
      <w:pPr>
        <w:spacing w:line="360" w:lineRule="auto"/>
        <w:rPr>
          <w:rFonts w:ascii="Arial" w:hAnsi="Arial" w:cs="Arial"/>
          <w:sz w:val="22"/>
          <w:szCs w:val="22"/>
        </w:rPr>
      </w:pPr>
      <w:r w:rsidRPr="0094090F">
        <w:rPr>
          <w:rFonts w:ascii="Arial" w:hAnsi="Arial" w:cs="Arial"/>
          <w:sz w:val="22"/>
          <w:szCs w:val="22"/>
        </w:rPr>
        <w:t xml:space="preserve">However, it is essential to adopt a critical perspective, </w:t>
      </w:r>
      <w:proofErr w:type="spellStart"/>
      <w:r w:rsidRPr="0094090F">
        <w:rPr>
          <w:rFonts w:ascii="Arial" w:hAnsi="Arial" w:cs="Arial"/>
          <w:sz w:val="22"/>
          <w:szCs w:val="22"/>
        </w:rPr>
        <w:t>recognising</w:t>
      </w:r>
      <w:proofErr w:type="spellEnd"/>
      <w:r w:rsidRPr="0094090F">
        <w:rPr>
          <w:rFonts w:ascii="Arial" w:hAnsi="Arial" w:cs="Arial"/>
          <w:sz w:val="22"/>
          <w:szCs w:val="22"/>
        </w:rPr>
        <w:t xml:space="preserve"> the limitations associated with </w:t>
      </w:r>
      <w:proofErr w:type="gramStart"/>
      <w:r w:rsidRPr="0094090F">
        <w:rPr>
          <w:rFonts w:ascii="Arial" w:hAnsi="Arial" w:cs="Arial"/>
          <w:sz w:val="22"/>
          <w:szCs w:val="22"/>
        </w:rPr>
        <w:t xml:space="preserve">the </w:t>
      </w:r>
      <w:proofErr w:type="spellStart"/>
      <w:r w:rsidRPr="0094090F">
        <w:rPr>
          <w:rFonts w:ascii="Arial" w:hAnsi="Arial" w:cs="Arial"/>
          <w:sz w:val="22"/>
          <w:szCs w:val="22"/>
        </w:rPr>
        <w:t>conceptualisation</w:t>
      </w:r>
      <w:proofErr w:type="spellEnd"/>
      <w:proofErr w:type="gramEnd"/>
      <w:r w:rsidRPr="0094090F">
        <w:rPr>
          <w:rFonts w:ascii="Arial" w:hAnsi="Arial" w:cs="Arial"/>
          <w:sz w:val="22"/>
          <w:szCs w:val="22"/>
        </w:rPr>
        <w:t xml:space="preserve">, measurement, and potential misuse of emotional intelligence. By understanding these complexities and integrating ethical considerations,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can harness the benefits of EI while mitigating its challenges. Ultimately, when supported by </w:t>
      </w:r>
      <w:r w:rsidRPr="0094090F">
        <w:rPr>
          <w:rFonts w:ascii="Arial" w:hAnsi="Arial" w:cs="Arial"/>
          <w:sz w:val="22"/>
          <w:szCs w:val="22"/>
        </w:rPr>
        <w:lastRenderedPageBreak/>
        <w:t>practices such as mindfulness, emotional intelligence can contribute to a more resilient, inclusive, and high-performing workplace.</w:t>
      </w:r>
    </w:p>
    <w:p w14:paraId="24782CCD" w14:textId="5141D8D1" w:rsidR="00625C49" w:rsidRPr="00777CE1" w:rsidRDefault="00625C49" w:rsidP="00777CE1">
      <w:pPr>
        <w:pStyle w:val="Heading1"/>
        <w:rPr>
          <w:rFonts w:ascii="Arial" w:hAnsi="Arial" w:cs="Arial"/>
          <w:sz w:val="22"/>
          <w:szCs w:val="22"/>
        </w:rPr>
      </w:pPr>
      <w:bookmarkStart w:id="2" w:name="_Toc225097620"/>
      <w:r w:rsidRPr="0094090F">
        <w:t>Generational Characteristics in Recruitment (X, Y, Z)</w:t>
      </w:r>
      <w:bookmarkEnd w:id="2"/>
    </w:p>
    <w:p w14:paraId="315B84F2"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Understanding generational diversity has become increasingly important in contemporary human resource management, particularly in the areas of recruitment, employee engagement, and retention. As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operate within a multigenerational workforce, managers must </w:t>
      </w:r>
      <w:proofErr w:type="spellStart"/>
      <w:r w:rsidRPr="0094090F">
        <w:rPr>
          <w:rFonts w:ascii="Arial" w:hAnsi="Arial" w:cs="Arial"/>
          <w:sz w:val="22"/>
          <w:szCs w:val="22"/>
        </w:rPr>
        <w:t>recognise</w:t>
      </w:r>
      <w:proofErr w:type="spellEnd"/>
      <w:r w:rsidRPr="0094090F">
        <w:rPr>
          <w:rFonts w:ascii="Arial" w:hAnsi="Arial" w:cs="Arial"/>
          <w:sz w:val="22"/>
          <w:szCs w:val="22"/>
        </w:rPr>
        <w:t xml:space="preserve"> that individuals from different age </w:t>
      </w:r>
      <w:proofErr w:type="gramStart"/>
      <w:r w:rsidRPr="0094090F">
        <w:rPr>
          <w:rFonts w:ascii="Arial" w:hAnsi="Arial" w:cs="Arial"/>
          <w:sz w:val="22"/>
          <w:szCs w:val="22"/>
        </w:rPr>
        <w:t>cohorts</w:t>
      </w:r>
      <w:proofErr w:type="gramEnd"/>
      <w:r w:rsidRPr="0094090F">
        <w:rPr>
          <w:rFonts w:ascii="Arial" w:hAnsi="Arial" w:cs="Arial"/>
          <w:sz w:val="22"/>
          <w:szCs w:val="22"/>
        </w:rPr>
        <w:t xml:space="preserve"> often possess distinct values, expectations, and attitudes towards work. These differences are largely shaped by the socio-economic, technological, and cultural contexts in which each generation has developed (Parry and Urwin, 2011). Consequently, adopting a generational perspective can provide valuable insights into employee </w:t>
      </w:r>
      <w:proofErr w:type="spellStart"/>
      <w:r w:rsidRPr="0094090F">
        <w:rPr>
          <w:rFonts w:ascii="Arial" w:hAnsi="Arial" w:cs="Arial"/>
          <w:sz w:val="22"/>
          <w:szCs w:val="22"/>
        </w:rPr>
        <w:t>behaviour</w:t>
      </w:r>
      <w:proofErr w:type="spellEnd"/>
      <w:r w:rsidRPr="0094090F">
        <w:rPr>
          <w:rFonts w:ascii="Arial" w:hAnsi="Arial" w:cs="Arial"/>
          <w:sz w:val="22"/>
          <w:szCs w:val="22"/>
        </w:rPr>
        <w:t>, although it is important to approach such frameworks critically to avoid stereotyping.</w:t>
      </w:r>
    </w:p>
    <w:p w14:paraId="1F0814E7"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Generational theory suggests that cohorts of individuals who experience similar historical and social events during formative years develop shared characteristics and worldviews (Mannheim, 1952). In the workplace, the </w:t>
      </w:r>
      <w:proofErr w:type="gramStart"/>
      <w:r w:rsidRPr="0094090F">
        <w:rPr>
          <w:rFonts w:ascii="Arial" w:hAnsi="Arial" w:cs="Arial"/>
          <w:sz w:val="22"/>
          <w:szCs w:val="22"/>
        </w:rPr>
        <w:t>most commonly discussed</w:t>
      </w:r>
      <w:proofErr w:type="gramEnd"/>
      <w:r w:rsidRPr="0094090F">
        <w:rPr>
          <w:rFonts w:ascii="Arial" w:hAnsi="Arial" w:cs="Arial"/>
          <w:sz w:val="22"/>
          <w:szCs w:val="22"/>
        </w:rPr>
        <w:t xml:space="preserve"> cohorts include Generation X, Generation Y (Millennials), and Generation Z. Each group contributes unique strengths and challenges, which have significant implications for recruitment strategies and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practices.</w:t>
      </w:r>
    </w:p>
    <w:p w14:paraId="1416A55B"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Generation X (born approximately 1965–1980)</w:t>
      </w:r>
    </w:p>
    <w:p w14:paraId="43D259D1"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Generation X employees are often </w:t>
      </w:r>
      <w:proofErr w:type="spellStart"/>
      <w:r w:rsidRPr="0094090F">
        <w:rPr>
          <w:rFonts w:ascii="Arial" w:hAnsi="Arial" w:cs="Arial"/>
          <w:sz w:val="22"/>
          <w:szCs w:val="22"/>
        </w:rPr>
        <w:t>characterised</w:t>
      </w:r>
      <w:proofErr w:type="spellEnd"/>
      <w:r w:rsidRPr="0094090F">
        <w:rPr>
          <w:rFonts w:ascii="Arial" w:hAnsi="Arial" w:cs="Arial"/>
          <w:sz w:val="22"/>
          <w:szCs w:val="22"/>
        </w:rPr>
        <w:t xml:space="preserve"> by independence, resilience, and a pragmatic approach to work. Having grown up during periods of economic instability, corporate restructuring, and increasing workforce participation of dual-income households, this cohort tends to value job security, self-sufficiency, and work-life balance (Smola and Sutton, 2002). These experiences have contributed to a cautious yet adaptable mindset, making Gen X employees reliable and capable of managing uncertainty in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contexts.</w:t>
      </w:r>
    </w:p>
    <w:p w14:paraId="77CC84E2"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In recruitment, managers should </w:t>
      </w:r>
      <w:proofErr w:type="spellStart"/>
      <w:r w:rsidRPr="0094090F">
        <w:rPr>
          <w:rFonts w:ascii="Arial" w:hAnsi="Arial" w:cs="Arial"/>
          <w:sz w:val="22"/>
          <w:szCs w:val="22"/>
        </w:rPr>
        <w:t>recognise</w:t>
      </w:r>
      <w:proofErr w:type="spellEnd"/>
      <w:r w:rsidRPr="0094090F">
        <w:rPr>
          <w:rFonts w:ascii="Arial" w:hAnsi="Arial" w:cs="Arial"/>
          <w:sz w:val="22"/>
          <w:szCs w:val="22"/>
        </w:rPr>
        <w:t xml:space="preserve"> that Generation X individuals are often motivated by stability and opportunities for professional development. They tend to prefer roles that offer autonomy and clear expectations, allowing them to </w:t>
      </w:r>
      <w:proofErr w:type="spellStart"/>
      <w:r w:rsidRPr="0094090F">
        <w:rPr>
          <w:rFonts w:ascii="Arial" w:hAnsi="Arial" w:cs="Arial"/>
          <w:sz w:val="22"/>
          <w:szCs w:val="22"/>
        </w:rPr>
        <w:t>utilise</w:t>
      </w:r>
      <w:proofErr w:type="spellEnd"/>
      <w:r w:rsidRPr="0094090F">
        <w:rPr>
          <w:rFonts w:ascii="Arial" w:hAnsi="Arial" w:cs="Arial"/>
          <w:sz w:val="22"/>
          <w:szCs w:val="22"/>
        </w:rPr>
        <w:t xml:space="preserve"> their experience without excessive supervision. Furthermore, this cohort values flexibility, particularly in balancing professional and personal responsibilities, which may include caregiving roles for both children and ageing parents (Twenge, 2010).</w:t>
      </w:r>
    </w:p>
    <w:p w14:paraId="7C12C9C2"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lastRenderedPageBreak/>
        <w:t xml:space="preserve">Despite their strengths, some challenges may arise when integrating Generation X employees into rapidly evolving technological environments. While many members of this cohort have adapted to digital advancements, they may not exhibit the same level of technological fluency as younger generations. As a result,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should provide ongoing training and support to ensure that Gen X employees remain confident and competent in </w:t>
      </w:r>
      <w:proofErr w:type="spellStart"/>
      <w:r w:rsidRPr="0094090F">
        <w:rPr>
          <w:rFonts w:ascii="Arial" w:hAnsi="Arial" w:cs="Arial"/>
          <w:sz w:val="22"/>
          <w:szCs w:val="22"/>
        </w:rPr>
        <w:t>utilising</w:t>
      </w:r>
      <w:proofErr w:type="spellEnd"/>
      <w:r w:rsidRPr="0094090F">
        <w:rPr>
          <w:rFonts w:ascii="Arial" w:hAnsi="Arial" w:cs="Arial"/>
          <w:sz w:val="22"/>
          <w:szCs w:val="22"/>
        </w:rPr>
        <w:t xml:space="preserve"> new technologies. However, it is important to avoid assumptions about technological capability, as many individuals within this </w:t>
      </w:r>
      <w:proofErr w:type="gramStart"/>
      <w:r w:rsidRPr="0094090F">
        <w:rPr>
          <w:rFonts w:ascii="Arial" w:hAnsi="Arial" w:cs="Arial"/>
          <w:sz w:val="22"/>
          <w:szCs w:val="22"/>
        </w:rPr>
        <w:t>cohort</w:t>
      </w:r>
      <w:proofErr w:type="gramEnd"/>
      <w:r w:rsidRPr="0094090F">
        <w:rPr>
          <w:rFonts w:ascii="Arial" w:hAnsi="Arial" w:cs="Arial"/>
          <w:sz w:val="22"/>
          <w:szCs w:val="22"/>
        </w:rPr>
        <w:t xml:space="preserve"> are highly skilled and adaptable.</w:t>
      </w:r>
    </w:p>
    <w:p w14:paraId="77D31AD3"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Generation Y / Millennials (born approximately 1981–1996)</w:t>
      </w:r>
    </w:p>
    <w:p w14:paraId="78B8FA86"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Millennials represent a significant proportion of the contemporary workforce and are often associated with a strong desire for meaningful work, collaboration, and continuous feedback. Having grown up during a period of rapid technological advancement and global connectivity, this generation is highly comfortable with digital tools and communication platforms (Howe and Strauss, 2000). Additionally, Millennials are more likely to </w:t>
      </w:r>
      <w:proofErr w:type="spellStart"/>
      <w:r w:rsidRPr="0094090F">
        <w:rPr>
          <w:rFonts w:ascii="Arial" w:hAnsi="Arial" w:cs="Arial"/>
          <w:sz w:val="22"/>
          <w:szCs w:val="22"/>
        </w:rPr>
        <w:t>prioritise</w:t>
      </w:r>
      <w:proofErr w:type="spellEnd"/>
      <w:r w:rsidRPr="0094090F">
        <w:rPr>
          <w:rFonts w:ascii="Arial" w:hAnsi="Arial" w:cs="Arial"/>
          <w:sz w:val="22"/>
          <w:szCs w:val="22"/>
        </w:rPr>
        <w:t xml:space="preserve"> personal fulfilment and alignment with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values when selecting employment opportunities.</w:t>
      </w:r>
    </w:p>
    <w:p w14:paraId="6B6FD9D8"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From a recruitment perspective,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must </w:t>
      </w:r>
      <w:proofErr w:type="spellStart"/>
      <w:r w:rsidRPr="0094090F">
        <w:rPr>
          <w:rFonts w:ascii="Arial" w:hAnsi="Arial" w:cs="Arial"/>
          <w:sz w:val="22"/>
          <w:szCs w:val="22"/>
        </w:rPr>
        <w:t>emphasise</w:t>
      </w:r>
      <w:proofErr w:type="spellEnd"/>
      <w:r w:rsidRPr="0094090F">
        <w:rPr>
          <w:rFonts w:ascii="Arial" w:hAnsi="Arial" w:cs="Arial"/>
          <w:sz w:val="22"/>
          <w:szCs w:val="22"/>
        </w:rPr>
        <w:t xml:space="preserve"> purpose, career development, and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culture to attract Millennial talent. Research indicates that Millennials are particularly motivated by opportunities for learning, progression, and skill development, as well as by workplaces that promote inclusivity and social responsibility (Ng, Schweitzer and Lyons, 2010). Consequently, employers who fail to provide these opportunities may struggle to retain Millennial employees.</w:t>
      </w:r>
    </w:p>
    <w:p w14:paraId="3D05145A"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Managers should also be aware that Millennials typically expect regular feedback and recognition, reflecting their exposure to continuous evaluation in educational settings. This preference for feedback can enhance performance and engagement when managed effectively; however, it may also place additional demands on managers who must provide consistent communication and support. Furthermore, Millennials tend to </w:t>
      </w:r>
      <w:proofErr w:type="spellStart"/>
      <w:r w:rsidRPr="0094090F">
        <w:rPr>
          <w:rFonts w:ascii="Arial" w:hAnsi="Arial" w:cs="Arial"/>
          <w:sz w:val="22"/>
          <w:szCs w:val="22"/>
        </w:rPr>
        <w:t>favour</w:t>
      </w:r>
      <w:proofErr w:type="spellEnd"/>
      <w:r w:rsidRPr="0094090F">
        <w:rPr>
          <w:rFonts w:ascii="Arial" w:hAnsi="Arial" w:cs="Arial"/>
          <w:sz w:val="22"/>
          <w:szCs w:val="22"/>
        </w:rPr>
        <w:t xml:space="preserve"> collaborative working environments, where teamwork and shared decision-making are encouraged.</w:t>
      </w:r>
    </w:p>
    <w:p w14:paraId="06EA954B"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A common critique of this generation is the perception of reduced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loyalty, as Millennials are more inclined to change jobs in pursuit of better opportunities or career advancement (Twenge, 2010). While this may present challenges for retention, it also reflects a broader shift in employment patterns, where long-term job security has been replaced by more flexible and dynamic career paths. Therefore,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must adapt their recruitment and retention strategies to align with these evolving expectations.</w:t>
      </w:r>
    </w:p>
    <w:p w14:paraId="706E147E"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lastRenderedPageBreak/>
        <w:t>Generation Z (born approximately 1997 onwards)</w:t>
      </w:r>
    </w:p>
    <w:p w14:paraId="4A151318"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Generation Z represents the newest entrants to the workforce and is distinguished by its status as the first fully digital-native generation. Having grown up with constant access to the internet, social media, and mobile technology, Gen Z individuals are highly proficient in digital communication and information processing (Schroth, 2019). This technological fluency has significant implications for workplace practices, particularly in relation to communication, innovation, and remote working.</w:t>
      </w:r>
    </w:p>
    <w:p w14:paraId="258A5A29"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In addition to their digital capabilities, Generation Z is often </w:t>
      </w:r>
      <w:proofErr w:type="spellStart"/>
      <w:r w:rsidRPr="0094090F">
        <w:rPr>
          <w:rFonts w:ascii="Arial" w:hAnsi="Arial" w:cs="Arial"/>
          <w:sz w:val="22"/>
          <w:szCs w:val="22"/>
        </w:rPr>
        <w:t>characterised</w:t>
      </w:r>
      <w:proofErr w:type="spellEnd"/>
      <w:r w:rsidRPr="0094090F">
        <w:rPr>
          <w:rFonts w:ascii="Arial" w:hAnsi="Arial" w:cs="Arial"/>
          <w:sz w:val="22"/>
          <w:szCs w:val="22"/>
        </w:rPr>
        <w:t xml:space="preserve"> by a strong emphasis on diversity, inclusion, and social awareness. This cohort is more likely to value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that demonstrate ethical practices, corporate social responsibility, and a commitment to employee well-being (Francis and Hoefel, 2018). As a result, recruitment strategies targeting Gen Z should highlight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values, inclusivity, and opportunities for personal and professional growth.</w:t>
      </w:r>
    </w:p>
    <w:p w14:paraId="47B19396"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Managers must also </w:t>
      </w:r>
      <w:proofErr w:type="spellStart"/>
      <w:r w:rsidRPr="0094090F">
        <w:rPr>
          <w:rFonts w:ascii="Arial" w:hAnsi="Arial" w:cs="Arial"/>
          <w:sz w:val="22"/>
          <w:szCs w:val="22"/>
        </w:rPr>
        <w:t>recognise</w:t>
      </w:r>
      <w:proofErr w:type="spellEnd"/>
      <w:r w:rsidRPr="0094090F">
        <w:rPr>
          <w:rFonts w:ascii="Arial" w:hAnsi="Arial" w:cs="Arial"/>
          <w:sz w:val="22"/>
          <w:szCs w:val="22"/>
        </w:rPr>
        <w:t xml:space="preserve"> that Generation Z employees may require additional support in developing professional skills, particularly in areas such as communication, time management, and workplace etiquette. While they are highly adaptable and innovative, their limited work experience may necessitate structured onboarding and mentoring </w:t>
      </w:r>
      <w:proofErr w:type="spellStart"/>
      <w:r w:rsidRPr="0094090F">
        <w:rPr>
          <w:rFonts w:ascii="Arial" w:hAnsi="Arial" w:cs="Arial"/>
          <w:sz w:val="22"/>
          <w:szCs w:val="22"/>
        </w:rPr>
        <w:t>programmes</w:t>
      </w:r>
      <w:proofErr w:type="spellEnd"/>
      <w:r w:rsidRPr="0094090F">
        <w:rPr>
          <w:rFonts w:ascii="Arial" w:hAnsi="Arial" w:cs="Arial"/>
          <w:sz w:val="22"/>
          <w:szCs w:val="22"/>
        </w:rPr>
        <w:t>. Furthermore, this generation places significant importance on mental health and well-being, expecting employers to provide supportive and flexible working environments.</w:t>
      </w:r>
    </w:p>
    <w:p w14:paraId="0277C048"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Another notable characteristic of Generation Z is their preference for clear and direct communication. Having grown up in an environment of rapid information exchange, they often </w:t>
      </w:r>
      <w:proofErr w:type="spellStart"/>
      <w:r w:rsidRPr="0094090F">
        <w:rPr>
          <w:rFonts w:ascii="Arial" w:hAnsi="Arial" w:cs="Arial"/>
          <w:sz w:val="22"/>
          <w:szCs w:val="22"/>
        </w:rPr>
        <w:t>favour</w:t>
      </w:r>
      <w:proofErr w:type="spellEnd"/>
      <w:r w:rsidRPr="0094090F">
        <w:rPr>
          <w:rFonts w:ascii="Arial" w:hAnsi="Arial" w:cs="Arial"/>
          <w:sz w:val="22"/>
          <w:szCs w:val="22"/>
        </w:rPr>
        <w:t xml:space="preserve"> concise and transparent interactions. This can enhance efficiency but may also require adjustments in communication styles among managers and colleagues from older generations.</w:t>
      </w:r>
    </w:p>
    <w:p w14:paraId="47183504"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Managing Generational Differences</w:t>
      </w:r>
    </w:p>
    <w:p w14:paraId="06B6B067"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Effectively managing a multigenerational workforce requires a flexible and inclusive approach that acknowledges both the differences and commonalities among employees. Managers must develop the ability to adapt their leadership and recruitment strategies to accommodate diverse expectations while fostering a cohesive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culture.</w:t>
      </w:r>
    </w:p>
    <w:p w14:paraId="299A10A6"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One key strategy is the implementation of flexible working arrangements, which can benefit employees across all generations. For example, Generation X may value flexibility to manage family responsibilities, while Millennials and Generation Z may seek remote working options and </w:t>
      </w:r>
      <w:r w:rsidRPr="0094090F">
        <w:rPr>
          <w:rFonts w:ascii="Arial" w:hAnsi="Arial" w:cs="Arial"/>
          <w:sz w:val="22"/>
          <w:szCs w:val="22"/>
        </w:rPr>
        <w:lastRenderedPageBreak/>
        <w:t xml:space="preserve">greater autonomy (Kuron et al., 2015). By offering flexible work policies,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can enhance employee satisfaction and retention.</w:t>
      </w:r>
    </w:p>
    <w:p w14:paraId="167D70BF"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Another important consideration is the provision of tailored training and development opportunities. Different generations may have varying learning preferences, with older employees </w:t>
      </w:r>
      <w:proofErr w:type="spellStart"/>
      <w:r w:rsidRPr="0094090F">
        <w:rPr>
          <w:rFonts w:ascii="Arial" w:hAnsi="Arial" w:cs="Arial"/>
          <w:sz w:val="22"/>
          <w:szCs w:val="22"/>
        </w:rPr>
        <w:t>favouring</w:t>
      </w:r>
      <w:proofErr w:type="spellEnd"/>
      <w:r w:rsidRPr="0094090F">
        <w:rPr>
          <w:rFonts w:ascii="Arial" w:hAnsi="Arial" w:cs="Arial"/>
          <w:sz w:val="22"/>
          <w:szCs w:val="22"/>
        </w:rPr>
        <w:t xml:space="preserve"> structured training </w:t>
      </w:r>
      <w:proofErr w:type="spellStart"/>
      <w:r w:rsidRPr="0094090F">
        <w:rPr>
          <w:rFonts w:ascii="Arial" w:hAnsi="Arial" w:cs="Arial"/>
          <w:sz w:val="22"/>
          <w:szCs w:val="22"/>
        </w:rPr>
        <w:t>programmes</w:t>
      </w:r>
      <w:proofErr w:type="spellEnd"/>
      <w:r w:rsidRPr="0094090F">
        <w:rPr>
          <w:rFonts w:ascii="Arial" w:hAnsi="Arial" w:cs="Arial"/>
          <w:sz w:val="22"/>
          <w:szCs w:val="22"/>
        </w:rPr>
        <w:t xml:space="preserve"> and younger employees preferring interactive and technology-based learning. By adopting a </w:t>
      </w:r>
      <w:proofErr w:type="spellStart"/>
      <w:r w:rsidRPr="0094090F">
        <w:rPr>
          <w:rFonts w:ascii="Arial" w:hAnsi="Arial" w:cs="Arial"/>
          <w:sz w:val="22"/>
          <w:szCs w:val="22"/>
        </w:rPr>
        <w:t>personalised</w:t>
      </w:r>
      <w:proofErr w:type="spellEnd"/>
      <w:r w:rsidRPr="0094090F">
        <w:rPr>
          <w:rFonts w:ascii="Arial" w:hAnsi="Arial" w:cs="Arial"/>
          <w:sz w:val="22"/>
          <w:szCs w:val="22"/>
        </w:rPr>
        <w:t xml:space="preserve"> approach to development,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can ensure that all employees </w:t>
      </w:r>
      <w:proofErr w:type="gramStart"/>
      <w:r w:rsidRPr="0094090F">
        <w:rPr>
          <w:rFonts w:ascii="Arial" w:hAnsi="Arial" w:cs="Arial"/>
          <w:sz w:val="22"/>
          <w:szCs w:val="22"/>
        </w:rPr>
        <w:t>have the opportunity to</w:t>
      </w:r>
      <w:proofErr w:type="gramEnd"/>
      <w:r w:rsidRPr="0094090F">
        <w:rPr>
          <w:rFonts w:ascii="Arial" w:hAnsi="Arial" w:cs="Arial"/>
          <w:sz w:val="22"/>
          <w:szCs w:val="22"/>
        </w:rPr>
        <w:t xml:space="preserve"> enhance their skills and contribute effectively.</w:t>
      </w:r>
    </w:p>
    <w:p w14:paraId="655B0AF4"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Encouraging open communication and feedback is also essential in bridging generational gaps. While Millennials and Generation Z may expect frequent feedback, Generation X employees may prefer more independent working styles. Managers must strike a balance by providing appropriate levels of communication while respecting individual preferences. This can be achieved through regular performance reviews, informal check-ins, and the use of digital communication tools.</w:t>
      </w:r>
    </w:p>
    <w:p w14:paraId="70C01BFD"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Promoting </w:t>
      </w:r>
      <w:proofErr w:type="gramStart"/>
      <w:r w:rsidRPr="0094090F">
        <w:rPr>
          <w:rFonts w:ascii="Arial" w:hAnsi="Arial" w:cs="Arial"/>
          <w:sz w:val="22"/>
          <w:szCs w:val="22"/>
        </w:rPr>
        <w:t>inclusivity</w:t>
      </w:r>
      <w:proofErr w:type="gramEnd"/>
      <w:r w:rsidRPr="0094090F">
        <w:rPr>
          <w:rFonts w:ascii="Arial" w:hAnsi="Arial" w:cs="Arial"/>
          <w:sz w:val="22"/>
          <w:szCs w:val="22"/>
        </w:rPr>
        <w:t xml:space="preserve"> and mutual respect is fundamental to creating a positive work environment. Generational differences should be viewed as a source of diversity and innovation rather than as a barrier to collaboration. By fostering an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culture that values diverse perspectives, managers can encourage knowledge sharing and cross-generational learning.</w:t>
      </w:r>
    </w:p>
    <w:p w14:paraId="14FEA197"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Critical Perspective</w:t>
      </w:r>
    </w:p>
    <w:p w14:paraId="0789C7E5"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While generational frameworks provide useful insights, it is important to acknowledge their limitations. Critics argue that generational differences may be overstated and that individual characteristics, such as personality, education, and cultural background, play a more significant role in shaping </w:t>
      </w:r>
      <w:proofErr w:type="spellStart"/>
      <w:r w:rsidRPr="0094090F">
        <w:rPr>
          <w:rFonts w:ascii="Arial" w:hAnsi="Arial" w:cs="Arial"/>
          <w:sz w:val="22"/>
          <w:szCs w:val="22"/>
        </w:rPr>
        <w:t>behaviour</w:t>
      </w:r>
      <w:proofErr w:type="spellEnd"/>
      <w:r w:rsidRPr="0094090F">
        <w:rPr>
          <w:rFonts w:ascii="Arial" w:hAnsi="Arial" w:cs="Arial"/>
          <w:sz w:val="22"/>
          <w:szCs w:val="22"/>
        </w:rPr>
        <w:t xml:space="preserve"> (Costanza et al., 2012). Over-reliance on generational stereotypes may lead to biased recruitment decisions and hinder diversity efforts.</w:t>
      </w:r>
    </w:p>
    <w:p w14:paraId="4BC64BD8"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Furthermore, the boundaries between generations are not always clearly defined, and there is considerable variation within each cohort. For example, not all Millennials </w:t>
      </w:r>
      <w:proofErr w:type="spellStart"/>
      <w:r w:rsidRPr="0094090F">
        <w:rPr>
          <w:rFonts w:ascii="Arial" w:hAnsi="Arial" w:cs="Arial"/>
          <w:sz w:val="22"/>
          <w:szCs w:val="22"/>
        </w:rPr>
        <w:t>prioritise</w:t>
      </w:r>
      <w:proofErr w:type="spellEnd"/>
      <w:r w:rsidRPr="0094090F">
        <w:rPr>
          <w:rFonts w:ascii="Arial" w:hAnsi="Arial" w:cs="Arial"/>
          <w:sz w:val="22"/>
          <w:szCs w:val="22"/>
        </w:rPr>
        <w:t xml:space="preserve"> flexibility, and not all Generation X employees resist technological change. Therefore, managers should avoid making assumptions based solely on generational labels and instead focus on understanding employees as individuals.</w:t>
      </w:r>
    </w:p>
    <w:p w14:paraId="11588B64"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lastRenderedPageBreak/>
        <w:t xml:space="preserve">Despite these criticisms, generational awareness remains a valuable tool for informing recruitment and management practices. By </w:t>
      </w:r>
      <w:proofErr w:type="spellStart"/>
      <w:r w:rsidRPr="0094090F">
        <w:rPr>
          <w:rFonts w:ascii="Arial" w:hAnsi="Arial" w:cs="Arial"/>
          <w:sz w:val="22"/>
          <w:szCs w:val="22"/>
        </w:rPr>
        <w:t>recognising</w:t>
      </w:r>
      <w:proofErr w:type="spellEnd"/>
      <w:r w:rsidRPr="0094090F">
        <w:rPr>
          <w:rFonts w:ascii="Arial" w:hAnsi="Arial" w:cs="Arial"/>
          <w:sz w:val="22"/>
          <w:szCs w:val="22"/>
        </w:rPr>
        <w:t xml:space="preserve"> general trends and adapting strategies accordingly,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can create more inclusive and effective work environments.</w:t>
      </w:r>
    </w:p>
    <w:p w14:paraId="0CE840B7"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Summary</w:t>
      </w:r>
    </w:p>
    <w:p w14:paraId="45076799"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In conclusion, the presence of multiple generations within the workforce presents both opportunities and challenges for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Generation X, Millennials, and Generation Z each bring unique strengths, values, and expectations that influence workplace </w:t>
      </w:r>
      <w:proofErr w:type="spellStart"/>
      <w:r w:rsidRPr="0094090F">
        <w:rPr>
          <w:rFonts w:ascii="Arial" w:hAnsi="Arial" w:cs="Arial"/>
          <w:sz w:val="22"/>
          <w:szCs w:val="22"/>
        </w:rPr>
        <w:t>behaviour</w:t>
      </w:r>
      <w:proofErr w:type="spellEnd"/>
      <w:r w:rsidRPr="0094090F">
        <w:rPr>
          <w:rFonts w:ascii="Arial" w:hAnsi="Arial" w:cs="Arial"/>
          <w:sz w:val="22"/>
          <w:szCs w:val="22"/>
        </w:rPr>
        <w:t xml:space="preserve"> and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dynamics. Effective recruitment and management require a nuanced understanding of these differences, combined with a commitment to inclusivity and flexibility.</w:t>
      </w:r>
    </w:p>
    <w:p w14:paraId="481E3E7C"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By adopting tailored approaches to recruitment, communication, and development,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can harness the strengths of a diverse workforce while </w:t>
      </w:r>
      <w:proofErr w:type="spellStart"/>
      <w:r w:rsidRPr="0094090F">
        <w:rPr>
          <w:rFonts w:ascii="Arial" w:hAnsi="Arial" w:cs="Arial"/>
          <w:sz w:val="22"/>
          <w:szCs w:val="22"/>
        </w:rPr>
        <w:t>minimising</w:t>
      </w:r>
      <w:proofErr w:type="spellEnd"/>
      <w:r w:rsidRPr="0094090F">
        <w:rPr>
          <w:rFonts w:ascii="Arial" w:hAnsi="Arial" w:cs="Arial"/>
          <w:sz w:val="22"/>
          <w:szCs w:val="22"/>
        </w:rPr>
        <w:t xml:space="preserve"> potential conflicts. However, it is essential to balance generational insights with an appreciation of individual differences, ensuring that management practices remain fair, inclusive, and </w:t>
      </w:r>
      <w:proofErr w:type="gramStart"/>
      <w:r w:rsidRPr="0094090F">
        <w:rPr>
          <w:rFonts w:ascii="Arial" w:hAnsi="Arial" w:cs="Arial"/>
          <w:sz w:val="22"/>
          <w:szCs w:val="22"/>
        </w:rPr>
        <w:t>evidence-based</w:t>
      </w:r>
      <w:proofErr w:type="gramEnd"/>
      <w:r w:rsidRPr="0094090F">
        <w:rPr>
          <w:rFonts w:ascii="Arial" w:hAnsi="Arial" w:cs="Arial"/>
          <w:sz w:val="22"/>
          <w:szCs w:val="22"/>
        </w:rPr>
        <w:t>.</w:t>
      </w:r>
    </w:p>
    <w:p w14:paraId="49612DED" w14:textId="77777777" w:rsidR="0094090F" w:rsidRPr="0094090F" w:rsidRDefault="0094090F" w:rsidP="0094090F">
      <w:pPr>
        <w:spacing w:line="360" w:lineRule="auto"/>
        <w:rPr>
          <w:rFonts w:ascii="Arial" w:hAnsi="Arial" w:cs="Arial"/>
          <w:sz w:val="22"/>
          <w:szCs w:val="22"/>
        </w:rPr>
      </w:pPr>
    </w:p>
    <w:p w14:paraId="1E069103" w14:textId="77777777" w:rsidR="00D8411F" w:rsidRDefault="00D8411F" w:rsidP="0094090F">
      <w:pPr>
        <w:spacing w:line="360" w:lineRule="auto"/>
        <w:rPr>
          <w:rFonts w:ascii="Arial" w:hAnsi="Arial" w:cs="Arial"/>
          <w:sz w:val="22"/>
          <w:szCs w:val="22"/>
        </w:rPr>
      </w:pPr>
    </w:p>
    <w:p w14:paraId="7E3AEDEA" w14:textId="77777777" w:rsidR="00D8411F" w:rsidRDefault="00D8411F" w:rsidP="0094090F">
      <w:pPr>
        <w:spacing w:line="360" w:lineRule="auto"/>
        <w:rPr>
          <w:rFonts w:ascii="Arial" w:hAnsi="Arial" w:cs="Arial"/>
          <w:sz w:val="22"/>
          <w:szCs w:val="22"/>
        </w:rPr>
      </w:pPr>
    </w:p>
    <w:p w14:paraId="0B4BCE07" w14:textId="77777777" w:rsidR="00D8411F" w:rsidRDefault="00D8411F" w:rsidP="0094090F">
      <w:pPr>
        <w:spacing w:line="360" w:lineRule="auto"/>
        <w:rPr>
          <w:rFonts w:ascii="Arial" w:hAnsi="Arial" w:cs="Arial"/>
          <w:sz w:val="22"/>
          <w:szCs w:val="22"/>
        </w:rPr>
      </w:pPr>
    </w:p>
    <w:p w14:paraId="00EAB235" w14:textId="77777777" w:rsidR="00D8411F" w:rsidRDefault="00D8411F" w:rsidP="0094090F">
      <w:pPr>
        <w:spacing w:line="360" w:lineRule="auto"/>
        <w:rPr>
          <w:rFonts w:ascii="Arial" w:hAnsi="Arial" w:cs="Arial"/>
          <w:sz w:val="22"/>
          <w:szCs w:val="22"/>
        </w:rPr>
      </w:pPr>
    </w:p>
    <w:p w14:paraId="4F1A5D50" w14:textId="77777777" w:rsidR="00D8411F" w:rsidRDefault="00D8411F" w:rsidP="0094090F">
      <w:pPr>
        <w:spacing w:line="360" w:lineRule="auto"/>
        <w:rPr>
          <w:rFonts w:ascii="Arial" w:hAnsi="Arial" w:cs="Arial"/>
          <w:sz w:val="22"/>
          <w:szCs w:val="22"/>
        </w:rPr>
      </w:pPr>
    </w:p>
    <w:p w14:paraId="16E82304" w14:textId="77777777" w:rsidR="00D8411F" w:rsidRDefault="00D8411F" w:rsidP="0094090F">
      <w:pPr>
        <w:spacing w:line="360" w:lineRule="auto"/>
        <w:rPr>
          <w:rFonts w:ascii="Arial" w:hAnsi="Arial" w:cs="Arial"/>
          <w:sz w:val="22"/>
          <w:szCs w:val="22"/>
        </w:rPr>
      </w:pPr>
    </w:p>
    <w:p w14:paraId="6708095C" w14:textId="77777777" w:rsidR="00D8411F" w:rsidRDefault="00D8411F" w:rsidP="0094090F">
      <w:pPr>
        <w:spacing w:line="360" w:lineRule="auto"/>
        <w:rPr>
          <w:rFonts w:ascii="Arial" w:hAnsi="Arial" w:cs="Arial"/>
          <w:sz w:val="22"/>
          <w:szCs w:val="22"/>
        </w:rPr>
      </w:pPr>
    </w:p>
    <w:p w14:paraId="749670BD" w14:textId="77777777" w:rsidR="00D8411F" w:rsidRDefault="00D8411F" w:rsidP="0094090F">
      <w:pPr>
        <w:spacing w:line="360" w:lineRule="auto"/>
        <w:rPr>
          <w:rFonts w:ascii="Arial" w:hAnsi="Arial" w:cs="Arial"/>
          <w:sz w:val="22"/>
          <w:szCs w:val="22"/>
        </w:rPr>
      </w:pPr>
    </w:p>
    <w:p w14:paraId="4610CB45" w14:textId="77777777" w:rsidR="00D8411F" w:rsidRDefault="00D8411F" w:rsidP="0094090F">
      <w:pPr>
        <w:spacing w:line="360" w:lineRule="auto"/>
        <w:rPr>
          <w:rFonts w:ascii="Arial" w:hAnsi="Arial" w:cs="Arial"/>
          <w:sz w:val="22"/>
          <w:szCs w:val="22"/>
        </w:rPr>
      </w:pPr>
    </w:p>
    <w:p w14:paraId="439EF3E0" w14:textId="77777777" w:rsidR="00D8411F" w:rsidRDefault="00D8411F" w:rsidP="0094090F">
      <w:pPr>
        <w:spacing w:line="360" w:lineRule="auto"/>
        <w:rPr>
          <w:rFonts w:ascii="Arial" w:hAnsi="Arial" w:cs="Arial"/>
          <w:sz w:val="22"/>
          <w:szCs w:val="22"/>
        </w:rPr>
      </w:pPr>
    </w:p>
    <w:p w14:paraId="1A083C2F" w14:textId="77777777" w:rsidR="00D8411F" w:rsidRDefault="00D8411F" w:rsidP="0094090F">
      <w:pPr>
        <w:spacing w:line="360" w:lineRule="auto"/>
        <w:rPr>
          <w:rFonts w:ascii="Arial" w:hAnsi="Arial" w:cs="Arial"/>
          <w:sz w:val="22"/>
          <w:szCs w:val="22"/>
        </w:rPr>
      </w:pPr>
    </w:p>
    <w:p w14:paraId="56CE0A06" w14:textId="77777777" w:rsidR="00777CE1" w:rsidRDefault="00777CE1" w:rsidP="0094090F">
      <w:pPr>
        <w:spacing w:line="360" w:lineRule="auto"/>
        <w:rPr>
          <w:rFonts w:ascii="Arial" w:hAnsi="Arial" w:cs="Arial"/>
          <w:sz w:val="22"/>
          <w:szCs w:val="22"/>
        </w:rPr>
      </w:pPr>
    </w:p>
    <w:p w14:paraId="69E68DBC" w14:textId="1D9ACD98" w:rsidR="00625C49" w:rsidRPr="0094090F" w:rsidRDefault="00625C49" w:rsidP="00777CE1">
      <w:pPr>
        <w:pStyle w:val="Heading1"/>
      </w:pPr>
      <w:bookmarkStart w:id="3" w:name="_Toc225097621"/>
      <w:r w:rsidRPr="0094090F">
        <w:lastRenderedPageBreak/>
        <w:t>Conclusion and Recommendations</w:t>
      </w:r>
      <w:bookmarkEnd w:id="3"/>
    </w:p>
    <w:p w14:paraId="4CD844C1"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In conclusion, emotional intelligence (EI) and mindfulness are essential competencies in contemporary </w:t>
      </w: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shaping employee </w:t>
      </w:r>
      <w:proofErr w:type="spellStart"/>
      <w:r w:rsidRPr="0094090F">
        <w:rPr>
          <w:rFonts w:ascii="Arial" w:hAnsi="Arial" w:cs="Arial"/>
          <w:sz w:val="22"/>
          <w:szCs w:val="22"/>
        </w:rPr>
        <w:t>behaviour</w:t>
      </w:r>
      <w:proofErr w:type="spellEnd"/>
      <w:r w:rsidRPr="0094090F">
        <w:rPr>
          <w:rFonts w:ascii="Arial" w:hAnsi="Arial" w:cs="Arial"/>
          <w:sz w:val="22"/>
          <w:szCs w:val="22"/>
        </w:rPr>
        <w:t xml:space="preserve">, leadership effectiveness, and overall performance. Emotional intelligence enables individuals to </w:t>
      </w:r>
      <w:proofErr w:type="spellStart"/>
      <w:r w:rsidRPr="0094090F">
        <w:rPr>
          <w:rFonts w:ascii="Arial" w:hAnsi="Arial" w:cs="Arial"/>
          <w:sz w:val="22"/>
          <w:szCs w:val="22"/>
        </w:rPr>
        <w:t>recognise</w:t>
      </w:r>
      <w:proofErr w:type="spellEnd"/>
      <w:r w:rsidRPr="0094090F">
        <w:rPr>
          <w:rFonts w:ascii="Arial" w:hAnsi="Arial" w:cs="Arial"/>
          <w:sz w:val="22"/>
          <w:szCs w:val="22"/>
        </w:rPr>
        <w:t xml:space="preserve">, interpret, and regulate emotions in themselves and others, supporting effective communication, conflict resolution, and relationship management (Goleman, 1998; Mayer, Salovey and Caruso, 2004). Mindfulness complements this by fostering present-moment awareness and </w:t>
      </w:r>
      <w:proofErr w:type="spellStart"/>
      <w:r w:rsidRPr="0094090F">
        <w:rPr>
          <w:rFonts w:ascii="Arial" w:hAnsi="Arial" w:cs="Arial"/>
          <w:sz w:val="22"/>
          <w:szCs w:val="22"/>
        </w:rPr>
        <w:t>non-judgemental</w:t>
      </w:r>
      <w:proofErr w:type="spellEnd"/>
      <w:r w:rsidRPr="0094090F">
        <w:rPr>
          <w:rFonts w:ascii="Arial" w:hAnsi="Arial" w:cs="Arial"/>
          <w:sz w:val="22"/>
          <w:szCs w:val="22"/>
        </w:rPr>
        <w:t xml:space="preserve"> reflection, enhancing emotional regulation and cognitive flexibility (Kabat-Zinn, 2003; Brown and Ryan, 2003). Together, these capabilities improve resilience, decision-making, and interpersonal effectiveness.</w:t>
      </w:r>
    </w:p>
    <w:p w14:paraId="1FD289B1"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However, EI is not without limitations. Variations across theoretical models highlight a lack of consensus regarding its definition and measurement (Landy, 2005). Its effectiveness is also context-dependent, shaped by </w:t>
      </w:r>
      <w:proofErr w:type="spellStart"/>
      <w:r w:rsidRPr="0094090F">
        <w:rPr>
          <w:rFonts w:ascii="Arial" w:hAnsi="Arial" w:cs="Arial"/>
          <w:sz w:val="22"/>
          <w:szCs w:val="22"/>
        </w:rPr>
        <w:t>organisational</w:t>
      </w:r>
      <w:proofErr w:type="spellEnd"/>
      <w:r w:rsidRPr="0094090F">
        <w:rPr>
          <w:rFonts w:ascii="Arial" w:hAnsi="Arial" w:cs="Arial"/>
          <w:sz w:val="22"/>
          <w:szCs w:val="22"/>
        </w:rPr>
        <w:t xml:space="preserve"> culture and leadership priorities. Furthermore, ethical concerns arise where EI may be used manipulatively if not guided by integrity (Kilduff, </w:t>
      </w:r>
      <w:proofErr w:type="spellStart"/>
      <w:r w:rsidRPr="0094090F">
        <w:rPr>
          <w:rFonts w:ascii="Arial" w:hAnsi="Arial" w:cs="Arial"/>
          <w:sz w:val="22"/>
          <w:szCs w:val="22"/>
        </w:rPr>
        <w:t>Chiaburu</w:t>
      </w:r>
      <w:proofErr w:type="spellEnd"/>
      <w:r w:rsidRPr="0094090F">
        <w:rPr>
          <w:rFonts w:ascii="Arial" w:hAnsi="Arial" w:cs="Arial"/>
          <w:sz w:val="22"/>
          <w:szCs w:val="22"/>
        </w:rPr>
        <w:t xml:space="preserve"> and Menges, 2010). Despite these challenges, EI remains strongly associated with improved teamwork, leadership, and well-being.</w:t>
      </w:r>
    </w:p>
    <w:p w14:paraId="6AF8FC27" w14:textId="77777777" w:rsidR="00625C49" w:rsidRPr="0094090F" w:rsidRDefault="00625C49" w:rsidP="0094090F">
      <w:pPr>
        <w:spacing w:line="360" w:lineRule="auto"/>
        <w:rPr>
          <w:rFonts w:ascii="Arial" w:hAnsi="Arial" w:cs="Arial"/>
          <w:sz w:val="22"/>
          <w:szCs w:val="22"/>
        </w:rPr>
      </w:pPr>
      <w:r w:rsidRPr="0094090F">
        <w:rPr>
          <w:rFonts w:ascii="Arial" w:hAnsi="Arial" w:cs="Arial"/>
          <w:sz w:val="22"/>
          <w:szCs w:val="22"/>
        </w:rPr>
        <w:t xml:space="preserve">Generational diversity further complicates management practices. Differences </w:t>
      </w:r>
      <w:proofErr w:type="gramStart"/>
      <w:r w:rsidRPr="0094090F">
        <w:rPr>
          <w:rFonts w:ascii="Arial" w:hAnsi="Arial" w:cs="Arial"/>
          <w:sz w:val="22"/>
          <w:szCs w:val="22"/>
        </w:rPr>
        <w:t>among</w:t>
      </w:r>
      <w:proofErr w:type="gramEnd"/>
      <w:r w:rsidRPr="0094090F">
        <w:rPr>
          <w:rFonts w:ascii="Arial" w:hAnsi="Arial" w:cs="Arial"/>
          <w:sz w:val="22"/>
          <w:szCs w:val="22"/>
        </w:rPr>
        <w:t xml:space="preserve"> Generation X, Millennials, and Generation Z influence workplace expectations and </w:t>
      </w:r>
      <w:proofErr w:type="spellStart"/>
      <w:r w:rsidRPr="0094090F">
        <w:rPr>
          <w:rFonts w:ascii="Arial" w:hAnsi="Arial" w:cs="Arial"/>
          <w:sz w:val="22"/>
          <w:szCs w:val="22"/>
        </w:rPr>
        <w:t>behaviours</w:t>
      </w:r>
      <w:proofErr w:type="spellEnd"/>
      <w:r w:rsidRPr="0094090F">
        <w:rPr>
          <w:rFonts w:ascii="Arial" w:hAnsi="Arial" w:cs="Arial"/>
          <w:sz w:val="22"/>
          <w:szCs w:val="22"/>
        </w:rPr>
        <w:t xml:space="preserve"> (Twenge, 2010; Schroth, 2019), though caution is required to avoid </w:t>
      </w:r>
      <w:proofErr w:type="spellStart"/>
      <w:r w:rsidRPr="0094090F">
        <w:rPr>
          <w:rFonts w:ascii="Arial" w:hAnsi="Arial" w:cs="Arial"/>
          <w:sz w:val="22"/>
          <w:szCs w:val="22"/>
        </w:rPr>
        <w:t>overgeneralisation</w:t>
      </w:r>
      <w:proofErr w:type="spellEnd"/>
      <w:r w:rsidRPr="0094090F">
        <w:rPr>
          <w:rFonts w:ascii="Arial" w:hAnsi="Arial" w:cs="Arial"/>
          <w:sz w:val="22"/>
          <w:szCs w:val="22"/>
        </w:rPr>
        <w:t xml:space="preserve"> (Costanza et al., 2012).</w:t>
      </w:r>
    </w:p>
    <w:p w14:paraId="3E074797" w14:textId="6CEE4E7D" w:rsidR="00795616" w:rsidRPr="0094090F" w:rsidRDefault="00625C49" w:rsidP="0094090F">
      <w:pPr>
        <w:spacing w:line="360" w:lineRule="auto"/>
        <w:rPr>
          <w:rFonts w:ascii="Arial" w:hAnsi="Arial" w:cs="Arial"/>
          <w:sz w:val="22"/>
          <w:szCs w:val="22"/>
        </w:rPr>
      </w:pPr>
      <w:proofErr w:type="spellStart"/>
      <w:r w:rsidRPr="0094090F">
        <w:rPr>
          <w:rFonts w:ascii="Arial" w:hAnsi="Arial" w:cs="Arial"/>
          <w:sz w:val="22"/>
          <w:szCs w:val="22"/>
        </w:rPr>
        <w:t>Organisations</w:t>
      </w:r>
      <w:proofErr w:type="spellEnd"/>
      <w:r w:rsidRPr="0094090F">
        <w:rPr>
          <w:rFonts w:ascii="Arial" w:hAnsi="Arial" w:cs="Arial"/>
          <w:sz w:val="22"/>
          <w:szCs w:val="22"/>
        </w:rPr>
        <w:t xml:space="preserve"> should therefore implement EI training, promote mindfulness practices, adopt flexible management strategies, encourage continuous feedback, and foster inclusive cultures (Côté, 2014; Good et al., 2016; Kuron et al., 2015; Ng, Schweitzer and Lyons, 2010; Shore et al., 2011). Collectively, these approaches support a resilient, adaptable, and high-performing workforce.</w:t>
      </w:r>
    </w:p>
    <w:p w14:paraId="5900BA16" w14:textId="77777777" w:rsidR="00534008" w:rsidRPr="0094090F" w:rsidRDefault="00534008" w:rsidP="0094090F">
      <w:pPr>
        <w:spacing w:line="360" w:lineRule="auto"/>
        <w:rPr>
          <w:rFonts w:ascii="Arial" w:hAnsi="Arial" w:cs="Arial"/>
          <w:sz w:val="22"/>
          <w:szCs w:val="22"/>
        </w:rPr>
      </w:pPr>
    </w:p>
    <w:p w14:paraId="752C1634" w14:textId="77777777" w:rsidR="0094090F" w:rsidRPr="0094090F" w:rsidRDefault="0094090F" w:rsidP="0094090F">
      <w:pPr>
        <w:spacing w:line="360" w:lineRule="auto"/>
        <w:rPr>
          <w:rFonts w:ascii="Arial" w:hAnsi="Arial" w:cs="Arial"/>
          <w:sz w:val="22"/>
          <w:szCs w:val="22"/>
        </w:rPr>
      </w:pPr>
    </w:p>
    <w:p w14:paraId="3FAEB409" w14:textId="77777777" w:rsidR="00D8411F" w:rsidRDefault="00D8411F" w:rsidP="0094090F">
      <w:pPr>
        <w:spacing w:line="360" w:lineRule="auto"/>
        <w:rPr>
          <w:rFonts w:ascii="Arial" w:hAnsi="Arial" w:cs="Arial"/>
          <w:b/>
          <w:bCs/>
          <w:sz w:val="22"/>
          <w:szCs w:val="22"/>
        </w:rPr>
      </w:pPr>
    </w:p>
    <w:p w14:paraId="5111A7E5" w14:textId="77777777" w:rsidR="00D8411F" w:rsidRDefault="00D8411F" w:rsidP="0094090F">
      <w:pPr>
        <w:spacing w:line="360" w:lineRule="auto"/>
        <w:rPr>
          <w:rFonts w:ascii="Arial" w:hAnsi="Arial" w:cs="Arial"/>
          <w:b/>
          <w:bCs/>
          <w:sz w:val="22"/>
          <w:szCs w:val="22"/>
        </w:rPr>
      </w:pPr>
    </w:p>
    <w:p w14:paraId="46A520F4" w14:textId="77777777" w:rsidR="00D8411F" w:rsidRDefault="00D8411F" w:rsidP="0094090F">
      <w:pPr>
        <w:spacing w:line="360" w:lineRule="auto"/>
        <w:rPr>
          <w:rFonts w:ascii="Arial" w:hAnsi="Arial" w:cs="Arial"/>
          <w:b/>
          <w:bCs/>
          <w:sz w:val="22"/>
          <w:szCs w:val="22"/>
        </w:rPr>
      </w:pPr>
    </w:p>
    <w:p w14:paraId="1BFC2E83" w14:textId="2D62E983" w:rsidR="00534008" w:rsidRPr="00534008" w:rsidRDefault="00534008" w:rsidP="00777CE1">
      <w:pPr>
        <w:pStyle w:val="Heading1"/>
      </w:pPr>
      <w:bookmarkStart w:id="4" w:name="_Toc225097622"/>
      <w:r w:rsidRPr="00534008">
        <w:lastRenderedPageBreak/>
        <w:t>Reference List</w:t>
      </w:r>
      <w:bookmarkEnd w:id="4"/>
    </w:p>
    <w:p w14:paraId="34911389"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Bar-On, R. (2006) ‘The Bar-On model of emotional-social intelligence (ESI)’, </w:t>
      </w:r>
      <w:proofErr w:type="spellStart"/>
      <w:r w:rsidRPr="00534008">
        <w:rPr>
          <w:rFonts w:ascii="Arial" w:hAnsi="Arial" w:cs="Arial"/>
          <w:i/>
          <w:iCs/>
          <w:sz w:val="22"/>
          <w:szCs w:val="22"/>
        </w:rPr>
        <w:t>Psicothema</w:t>
      </w:r>
      <w:proofErr w:type="spellEnd"/>
      <w:r w:rsidRPr="00534008">
        <w:rPr>
          <w:rFonts w:ascii="Arial" w:hAnsi="Arial" w:cs="Arial"/>
          <w:sz w:val="22"/>
          <w:szCs w:val="22"/>
        </w:rPr>
        <w:t>, 18(suppl.), pp. 13–25.</w:t>
      </w:r>
    </w:p>
    <w:p w14:paraId="3CA72E3C"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Boyatzis, R.E. (2008) ‘Competencies in the 21st century’, </w:t>
      </w:r>
      <w:r w:rsidRPr="00534008">
        <w:rPr>
          <w:rFonts w:ascii="Arial" w:hAnsi="Arial" w:cs="Arial"/>
          <w:i/>
          <w:iCs/>
          <w:sz w:val="22"/>
          <w:szCs w:val="22"/>
        </w:rPr>
        <w:t>Journal of Management Development</w:t>
      </w:r>
      <w:r w:rsidRPr="00534008">
        <w:rPr>
          <w:rFonts w:ascii="Arial" w:hAnsi="Arial" w:cs="Arial"/>
          <w:sz w:val="22"/>
          <w:szCs w:val="22"/>
        </w:rPr>
        <w:t>, 27(1), pp. 5–12.</w:t>
      </w:r>
    </w:p>
    <w:p w14:paraId="74A587DD"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Brown, K.W. and Ryan, R.M. (2003) ‘The benefits of being present: Mindfulness and its role in psychological well-being’, </w:t>
      </w:r>
      <w:r w:rsidRPr="00534008">
        <w:rPr>
          <w:rFonts w:ascii="Arial" w:hAnsi="Arial" w:cs="Arial"/>
          <w:i/>
          <w:iCs/>
          <w:sz w:val="22"/>
          <w:szCs w:val="22"/>
        </w:rPr>
        <w:t>Journal of Personality and Social Psychology</w:t>
      </w:r>
      <w:r w:rsidRPr="00534008">
        <w:rPr>
          <w:rFonts w:ascii="Arial" w:hAnsi="Arial" w:cs="Arial"/>
          <w:sz w:val="22"/>
          <w:szCs w:val="22"/>
        </w:rPr>
        <w:t>, 84(4), pp. 822–848.</w:t>
      </w:r>
    </w:p>
    <w:p w14:paraId="0D5A21D9"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Costanza, D.P. et al. (2012) ‘Generational differences in work-related attitudes: A meta-analysis’, </w:t>
      </w:r>
      <w:r w:rsidRPr="00534008">
        <w:rPr>
          <w:rFonts w:ascii="Arial" w:hAnsi="Arial" w:cs="Arial"/>
          <w:i/>
          <w:iCs/>
          <w:sz w:val="22"/>
          <w:szCs w:val="22"/>
        </w:rPr>
        <w:t>Journal of Business and Psychology</w:t>
      </w:r>
      <w:r w:rsidRPr="00534008">
        <w:rPr>
          <w:rFonts w:ascii="Arial" w:hAnsi="Arial" w:cs="Arial"/>
          <w:sz w:val="22"/>
          <w:szCs w:val="22"/>
        </w:rPr>
        <w:t>, 27(4), pp. 375–394.</w:t>
      </w:r>
    </w:p>
    <w:p w14:paraId="55D13F59"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Côté, S. (2014) ‘Emotional intelligence in organizations’, </w:t>
      </w:r>
      <w:r w:rsidRPr="00534008">
        <w:rPr>
          <w:rFonts w:ascii="Arial" w:hAnsi="Arial" w:cs="Arial"/>
          <w:i/>
          <w:iCs/>
          <w:sz w:val="22"/>
          <w:szCs w:val="22"/>
        </w:rPr>
        <w:t>Annual Review of Organizational Psychology and Organizational Behavior</w:t>
      </w:r>
      <w:r w:rsidRPr="00534008">
        <w:rPr>
          <w:rFonts w:ascii="Arial" w:hAnsi="Arial" w:cs="Arial"/>
          <w:sz w:val="22"/>
          <w:szCs w:val="22"/>
        </w:rPr>
        <w:t>, 1, pp. 459–488.</w:t>
      </w:r>
    </w:p>
    <w:p w14:paraId="5778180A"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Francis, T. and Hoefel, F. (2018) ‘“True Gen”: Generation Z and its implications for companies’, </w:t>
      </w:r>
      <w:r w:rsidRPr="00534008">
        <w:rPr>
          <w:rFonts w:ascii="Arial" w:hAnsi="Arial" w:cs="Arial"/>
          <w:i/>
          <w:iCs/>
          <w:sz w:val="22"/>
          <w:szCs w:val="22"/>
        </w:rPr>
        <w:t>McKinsey &amp; Company</w:t>
      </w:r>
      <w:r w:rsidRPr="00534008">
        <w:rPr>
          <w:rFonts w:ascii="Arial" w:hAnsi="Arial" w:cs="Arial"/>
          <w:sz w:val="22"/>
          <w:szCs w:val="22"/>
        </w:rPr>
        <w:t>.</w:t>
      </w:r>
    </w:p>
    <w:p w14:paraId="353F2840"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Goleman, D. (1998) </w:t>
      </w:r>
      <w:r w:rsidRPr="00534008">
        <w:rPr>
          <w:rFonts w:ascii="Arial" w:hAnsi="Arial" w:cs="Arial"/>
          <w:i/>
          <w:iCs/>
          <w:sz w:val="22"/>
          <w:szCs w:val="22"/>
        </w:rPr>
        <w:t>Working with emotional intelligence</w:t>
      </w:r>
      <w:r w:rsidRPr="00534008">
        <w:rPr>
          <w:rFonts w:ascii="Arial" w:hAnsi="Arial" w:cs="Arial"/>
          <w:sz w:val="22"/>
          <w:szCs w:val="22"/>
        </w:rPr>
        <w:t>. New York: Bantam Books.</w:t>
      </w:r>
    </w:p>
    <w:p w14:paraId="52F7F950"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Good, D.J. et al. (2016) ‘Contemplating mindfulness at work: An integrative review’, </w:t>
      </w:r>
      <w:r w:rsidRPr="00534008">
        <w:rPr>
          <w:rFonts w:ascii="Arial" w:hAnsi="Arial" w:cs="Arial"/>
          <w:i/>
          <w:iCs/>
          <w:sz w:val="22"/>
          <w:szCs w:val="22"/>
        </w:rPr>
        <w:t>Journal of Management</w:t>
      </w:r>
      <w:r w:rsidRPr="00534008">
        <w:rPr>
          <w:rFonts w:ascii="Arial" w:hAnsi="Arial" w:cs="Arial"/>
          <w:sz w:val="22"/>
          <w:szCs w:val="22"/>
        </w:rPr>
        <w:t>, 42(1), pp. 114–142.</w:t>
      </w:r>
    </w:p>
    <w:p w14:paraId="0E2458A5"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Gross, J.J. (1998) ‘The emerging field of emotion regulation: An integrative review’, </w:t>
      </w:r>
      <w:r w:rsidRPr="00534008">
        <w:rPr>
          <w:rFonts w:ascii="Arial" w:hAnsi="Arial" w:cs="Arial"/>
          <w:i/>
          <w:iCs/>
          <w:sz w:val="22"/>
          <w:szCs w:val="22"/>
        </w:rPr>
        <w:t>Review of General Psychology</w:t>
      </w:r>
      <w:r w:rsidRPr="00534008">
        <w:rPr>
          <w:rFonts w:ascii="Arial" w:hAnsi="Arial" w:cs="Arial"/>
          <w:sz w:val="22"/>
          <w:szCs w:val="22"/>
        </w:rPr>
        <w:t>, 2(3), pp. 271–299.</w:t>
      </w:r>
    </w:p>
    <w:p w14:paraId="2369589B"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Howe, N. and Strauss, W. (2000) </w:t>
      </w:r>
      <w:r w:rsidRPr="00534008">
        <w:rPr>
          <w:rFonts w:ascii="Arial" w:hAnsi="Arial" w:cs="Arial"/>
          <w:i/>
          <w:iCs/>
          <w:sz w:val="22"/>
          <w:szCs w:val="22"/>
        </w:rPr>
        <w:t>Millennials rising: The next great generation</w:t>
      </w:r>
      <w:r w:rsidRPr="00534008">
        <w:rPr>
          <w:rFonts w:ascii="Arial" w:hAnsi="Arial" w:cs="Arial"/>
          <w:sz w:val="22"/>
          <w:szCs w:val="22"/>
        </w:rPr>
        <w:t>. New York: Vintage Books.</w:t>
      </w:r>
    </w:p>
    <w:p w14:paraId="1B7901A9"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Kabat-Zinn, J. (2003) ‘Mindfulness-based interventions in context: Past, present, and future’, </w:t>
      </w:r>
      <w:r w:rsidRPr="00534008">
        <w:rPr>
          <w:rFonts w:ascii="Arial" w:hAnsi="Arial" w:cs="Arial"/>
          <w:i/>
          <w:iCs/>
          <w:sz w:val="22"/>
          <w:szCs w:val="22"/>
        </w:rPr>
        <w:t>Clinical Psychology: Science and Practice</w:t>
      </w:r>
      <w:r w:rsidRPr="00534008">
        <w:rPr>
          <w:rFonts w:ascii="Arial" w:hAnsi="Arial" w:cs="Arial"/>
          <w:sz w:val="22"/>
          <w:szCs w:val="22"/>
        </w:rPr>
        <w:t>, 10(2), pp. 144–156.</w:t>
      </w:r>
    </w:p>
    <w:p w14:paraId="0C417196"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Kilduff, M., </w:t>
      </w:r>
      <w:proofErr w:type="spellStart"/>
      <w:r w:rsidRPr="00534008">
        <w:rPr>
          <w:rFonts w:ascii="Arial" w:hAnsi="Arial" w:cs="Arial"/>
          <w:sz w:val="22"/>
          <w:szCs w:val="22"/>
        </w:rPr>
        <w:t>Chiaburu</w:t>
      </w:r>
      <w:proofErr w:type="spellEnd"/>
      <w:r w:rsidRPr="00534008">
        <w:rPr>
          <w:rFonts w:ascii="Arial" w:hAnsi="Arial" w:cs="Arial"/>
          <w:sz w:val="22"/>
          <w:szCs w:val="22"/>
        </w:rPr>
        <w:t xml:space="preserve">, D.S. and Menges, J.I. (2010) ‘Strategic use of emotional intelligence in organizational settings’, </w:t>
      </w:r>
      <w:r w:rsidRPr="00534008">
        <w:rPr>
          <w:rFonts w:ascii="Arial" w:hAnsi="Arial" w:cs="Arial"/>
          <w:i/>
          <w:iCs/>
          <w:sz w:val="22"/>
          <w:szCs w:val="22"/>
        </w:rPr>
        <w:t>Academy of Management Perspectives</w:t>
      </w:r>
      <w:r w:rsidRPr="00534008">
        <w:rPr>
          <w:rFonts w:ascii="Arial" w:hAnsi="Arial" w:cs="Arial"/>
          <w:sz w:val="22"/>
          <w:szCs w:val="22"/>
        </w:rPr>
        <w:t>, 24(1), pp. 59–72.</w:t>
      </w:r>
    </w:p>
    <w:p w14:paraId="45AF3C04"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Kuron, L.K.J. et al. (2015) ‘Millennials’ work values: Differences across the school to work transition’, </w:t>
      </w:r>
      <w:r w:rsidRPr="00534008">
        <w:rPr>
          <w:rFonts w:ascii="Arial" w:hAnsi="Arial" w:cs="Arial"/>
          <w:i/>
          <w:iCs/>
          <w:sz w:val="22"/>
          <w:szCs w:val="22"/>
        </w:rPr>
        <w:t>Personnel Review</w:t>
      </w:r>
      <w:r w:rsidRPr="00534008">
        <w:rPr>
          <w:rFonts w:ascii="Arial" w:hAnsi="Arial" w:cs="Arial"/>
          <w:sz w:val="22"/>
          <w:szCs w:val="22"/>
        </w:rPr>
        <w:t>, 44(6), pp. 991–1009.</w:t>
      </w:r>
    </w:p>
    <w:p w14:paraId="6E9E4BF4"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Landy, F.J. (2005) ‘Some historical and scientific issues related to research on emotional intelligence’, </w:t>
      </w:r>
      <w:r w:rsidRPr="00534008">
        <w:rPr>
          <w:rFonts w:ascii="Arial" w:hAnsi="Arial" w:cs="Arial"/>
          <w:i/>
          <w:iCs/>
          <w:sz w:val="22"/>
          <w:szCs w:val="22"/>
        </w:rPr>
        <w:t>Journal of Organizational Behavior</w:t>
      </w:r>
      <w:r w:rsidRPr="00534008">
        <w:rPr>
          <w:rFonts w:ascii="Arial" w:hAnsi="Arial" w:cs="Arial"/>
          <w:sz w:val="22"/>
          <w:szCs w:val="22"/>
        </w:rPr>
        <w:t>, 26(4), pp. 411–424.</w:t>
      </w:r>
    </w:p>
    <w:p w14:paraId="49D4BC10"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lastRenderedPageBreak/>
        <w:t xml:space="preserve">Mannheim, K. (1952) </w:t>
      </w:r>
      <w:r w:rsidRPr="00534008">
        <w:rPr>
          <w:rFonts w:ascii="Arial" w:hAnsi="Arial" w:cs="Arial"/>
          <w:i/>
          <w:iCs/>
          <w:sz w:val="22"/>
          <w:szCs w:val="22"/>
        </w:rPr>
        <w:t>Essays on the sociology of knowledge</w:t>
      </w:r>
      <w:r w:rsidRPr="00534008">
        <w:rPr>
          <w:rFonts w:ascii="Arial" w:hAnsi="Arial" w:cs="Arial"/>
          <w:sz w:val="22"/>
          <w:szCs w:val="22"/>
        </w:rPr>
        <w:t>. London: Routledge.</w:t>
      </w:r>
    </w:p>
    <w:p w14:paraId="013F855D"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Mayer, J.D., Salovey, P. and Caruso, D.R. (2004) ‘Emotional intelligence: Theory, findings, and implications’, </w:t>
      </w:r>
      <w:r w:rsidRPr="00534008">
        <w:rPr>
          <w:rFonts w:ascii="Arial" w:hAnsi="Arial" w:cs="Arial"/>
          <w:i/>
          <w:iCs/>
          <w:sz w:val="22"/>
          <w:szCs w:val="22"/>
        </w:rPr>
        <w:t>Psychological Inquiry</w:t>
      </w:r>
      <w:r w:rsidRPr="00534008">
        <w:rPr>
          <w:rFonts w:ascii="Arial" w:hAnsi="Arial" w:cs="Arial"/>
          <w:sz w:val="22"/>
          <w:szCs w:val="22"/>
        </w:rPr>
        <w:t>, 15(3), pp. 197–215.</w:t>
      </w:r>
    </w:p>
    <w:p w14:paraId="7CEBE233"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Ng, E.S.W., Schweitzer, L. and Lyons, S.T. (2010) ‘New generation, great expectations: A field study of the millennial generation’, </w:t>
      </w:r>
      <w:r w:rsidRPr="00534008">
        <w:rPr>
          <w:rFonts w:ascii="Arial" w:hAnsi="Arial" w:cs="Arial"/>
          <w:i/>
          <w:iCs/>
          <w:sz w:val="22"/>
          <w:szCs w:val="22"/>
        </w:rPr>
        <w:t>Journal of Business and Psychology</w:t>
      </w:r>
      <w:r w:rsidRPr="00534008">
        <w:rPr>
          <w:rFonts w:ascii="Arial" w:hAnsi="Arial" w:cs="Arial"/>
          <w:sz w:val="22"/>
          <w:szCs w:val="22"/>
        </w:rPr>
        <w:t>, 25(2), pp. 281–292.</w:t>
      </w:r>
    </w:p>
    <w:p w14:paraId="0051BF2F"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Parry, E. and Urwin, P. (2011) ‘Generational differences in work values: A review of theory and evidence’, </w:t>
      </w:r>
      <w:r w:rsidRPr="00534008">
        <w:rPr>
          <w:rFonts w:ascii="Arial" w:hAnsi="Arial" w:cs="Arial"/>
          <w:i/>
          <w:iCs/>
          <w:sz w:val="22"/>
          <w:szCs w:val="22"/>
        </w:rPr>
        <w:t>International Journal of Management Reviews</w:t>
      </w:r>
      <w:r w:rsidRPr="00534008">
        <w:rPr>
          <w:rFonts w:ascii="Arial" w:hAnsi="Arial" w:cs="Arial"/>
          <w:sz w:val="22"/>
          <w:szCs w:val="22"/>
        </w:rPr>
        <w:t>, 13(1), pp. 79–96.</w:t>
      </w:r>
    </w:p>
    <w:p w14:paraId="5B202871"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Ryan, R.M. and Deci, E.L. (2000) ‘Intrinsic and extrinsic motivations: Classic definitions and new directions’, </w:t>
      </w:r>
      <w:r w:rsidRPr="00534008">
        <w:rPr>
          <w:rFonts w:ascii="Arial" w:hAnsi="Arial" w:cs="Arial"/>
          <w:i/>
          <w:iCs/>
          <w:sz w:val="22"/>
          <w:szCs w:val="22"/>
        </w:rPr>
        <w:t>Contemporary Educational Psychology</w:t>
      </w:r>
      <w:r w:rsidRPr="00534008">
        <w:rPr>
          <w:rFonts w:ascii="Arial" w:hAnsi="Arial" w:cs="Arial"/>
          <w:sz w:val="22"/>
          <w:szCs w:val="22"/>
        </w:rPr>
        <w:t>, 25(1), pp. 54–67.</w:t>
      </w:r>
    </w:p>
    <w:p w14:paraId="7BBC63FF"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Schroth, H. (2019) ‘Are you ready for Gen Z in the workplace?’, </w:t>
      </w:r>
      <w:r w:rsidRPr="00534008">
        <w:rPr>
          <w:rFonts w:ascii="Arial" w:hAnsi="Arial" w:cs="Arial"/>
          <w:i/>
          <w:iCs/>
          <w:sz w:val="22"/>
          <w:szCs w:val="22"/>
        </w:rPr>
        <w:t>California Management Review</w:t>
      </w:r>
      <w:r w:rsidRPr="00534008">
        <w:rPr>
          <w:rFonts w:ascii="Arial" w:hAnsi="Arial" w:cs="Arial"/>
          <w:sz w:val="22"/>
          <w:szCs w:val="22"/>
        </w:rPr>
        <w:t>, 61(3), pp. 5–18.</w:t>
      </w:r>
    </w:p>
    <w:p w14:paraId="055519E9"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Shore, L.M. et al. (2011) ‘Inclusion and diversity in work groups: A review and model’, </w:t>
      </w:r>
      <w:r w:rsidRPr="00534008">
        <w:rPr>
          <w:rFonts w:ascii="Arial" w:hAnsi="Arial" w:cs="Arial"/>
          <w:i/>
          <w:iCs/>
          <w:sz w:val="22"/>
          <w:szCs w:val="22"/>
        </w:rPr>
        <w:t>Journal of Management</w:t>
      </w:r>
      <w:r w:rsidRPr="00534008">
        <w:rPr>
          <w:rFonts w:ascii="Arial" w:hAnsi="Arial" w:cs="Arial"/>
          <w:sz w:val="22"/>
          <w:szCs w:val="22"/>
        </w:rPr>
        <w:t>, 37(4), pp. 1262–1289.</w:t>
      </w:r>
    </w:p>
    <w:p w14:paraId="2CCFC541"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Smola, K.W. and Sutton, C.D. (2002) ‘Generational differences: Revisiting generational work values’, </w:t>
      </w:r>
      <w:r w:rsidRPr="00534008">
        <w:rPr>
          <w:rFonts w:ascii="Arial" w:hAnsi="Arial" w:cs="Arial"/>
          <w:i/>
          <w:iCs/>
          <w:sz w:val="22"/>
          <w:szCs w:val="22"/>
        </w:rPr>
        <w:t>Journal of Organizational Behavior</w:t>
      </w:r>
      <w:r w:rsidRPr="00534008">
        <w:rPr>
          <w:rFonts w:ascii="Arial" w:hAnsi="Arial" w:cs="Arial"/>
          <w:sz w:val="22"/>
          <w:szCs w:val="22"/>
        </w:rPr>
        <w:t>, 23(4), pp. 363–382.</w:t>
      </w:r>
    </w:p>
    <w:p w14:paraId="39CF1EA3"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Twenge, J.M. (2010) ‘A review of the empirical evidence on generational differences in work attitudes’, </w:t>
      </w:r>
      <w:r w:rsidRPr="00534008">
        <w:rPr>
          <w:rFonts w:ascii="Arial" w:hAnsi="Arial" w:cs="Arial"/>
          <w:i/>
          <w:iCs/>
          <w:sz w:val="22"/>
          <w:szCs w:val="22"/>
        </w:rPr>
        <w:t>Journal of Business and Psychology</w:t>
      </w:r>
      <w:r w:rsidRPr="00534008">
        <w:rPr>
          <w:rFonts w:ascii="Arial" w:hAnsi="Arial" w:cs="Arial"/>
          <w:sz w:val="22"/>
          <w:szCs w:val="22"/>
        </w:rPr>
        <w:t>, 25(2), pp. 201–210.</w:t>
      </w:r>
    </w:p>
    <w:p w14:paraId="59D72CC1" w14:textId="77777777" w:rsidR="00534008" w:rsidRPr="00534008" w:rsidRDefault="00534008" w:rsidP="0094090F">
      <w:pPr>
        <w:spacing w:line="360" w:lineRule="auto"/>
        <w:rPr>
          <w:rFonts w:ascii="Arial" w:hAnsi="Arial" w:cs="Arial"/>
          <w:sz w:val="22"/>
          <w:szCs w:val="22"/>
        </w:rPr>
      </w:pPr>
      <w:r w:rsidRPr="00534008">
        <w:rPr>
          <w:rFonts w:ascii="Arial" w:hAnsi="Arial" w:cs="Arial"/>
          <w:sz w:val="22"/>
          <w:szCs w:val="22"/>
        </w:rPr>
        <w:t xml:space="preserve">Zeidner, M., Matthews, G. and Roberts, R.D. (2009) </w:t>
      </w:r>
      <w:r w:rsidRPr="00534008">
        <w:rPr>
          <w:rFonts w:ascii="Arial" w:hAnsi="Arial" w:cs="Arial"/>
          <w:i/>
          <w:iCs/>
          <w:sz w:val="22"/>
          <w:szCs w:val="22"/>
        </w:rPr>
        <w:t>What we know about emotional intelligence</w:t>
      </w:r>
      <w:r w:rsidRPr="00534008">
        <w:rPr>
          <w:rFonts w:ascii="Arial" w:hAnsi="Arial" w:cs="Arial"/>
          <w:sz w:val="22"/>
          <w:szCs w:val="22"/>
        </w:rPr>
        <w:t>. Cambridge, MA: MIT Press.</w:t>
      </w:r>
    </w:p>
    <w:p w14:paraId="6516D804" w14:textId="77777777" w:rsidR="00534008" w:rsidRPr="0094090F" w:rsidRDefault="00534008" w:rsidP="0094090F">
      <w:pPr>
        <w:spacing w:line="360" w:lineRule="auto"/>
        <w:rPr>
          <w:rFonts w:ascii="Arial" w:hAnsi="Arial" w:cs="Arial"/>
        </w:rPr>
      </w:pPr>
    </w:p>
    <w:sectPr w:rsidR="00534008" w:rsidRPr="009409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798"/>
    <w:rsid w:val="000571A3"/>
    <w:rsid w:val="000E23EC"/>
    <w:rsid w:val="00142230"/>
    <w:rsid w:val="00184332"/>
    <w:rsid w:val="00514798"/>
    <w:rsid w:val="00534008"/>
    <w:rsid w:val="00575578"/>
    <w:rsid w:val="00625C49"/>
    <w:rsid w:val="00767C5D"/>
    <w:rsid w:val="00777CE1"/>
    <w:rsid w:val="00795616"/>
    <w:rsid w:val="0094090F"/>
    <w:rsid w:val="0094551E"/>
    <w:rsid w:val="00970B0E"/>
    <w:rsid w:val="00996236"/>
    <w:rsid w:val="009970A8"/>
    <w:rsid w:val="00A53DDF"/>
    <w:rsid w:val="00D07FA2"/>
    <w:rsid w:val="00D8411F"/>
    <w:rsid w:val="00DA7136"/>
    <w:rsid w:val="00DB5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1615A"/>
  <w15:chartTrackingRefBased/>
  <w15:docId w15:val="{0EC53502-1876-4038-B926-A683E9017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7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47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47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47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47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47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47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47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47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7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47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47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47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47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47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47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47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4798"/>
    <w:rPr>
      <w:rFonts w:eastAsiaTheme="majorEastAsia" w:cstheme="majorBidi"/>
      <w:color w:val="272727" w:themeColor="text1" w:themeTint="D8"/>
    </w:rPr>
  </w:style>
  <w:style w:type="paragraph" w:styleId="Title">
    <w:name w:val="Title"/>
    <w:basedOn w:val="Normal"/>
    <w:next w:val="Normal"/>
    <w:link w:val="TitleChar"/>
    <w:uiPriority w:val="10"/>
    <w:qFormat/>
    <w:rsid w:val="005147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7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7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47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798"/>
    <w:pPr>
      <w:spacing w:before="160"/>
      <w:jc w:val="center"/>
    </w:pPr>
    <w:rPr>
      <w:i/>
      <w:iCs/>
      <w:color w:val="404040" w:themeColor="text1" w:themeTint="BF"/>
    </w:rPr>
  </w:style>
  <w:style w:type="character" w:customStyle="1" w:styleId="QuoteChar">
    <w:name w:val="Quote Char"/>
    <w:basedOn w:val="DefaultParagraphFont"/>
    <w:link w:val="Quote"/>
    <w:uiPriority w:val="29"/>
    <w:rsid w:val="00514798"/>
    <w:rPr>
      <w:i/>
      <w:iCs/>
      <w:color w:val="404040" w:themeColor="text1" w:themeTint="BF"/>
    </w:rPr>
  </w:style>
  <w:style w:type="paragraph" w:styleId="ListParagraph">
    <w:name w:val="List Paragraph"/>
    <w:basedOn w:val="Normal"/>
    <w:uiPriority w:val="34"/>
    <w:qFormat/>
    <w:rsid w:val="00514798"/>
    <w:pPr>
      <w:ind w:left="720"/>
      <w:contextualSpacing/>
    </w:pPr>
  </w:style>
  <w:style w:type="character" w:styleId="IntenseEmphasis">
    <w:name w:val="Intense Emphasis"/>
    <w:basedOn w:val="DefaultParagraphFont"/>
    <w:uiPriority w:val="21"/>
    <w:qFormat/>
    <w:rsid w:val="00514798"/>
    <w:rPr>
      <w:i/>
      <w:iCs/>
      <w:color w:val="0F4761" w:themeColor="accent1" w:themeShade="BF"/>
    </w:rPr>
  </w:style>
  <w:style w:type="paragraph" w:styleId="IntenseQuote">
    <w:name w:val="Intense Quote"/>
    <w:basedOn w:val="Normal"/>
    <w:next w:val="Normal"/>
    <w:link w:val="IntenseQuoteChar"/>
    <w:uiPriority w:val="30"/>
    <w:qFormat/>
    <w:rsid w:val="005147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4798"/>
    <w:rPr>
      <w:i/>
      <w:iCs/>
      <w:color w:val="0F4761" w:themeColor="accent1" w:themeShade="BF"/>
    </w:rPr>
  </w:style>
  <w:style w:type="character" w:styleId="IntenseReference">
    <w:name w:val="Intense Reference"/>
    <w:basedOn w:val="DefaultParagraphFont"/>
    <w:uiPriority w:val="32"/>
    <w:qFormat/>
    <w:rsid w:val="00514798"/>
    <w:rPr>
      <w:b/>
      <w:bCs/>
      <w:smallCaps/>
      <w:color w:val="0F4761" w:themeColor="accent1" w:themeShade="BF"/>
      <w:spacing w:val="5"/>
    </w:rPr>
  </w:style>
  <w:style w:type="paragraph" w:styleId="TOCHeading">
    <w:name w:val="TOC Heading"/>
    <w:basedOn w:val="Heading1"/>
    <w:next w:val="Normal"/>
    <w:uiPriority w:val="39"/>
    <w:unhideWhenUsed/>
    <w:qFormat/>
    <w:rsid w:val="000E23E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E23EC"/>
    <w:pPr>
      <w:spacing w:after="100"/>
    </w:pPr>
  </w:style>
  <w:style w:type="character" w:styleId="Hyperlink">
    <w:name w:val="Hyperlink"/>
    <w:basedOn w:val="DefaultParagraphFont"/>
    <w:uiPriority w:val="99"/>
    <w:unhideWhenUsed/>
    <w:rsid w:val="000E23E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6E168-5405-412A-A8BF-05D79F7A4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4327</Words>
  <Characters>25443</Characters>
  <Application>Microsoft Office Word</Application>
  <DocSecurity>0</DocSecurity>
  <Lines>1590</Lines>
  <Paragraphs>451</Paragraphs>
  <ScaleCrop>false</ScaleCrop>
  <Company/>
  <LinksUpToDate>false</LinksUpToDate>
  <CharactersWithSpaces>29319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Netoi</dc:creator>
  <cp:keywords/>
  <dc:description/>
  <cp:lastModifiedBy>Alex Netoi</cp:lastModifiedBy>
  <cp:revision>17</cp:revision>
  <dcterms:created xsi:type="dcterms:W3CDTF">2026-03-22T18:35:00Z</dcterms:created>
  <dcterms:modified xsi:type="dcterms:W3CDTF">2026-03-22T18:47:00Z</dcterms:modified>
</cp:coreProperties>
</file>