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FF304" w14:textId="75ADDB4C" w:rsidR="00FC7006" w:rsidRPr="006F27A5" w:rsidRDefault="00CD166A" w:rsidP="00204B83">
      <w:pPr>
        <w:jc w:val="center"/>
        <w:rPr>
          <w:b/>
          <w:bCs/>
          <w:sz w:val="72"/>
          <w:szCs w:val="72"/>
        </w:rPr>
      </w:pPr>
      <w:r w:rsidRPr="006F27A5">
        <w:rPr>
          <w:b/>
          <w:bCs/>
          <w:sz w:val="72"/>
          <w:szCs w:val="72"/>
        </w:rPr>
        <w:t xml:space="preserve">Digital </w:t>
      </w:r>
      <w:r w:rsidR="005D5329" w:rsidRPr="006F27A5">
        <w:rPr>
          <w:b/>
          <w:bCs/>
          <w:sz w:val="72"/>
          <w:szCs w:val="72"/>
        </w:rPr>
        <w:t>skills and Research Methods</w:t>
      </w:r>
      <w:r w:rsidR="003932BF" w:rsidRPr="006F27A5">
        <w:rPr>
          <w:b/>
          <w:bCs/>
          <w:sz w:val="72"/>
          <w:szCs w:val="72"/>
        </w:rPr>
        <w:t>:</w:t>
      </w:r>
    </w:p>
    <w:p w14:paraId="4C398EE3" w14:textId="41B00E53" w:rsidR="005D5329" w:rsidRPr="006F27A5" w:rsidRDefault="005D5329" w:rsidP="00204B83">
      <w:pPr>
        <w:jc w:val="center"/>
        <w:rPr>
          <w:b/>
          <w:bCs/>
          <w:sz w:val="72"/>
          <w:szCs w:val="72"/>
        </w:rPr>
      </w:pPr>
      <w:r w:rsidRPr="006F27A5">
        <w:rPr>
          <w:b/>
          <w:bCs/>
          <w:sz w:val="72"/>
          <w:szCs w:val="72"/>
        </w:rPr>
        <w:t>Mo</w:t>
      </w:r>
      <w:r w:rsidR="00D328B4" w:rsidRPr="006F27A5">
        <w:rPr>
          <w:b/>
          <w:bCs/>
          <w:sz w:val="72"/>
          <w:szCs w:val="72"/>
        </w:rPr>
        <w:t>dule code</w:t>
      </w:r>
      <w:r w:rsidR="00EE282F">
        <w:rPr>
          <w:b/>
          <w:bCs/>
          <w:sz w:val="72"/>
          <w:szCs w:val="72"/>
        </w:rPr>
        <w:t>:</w:t>
      </w:r>
      <w:r w:rsidR="00D328B4" w:rsidRPr="006F27A5">
        <w:rPr>
          <w:b/>
          <w:bCs/>
          <w:sz w:val="72"/>
          <w:szCs w:val="72"/>
        </w:rPr>
        <w:t>(LCHS4007</w:t>
      </w:r>
      <w:r w:rsidR="005003C6" w:rsidRPr="006F27A5">
        <w:rPr>
          <w:b/>
          <w:bCs/>
          <w:sz w:val="72"/>
          <w:szCs w:val="72"/>
        </w:rPr>
        <w:t>_BIRM)</w:t>
      </w:r>
    </w:p>
    <w:p w14:paraId="17FDC09F" w14:textId="38233923" w:rsidR="005003C6" w:rsidRPr="006F27A5" w:rsidRDefault="005003C6" w:rsidP="00204B83">
      <w:pPr>
        <w:jc w:val="center"/>
        <w:rPr>
          <w:b/>
          <w:bCs/>
          <w:sz w:val="72"/>
          <w:szCs w:val="72"/>
        </w:rPr>
      </w:pPr>
      <w:r w:rsidRPr="006F27A5">
        <w:rPr>
          <w:b/>
          <w:bCs/>
          <w:sz w:val="72"/>
          <w:szCs w:val="72"/>
        </w:rPr>
        <w:t>Ass</w:t>
      </w:r>
      <w:r w:rsidR="00755279" w:rsidRPr="006F27A5">
        <w:rPr>
          <w:b/>
          <w:bCs/>
          <w:sz w:val="72"/>
          <w:szCs w:val="72"/>
        </w:rPr>
        <w:t>ignment Title -component 2</w:t>
      </w:r>
      <w:r w:rsidR="003932BF" w:rsidRPr="006F27A5">
        <w:rPr>
          <w:b/>
          <w:bCs/>
          <w:sz w:val="72"/>
          <w:szCs w:val="72"/>
        </w:rPr>
        <w:t xml:space="preserve"> :</w:t>
      </w:r>
      <w:r w:rsidR="00755279" w:rsidRPr="006F27A5">
        <w:rPr>
          <w:b/>
          <w:bCs/>
          <w:sz w:val="72"/>
          <w:szCs w:val="72"/>
        </w:rPr>
        <w:t xml:space="preserve"> Re</w:t>
      </w:r>
      <w:r w:rsidR="003932BF" w:rsidRPr="006F27A5">
        <w:rPr>
          <w:b/>
          <w:bCs/>
          <w:sz w:val="72"/>
          <w:szCs w:val="72"/>
        </w:rPr>
        <w:t>search Report</w:t>
      </w:r>
    </w:p>
    <w:p w14:paraId="1AAC4132" w14:textId="78D4DB9E" w:rsidR="00966666" w:rsidRPr="006F27A5" w:rsidRDefault="00966666" w:rsidP="00204B83">
      <w:pPr>
        <w:jc w:val="center"/>
        <w:rPr>
          <w:b/>
          <w:bCs/>
          <w:sz w:val="72"/>
          <w:szCs w:val="72"/>
        </w:rPr>
      </w:pPr>
      <w:r w:rsidRPr="006F27A5">
        <w:rPr>
          <w:b/>
          <w:bCs/>
          <w:sz w:val="72"/>
          <w:szCs w:val="72"/>
        </w:rPr>
        <w:t xml:space="preserve">Student </w:t>
      </w:r>
      <w:r w:rsidR="002320B2" w:rsidRPr="006F27A5">
        <w:rPr>
          <w:b/>
          <w:bCs/>
          <w:sz w:val="72"/>
          <w:szCs w:val="72"/>
        </w:rPr>
        <w:t>Name: Esther</w:t>
      </w:r>
      <w:r w:rsidR="003459C0" w:rsidRPr="006F27A5">
        <w:rPr>
          <w:b/>
          <w:bCs/>
          <w:sz w:val="72"/>
          <w:szCs w:val="72"/>
        </w:rPr>
        <w:t xml:space="preserve"> Nwache</w:t>
      </w:r>
    </w:p>
    <w:p w14:paraId="637275AC" w14:textId="547A0B6C" w:rsidR="003932BF" w:rsidRPr="006F27A5" w:rsidRDefault="003932BF" w:rsidP="00204B83">
      <w:pPr>
        <w:jc w:val="center"/>
        <w:rPr>
          <w:b/>
          <w:bCs/>
          <w:sz w:val="72"/>
          <w:szCs w:val="72"/>
        </w:rPr>
      </w:pPr>
      <w:r w:rsidRPr="006F27A5">
        <w:rPr>
          <w:b/>
          <w:bCs/>
          <w:sz w:val="72"/>
          <w:szCs w:val="72"/>
        </w:rPr>
        <w:t>Student Number:</w:t>
      </w:r>
      <w:r w:rsidR="00D45BF9" w:rsidRPr="006F27A5">
        <w:rPr>
          <w:b/>
          <w:bCs/>
          <w:sz w:val="72"/>
          <w:szCs w:val="72"/>
        </w:rPr>
        <w:t xml:space="preserve"> 2505633</w:t>
      </w:r>
    </w:p>
    <w:p w14:paraId="67DAC773" w14:textId="33DDE4BC" w:rsidR="00D45BF9" w:rsidRPr="006F27A5" w:rsidRDefault="00D45BF9" w:rsidP="00204B83">
      <w:pPr>
        <w:jc w:val="center"/>
        <w:rPr>
          <w:b/>
          <w:bCs/>
          <w:sz w:val="72"/>
          <w:szCs w:val="72"/>
        </w:rPr>
      </w:pPr>
      <w:r w:rsidRPr="006F27A5">
        <w:rPr>
          <w:b/>
          <w:bCs/>
          <w:sz w:val="72"/>
          <w:szCs w:val="72"/>
        </w:rPr>
        <w:t>Lec</w:t>
      </w:r>
      <w:r w:rsidR="00C232F9" w:rsidRPr="006F27A5">
        <w:rPr>
          <w:b/>
          <w:bCs/>
          <w:sz w:val="72"/>
          <w:szCs w:val="72"/>
        </w:rPr>
        <w:t>turer Name</w:t>
      </w:r>
      <w:r w:rsidR="00211C25" w:rsidRPr="006F27A5">
        <w:rPr>
          <w:b/>
          <w:bCs/>
          <w:sz w:val="72"/>
          <w:szCs w:val="72"/>
        </w:rPr>
        <w:t>:</w:t>
      </w:r>
      <w:r w:rsidR="005F13B1" w:rsidRPr="006F27A5">
        <w:rPr>
          <w:b/>
          <w:bCs/>
          <w:sz w:val="72"/>
          <w:szCs w:val="72"/>
        </w:rPr>
        <w:t xml:space="preserve"> DR</w:t>
      </w:r>
      <w:r w:rsidR="00F54A21" w:rsidRPr="006F27A5">
        <w:rPr>
          <w:rFonts w:ascii="Source Sans Pro" w:hAnsi="Source Sans Pro"/>
          <w:color w:val="242130"/>
          <w:sz w:val="72"/>
          <w:szCs w:val="72"/>
          <w:shd w:val="clear" w:color="auto" w:fill="FFFFFF"/>
        </w:rPr>
        <w:t xml:space="preserve"> </w:t>
      </w:r>
      <w:r w:rsidR="00F54A21" w:rsidRPr="006F27A5">
        <w:rPr>
          <w:b/>
          <w:bCs/>
          <w:sz w:val="72"/>
          <w:szCs w:val="72"/>
        </w:rPr>
        <w:t> Markus Klingelfuss</w:t>
      </w:r>
    </w:p>
    <w:p w14:paraId="5790615A" w14:textId="77777777" w:rsidR="00204B83" w:rsidRDefault="00204B83" w:rsidP="00E506DF">
      <w:pPr>
        <w:rPr>
          <w:b/>
          <w:bCs/>
        </w:rPr>
      </w:pPr>
    </w:p>
    <w:p w14:paraId="15ABC6B5" w14:textId="77777777" w:rsidR="00204B83" w:rsidRDefault="00204B83" w:rsidP="00E506DF">
      <w:pPr>
        <w:rPr>
          <w:b/>
          <w:bCs/>
        </w:rPr>
      </w:pPr>
    </w:p>
    <w:p w14:paraId="746F7DA0" w14:textId="5AC86517" w:rsidR="00204B83" w:rsidRDefault="00204B83" w:rsidP="00E506DF">
      <w:pPr>
        <w:rPr>
          <w:b/>
          <w:bCs/>
        </w:rPr>
      </w:pPr>
    </w:p>
    <w:p w14:paraId="2D1D9A02" w14:textId="2C913064" w:rsidR="006F27A5" w:rsidRDefault="006F27A5" w:rsidP="00E506DF">
      <w:pPr>
        <w:rPr>
          <w:b/>
          <w:bCs/>
        </w:rPr>
      </w:pPr>
    </w:p>
    <w:p w14:paraId="0CFF2110" w14:textId="77777777" w:rsidR="006F27A5" w:rsidRDefault="006F27A5" w:rsidP="00E506DF">
      <w:pPr>
        <w:rPr>
          <w:b/>
          <w:bCs/>
        </w:rPr>
      </w:pPr>
    </w:p>
    <w:p w14:paraId="5B06716B" w14:textId="77777777" w:rsidR="006F27A5" w:rsidRDefault="006F27A5" w:rsidP="00E506DF">
      <w:pPr>
        <w:rPr>
          <w:b/>
          <w:bCs/>
        </w:rPr>
      </w:pPr>
    </w:p>
    <w:p w14:paraId="46BF2A03" w14:textId="77777777" w:rsidR="006F27A5" w:rsidRDefault="006F27A5" w:rsidP="00E506DF">
      <w:pPr>
        <w:rPr>
          <w:b/>
          <w:bCs/>
        </w:rPr>
      </w:pPr>
    </w:p>
    <w:p w14:paraId="6E60FB5E" w14:textId="77777777" w:rsidR="006F27A5" w:rsidRDefault="006F27A5" w:rsidP="00E506DF">
      <w:pPr>
        <w:rPr>
          <w:b/>
          <w:bCs/>
        </w:rPr>
      </w:pPr>
    </w:p>
    <w:p w14:paraId="02221A04" w14:textId="77777777" w:rsidR="006F27A5" w:rsidRDefault="006F27A5" w:rsidP="00E506DF">
      <w:pPr>
        <w:rPr>
          <w:b/>
          <w:bCs/>
        </w:rPr>
      </w:pPr>
    </w:p>
    <w:p w14:paraId="264E78C5" w14:textId="77777777" w:rsidR="006F27A5" w:rsidRDefault="006F27A5" w:rsidP="00E506DF">
      <w:pPr>
        <w:rPr>
          <w:b/>
          <w:bCs/>
        </w:rPr>
      </w:pPr>
    </w:p>
    <w:p w14:paraId="59B9FD29" w14:textId="77777777" w:rsidR="00204B83" w:rsidRDefault="00204B83" w:rsidP="00E506DF">
      <w:pPr>
        <w:rPr>
          <w:b/>
          <w:bCs/>
        </w:rPr>
      </w:pPr>
    </w:p>
    <w:p w14:paraId="06B81CB9" w14:textId="125ACA08" w:rsidR="00E506DF" w:rsidRPr="008B112A" w:rsidRDefault="00E506DF" w:rsidP="008B112A">
      <w:pPr>
        <w:rPr>
          <w:b/>
          <w:bCs/>
        </w:rPr>
      </w:pPr>
      <w:r w:rsidRPr="008B112A">
        <w:rPr>
          <w:b/>
          <w:bCs/>
        </w:rPr>
        <w:t>Research Report</w:t>
      </w:r>
    </w:p>
    <w:p w14:paraId="603297A2" w14:textId="77777777" w:rsidR="00E506DF" w:rsidRPr="00E506DF" w:rsidRDefault="00E506DF" w:rsidP="002320B2">
      <w:pPr>
        <w:spacing w:line="360" w:lineRule="auto"/>
      </w:pPr>
      <w:r w:rsidRPr="00E506DF">
        <w:t>Exploration of the views of ethnic minorities with depression and anxiety on access to mental health services in the United Kingdom.</w:t>
      </w:r>
    </w:p>
    <w:p w14:paraId="23FFCC98" w14:textId="77777777" w:rsidR="00E506DF" w:rsidRPr="00E506DF" w:rsidRDefault="00E506DF" w:rsidP="002320B2">
      <w:pPr>
        <w:spacing w:line="360" w:lineRule="auto"/>
        <w:rPr>
          <w:b/>
          <w:bCs/>
        </w:rPr>
      </w:pPr>
      <w:r w:rsidRPr="00E506DF">
        <w:rPr>
          <w:b/>
          <w:bCs/>
        </w:rPr>
        <w:t>Introduction</w:t>
      </w:r>
    </w:p>
    <w:p w14:paraId="0FF0050F" w14:textId="73050E3A" w:rsidR="00E506DF" w:rsidRDefault="00E506DF" w:rsidP="002320B2">
      <w:pPr>
        <w:spacing w:line="360" w:lineRule="auto"/>
      </w:pPr>
      <w:r w:rsidRPr="00E506DF">
        <w:t xml:space="preserve"> This report will identify a topic in the health and social care sector based on three sources of information relevant to the subject, outline two research methodologies that might be appropriate for the topic, and discuss the most suitable data collection methods for the chosen topic.</w:t>
      </w:r>
    </w:p>
    <w:p w14:paraId="6D38C102" w14:textId="6EFAB9A8" w:rsidR="00E506DF" w:rsidRPr="00E506DF" w:rsidRDefault="00E506DF" w:rsidP="002320B2">
      <w:pPr>
        <w:spacing w:line="360" w:lineRule="auto"/>
        <w:rPr>
          <w:b/>
          <w:bCs/>
        </w:rPr>
      </w:pPr>
      <w:r w:rsidRPr="00E506DF">
        <w:rPr>
          <w:b/>
          <w:bCs/>
        </w:rPr>
        <w:t>Task 1. Research Topic Identification</w:t>
      </w:r>
    </w:p>
    <w:p w14:paraId="5083F3A0" w14:textId="77777777" w:rsidR="00E506DF" w:rsidRPr="00E506DF" w:rsidRDefault="00E506DF" w:rsidP="002320B2">
      <w:pPr>
        <w:spacing w:line="360" w:lineRule="auto"/>
      </w:pPr>
      <w:r w:rsidRPr="00E506DF">
        <w:t>Exploration of the views of ethnic minorities with depression and anxiety on access to mental health services in the United Kingdom.</w:t>
      </w:r>
    </w:p>
    <w:p w14:paraId="7126175D" w14:textId="77777777" w:rsidR="00E506DF" w:rsidRPr="00E506DF" w:rsidRDefault="00E506DF" w:rsidP="002320B2">
      <w:pPr>
        <w:spacing w:line="360" w:lineRule="auto"/>
      </w:pPr>
      <w:r w:rsidRPr="00E506DF">
        <w:t>This study will focus on ethnic minorities with depression as the population of interest. The phenomenon of interest will be access to mental health services, and the outcome will be the views or perceptions of the participants on this topic.</w:t>
      </w:r>
    </w:p>
    <w:p w14:paraId="77E2288F" w14:textId="2B7A3483" w:rsidR="00E506DF" w:rsidRDefault="00E506DF" w:rsidP="002320B2">
      <w:pPr>
        <w:spacing w:line="360" w:lineRule="auto"/>
        <w:rPr>
          <w:b/>
          <w:bCs/>
        </w:rPr>
      </w:pPr>
      <w:r w:rsidRPr="00E506DF">
        <w:rPr>
          <w:b/>
          <w:bCs/>
        </w:rPr>
        <w:t>Justification for the topic</w:t>
      </w:r>
    </w:p>
    <w:p w14:paraId="1321B1A1" w14:textId="0F72B600" w:rsidR="00E506DF" w:rsidRDefault="00E506DF" w:rsidP="002320B2">
      <w:pPr>
        <w:spacing w:line="360" w:lineRule="auto"/>
      </w:pPr>
      <w:r w:rsidRPr="00E506DF">
        <w:t xml:space="preserve">There is a need for more research to explore the views of ethnic minorities on access to mental health services. Such research can inform practice by identifying barriers and facilitating factors for accessing specialised mental health services for this population. </w:t>
      </w:r>
      <w:r w:rsidRPr="00E506DF">
        <w:lastRenderedPageBreak/>
        <w:t>The findings can be used to develop interventions that promote access to services, thereby improving the mental health and wellbeing of ethnic minorities in the United Kingdom.</w:t>
      </w:r>
    </w:p>
    <w:p w14:paraId="2B1A3A47" w14:textId="193BA481" w:rsidR="00E506DF" w:rsidRDefault="00E506DF" w:rsidP="002320B2">
      <w:pPr>
        <w:spacing w:line="360" w:lineRule="auto"/>
        <w:rPr>
          <w:b/>
          <w:bCs/>
        </w:rPr>
      </w:pPr>
      <w:r w:rsidRPr="00E506DF">
        <w:rPr>
          <w:b/>
          <w:bCs/>
        </w:rPr>
        <w:t>Studies on access to mental health services by ethnic minorities</w:t>
      </w:r>
    </w:p>
    <w:p w14:paraId="560645F6" w14:textId="77777777" w:rsidR="00E506DF" w:rsidRPr="00E506DF" w:rsidRDefault="00E506DF" w:rsidP="002320B2">
      <w:pPr>
        <w:spacing w:line="360" w:lineRule="auto"/>
      </w:pPr>
      <w:r w:rsidRPr="00E506DF">
        <w:t>Few studies have explored the views of ethnic minorities to understand why this group struggles to access specialist mental health services. Three studies were reviewed to inform this research topic. Statistics indicate that in England, one in six adults experiences mental health problems such as depression and anxiety in any given week (Baker and Kirk-Wade, 2023). Furthermore, individuals who identify as Black are more likely to experience common mental health disorders such as depression and anxiety (Baker and Kirk-Wade, 2023). However, despite the availability of treatment and services for depression and anxiety, evidence suggests that people from Black ethnic minorities are less likely to contact their general practitioners or other specialised mental health services compared to other populations (Baker and Kirk-Wade, 2023).</w:t>
      </w:r>
    </w:p>
    <w:p w14:paraId="49B6D5FE" w14:textId="77777777" w:rsidR="00E506DF" w:rsidRPr="00E506DF" w:rsidRDefault="00E506DF" w:rsidP="002320B2">
      <w:pPr>
        <w:spacing w:line="360" w:lineRule="auto"/>
      </w:pPr>
      <w:r w:rsidRPr="00E506DF">
        <w:t>A systematic review by Miller et al. (2021) found evidence indicating that people from Black ethnic minorities experiencing various mental health issues struggle to access services due to language barriers, lack of awareness of available services, and previous negative experiences with mental health services. However, the review by Miller et al. (2021) included only 20 studies, of which 18 were qualitative. This suggests that other relevant studies may have been omitted, limiting the generalisability of the results, as noted by Polit and Beck (2020).</w:t>
      </w:r>
    </w:p>
    <w:p w14:paraId="063C5322" w14:textId="77777777" w:rsidR="00E506DF" w:rsidRPr="00E506DF" w:rsidRDefault="00E506DF" w:rsidP="002320B2">
      <w:pPr>
        <w:spacing w:line="360" w:lineRule="auto"/>
      </w:pPr>
      <w:r w:rsidRPr="00E506DF">
        <w:t>Additionally, a qualitative study by Memon et al. (2016), with a sample of 26 adults from Black ethnic groups in South East England, found evidence that some individuals in this population failed to recognise mental health problems and therefore did not seek support. The study also identified language barriers, stigma, and discrimination as factors limiting access to mental health services. Although the findings are similar to those reported by Miller et al. (2021), the study by Memon et al. (2016) had a</w:t>
      </w:r>
    </w:p>
    <w:p w14:paraId="534DFB5E" w14:textId="77777777" w:rsidR="00E506DF" w:rsidRPr="00E506DF" w:rsidRDefault="00E506DF" w:rsidP="002320B2">
      <w:pPr>
        <w:spacing w:line="360" w:lineRule="auto"/>
      </w:pPr>
      <w:r w:rsidRPr="00E506DF">
        <w:t xml:space="preserve">small sample size and was limited to one geographical area, so its findings cannot necessarily be transferred to other regions. Moreover, the study used focus groups, </w:t>
      </w:r>
      <w:r w:rsidRPr="00E506DF">
        <w:lastRenderedPageBreak/>
        <w:t>which, according to Polit and Beck (2020), can be susceptible to bias, potentially affecting credibility.</w:t>
      </w:r>
    </w:p>
    <w:p w14:paraId="36E4AEF1" w14:textId="5F032147" w:rsidR="00E506DF" w:rsidRDefault="00E506DF" w:rsidP="002320B2">
      <w:pPr>
        <w:spacing w:line="360" w:lineRule="auto"/>
        <w:rPr>
          <w:b/>
          <w:bCs/>
        </w:rPr>
      </w:pPr>
      <w:r w:rsidRPr="00E506DF">
        <w:rPr>
          <w:b/>
          <w:bCs/>
        </w:rPr>
        <w:t>Why these studies were selected</w:t>
      </w:r>
    </w:p>
    <w:p w14:paraId="1C9276CE" w14:textId="18BBF129" w:rsidR="00E506DF" w:rsidRDefault="00E506DF" w:rsidP="002320B2">
      <w:pPr>
        <w:spacing w:line="360" w:lineRule="auto"/>
      </w:pPr>
      <w:r w:rsidRPr="00E506DF">
        <w:t>The study by Baker and Wilde (2023) was chosen because it provides current statistics and background relevant to the research. It highlights the extent of the problem regarding access to mental health services among ethnic minorities. The systematic review by Miller et al. (2021) was included as it is recent and peer-reviewed. Polit and Beck (2020) suggest that articles published in peer-reviewed journals are more reliable, as they are evaluated by experts in the field. However, it is acknowledged that some relevant studies may have been excluded due to the inclusion criteria applied. The study by Memon et al. (2016) was selected because it is a primary source focusing specifically on the population of interest. It provides detailed insights into participants’ perspectives on barriers to accessing mental health services. Nevertheless, as a qualitative study, responses may be subjective and not necessarily representative of all individuals within similar groups.</w:t>
      </w:r>
    </w:p>
    <w:p w14:paraId="1E9EA823" w14:textId="4A9A7459" w:rsidR="00E506DF" w:rsidRDefault="00E506DF" w:rsidP="002320B2">
      <w:pPr>
        <w:spacing w:line="360" w:lineRule="auto"/>
        <w:rPr>
          <w:b/>
          <w:bCs/>
        </w:rPr>
      </w:pPr>
      <w:r w:rsidRPr="00E506DF">
        <w:rPr>
          <w:b/>
          <w:bCs/>
        </w:rPr>
        <w:t>Task 2. Research Methodologies</w:t>
      </w:r>
    </w:p>
    <w:p w14:paraId="1E95729A" w14:textId="77777777" w:rsidR="00E506DF" w:rsidRPr="00E506DF" w:rsidRDefault="00E506DF" w:rsidP="002320B2">
      <w:pPr>
        <w:spacing w:line="360" w:lineRule="auto"/>
      </w:pPr>
      <w:r w:rsidRPr="00E506DF">
        <w:t>Two main approaches can be used to investigate the topic. Polit and Beck (2020) define qualitative research as methodologies that focus on understanding an issue from the perspective of participants. This involves researchers interpreting what participants say or do through data collection methods such as interviews. Qualitative research is subjective in nature and, therefore, can be susceptible to bias, which may affect the credibility of the findings (Polit and Beck, 2020).</w:t>
      </w:r>
    </w:p>
    <w:p w14:paraId="665A4AAB" w14:textId="77777777" w:rsidR="00E506DF" w:rsidRPr="00E506DF" w:rsidRDefault="00E506DF" w:rsidP="002320B2">
      <w:pPr>
        <w:spacing w:line="360" w:lineRule="auto"/>
      </w:pPr>
      <w:r w:rsidRPr="00E506DF">
        <w:t>In contrast, quantitative research aims to test hypotheses to determine if they are true or not (Brannen, 2017). This approach employs large sample sizes and data collection methods such as surveys, with results often presented in graphs (Brannen, 2017). The advantage of quantitative research is that its results can be generalised and tend to be less biased. However, Polit and Beck (2020) argue that quantitative approaches may not be suitable when a researcher seeks to explore the nuanced views of participants, as they do not allow for in-depth expression of individual perspectives.</w:t>
      </w:r>
    </w:p>
    <w:p w14:paraId="30EF8253" w14:textId="77777777" w:rsidR="00E506DF" w:rsidRDefault="00E506DF" w:rsidP="002320B2">
      <w:pPr>
        <w:spacing w:line="360" w:lineRule="auto"/>
      </w:pPr>
      <w:r w:rsidRPr="00E506DF">
        <w:lastRenderedPageBreak/>
        <w:t>For this research, the most appropriate methodology will be qualitative. This is because it enables participants to explore and articulate their views on access to mental health services in depth. The qualitative approach will generate rich, detailed data, facilitating a comprehensive understanding of the topic.</w:t>
      </w:r>
    </w:p>
    <w:p w14:paraId="73C23511" w14:textId="479A29A5" w:rsidR="00E506DF" w:rsidRPr="00E506DF" w:rsidRDefault="00E506DF" w:rsidP="002320B2">
      <w:pPr>
        <w:spacing w:line="360" w:lineRule="auto"/>
        <w:rPr>
          <w:b/>
          <w:bCs/>
        </w:rPr>
      </w:pPr>
      <w:r w:rsidRPr="00E506DF">
        <w:rPr>
          <w:b/>
          <w:bCs/>
        </w:rPr>
        <w:t>Task 3. Data Collection Methods</w:t>
      </w:r>
    </w:p>
    <w:p w14:paraId="0E813F5D" w14:textId="77777777" w:rsidR="00E506DF" w:rsidRPr="00E506DF" w:rsidRDefault="00E506DF" w:rsidP="002320B2">
      <w:pPr>
        <w:spacing w:line="360" w:lineRule="auto"/>
      </w:pPr>
      <w:r w:rsidRPr="00E506DF">
        <w:t>Primary data refers to information collected directly by a researcher from participants or samples, or through conducting experiments (Brannen, 2017). Secondary data involves analysing primary data to interpret issues or derive conclusions. For example, in Task 1, the systematic review by Miller et al. (2020) is an example of research utilising secondary data, whereas the research by Memon et al. (2016) employed primary data collected directly from participants.</w:t>
      </w:r>
    </w:p>
    <w:p w14:paraId="0F6885BD" w14:textId="77777777" w:rsidR="00E506DF" w:rsidRDefault="00E506DF" w:rsidP="002320B2">
      <w:pPr>
        <w:spacing w:line="360" w:lineRule="auto"/>
      </w:pPr>
      <w:r w:rsidRPr="00E506DF">
        <w:t>In this research, primary data will be most suitable. According to Polit and Beck (2020), using methods such as interviews, semi-structured interviews, or focus groups enables researchers to gather detailed information, providing deeper insights into participants’ views. Participants will be asked to explain why they do not access services and what might help improve their access. Such information will help address the research question more comprehensively.</w:t>
      </w:r>
    </w:p>
    <w:p w14:paraId="661100E2" w14:textId="74616E66" w:rsidR="00E506DF" w:rsidRDefault="00FC7006" w:rsidP="002320B2">
      <w:pPr>
        <w:spacing w:line="360" w:lineRule="auto"/>
        <w:rPr>
          <w:b/>
          <w:bCs/>
        </w:rPr>
      </w:pPr>
      <w:r w:rsidRPr="00FC7006">
        <w:rPr>
          <w:b/>
          <w:bCs/>
        </w:rPr>
        <w:t>Conclusion</w:t>
      </w:r>
    </w:p>
    <w:p w14:paraId="250EDED0" w14:textId="3E0405A9" w:rsidR="00FC7006" w:rsidRDefault="00FC7006" w:rsidP="002320B2">
      <w:pPr>
        <w:spacing w:line="360" w:lineRule="auto"/>
      </w:pPr>
      <w:r w:rsidRPr="00FC7006">
        <w:t>This report has identified a relevant research topic. It has demonstrated the importance of background information in establishing its relevance and worth. The most suitable research approach has been identified, supported by relevant evidence and justification. The report has also proposed data collection methods aligned with the selected methodology. Finally, the limitations of the chosen approaches have been acknowledged.</w:t>
      </w:r>
    </w:p>
    <w:p w14:paraId="1E4DC1D1" w14:textId="77777777" w:rsidR="00FC7006" w:rsidRDefault="00FC7006" w:rsidP="002320B2">
      <w:pPr>
        <w:spacing w:line="360" w:lineRule="auto"/>
      </w:pPr>
    </w:p>
    <w:p w14:paraId="35AC2C38" w14:textId="77777777" w:rsidR="00FC7006" w:rsidRDefault="00FC7006" w:rsidP="002320B2">
      <w:pPr>
        <w:spacing w:line="360" w:lineRule="auto"/>
      </w:pPr>
    </w:p>
    <w:p w14:paraId="2B9066EE" w14:textId="77777777" w:rsidR="00FC7006" w:rsidRDefault="00FC7006" w:rsidP="002320B2">
      <w:pPr>
        <w:spacing w:line="360" w:lineRule="auto"/>
      </w:pPr>
    </w:p>
    <w:p w14:paraId="196E809A" w14:textId="77777777" w:rsidR="00FC7006" w:rsidRDefault="00FC7006" w:rsidP="002320B2">
      <w:pPr>
        <w:spacing w:line="360" w:lineRule="auto"/>
      </w:pPr>
    </w:p>
    <w:p w14:paraId="57807703" w14:textId="77777777" w:rsidR="00FC7006" w:rsidRDefault="00FC7006" w:rsidP="002320B2">
      <w:pPr>
        <w:spacing w:line="360" w:lineRule="auto"/>
      </w:pPr>
    </w:p>
    <w:p w14:paraId="3D5323A4" w14:textId="77777777" w:rsidR="00FC7006" w:rsidRDefault="00FC7006" w:rsidP="002320B2">
      <w:pPr>
        <w:spacing w:line="360" w:lineRule="auto"/>
      </w:pPr>
    </w:p>
    <w:p w14:paraId="2A852898" w14:textId="77777777" w:rsidR="00FC7006" w:rsidRPr="00E506DF" w:rsidRDefault="00FC7006" w:rsidP="002320B2">
      <w:pPr>
        <w:spacing w:line="360" w:lineRule="auto"/>
      </w:pPr>
    </w:p>
    <w:p w14:paraId="0F0DA392" w14:textId="77777777" w:rsidR="00FC7006" w:rsidRPr="00FC7006" w:rsidRDefault="00FC7006" w:rsidP="002320B2">
      <w:pPr>
        <w:spacing w:line="360" w:lineRule="auto"/>
        <w:rPr>
          <w:b/>
          <w:bCs/>
        </w:rPr>
      </w:pPr>
      <w:r w:rsidRPr="00FC7006">
        <w:rPr>
          <w:b/>
          <w:bCs/>
        </w:rPr>
        <w:t>Reference list</w:t>
      </w:r>
    </w:p>
    <w:p w14:paraId="1948C838" w14:textId="77777777" w:rsidR="00FC7006" w:rsidRPr="00FC7006" w:rsidRDefault="00FC7006" w:rsidP="002320B2">
      <w:pPr>
        <w:spacing w:line="360" w:lineRule="auto"/>
      </w:pPr>
      <w:r w:rsidRPr="00FC7006">
        <w:t>Baker, C. and Kirk-Wade, E., 2023. Mental health statistics: prevalence, services and funding in England. House of commons Library, 13.</w:t>
      </w:r>
    </w:p>
    <w:p w14:paraId="1835DE51" w14:textId="77777777" w:rsidR="00FC7006" w:rsidRPr="00FC7006" w:rsidRDefault="00FC7006" w:rsidP="002320B2">
      <w:pPr>
        <w:spacing w:line="360" w:lineRule="auto"/>
      </w:pPr>
      <w:r w:rsidRPr="00FC7006">
        <w:t>Brannen, J., 2017. Combining qualitative and quantitative approaches: an overview. Mixing methods: Qualitative and quantitative research, pp.3-37.</w:t>
      </w:r>
    </w:p>
    <w:p w14:paraId="659E9853" w14:textId="77777777" w:rsidR="00FC7006" w:rsidRPr="00FC7006" w:rsidRDefault="00FC7006" w:rsidP="002320B2">
      <w:pPr>
        <w:spacing w:line="360" w:lineRule="auto"/>
      </w:pPr>
      <w:r w:rsidRPr="00FC7006">
        <w:t>Memon, A., Taylor, K., Mohebati, L.M., Sundin, J., Cooper, M., Scanlon, T. and de Visser, R., 2016. Perceived barriers to accessing mental health services among black and minority ethnic communities: a qualitative study in southeast England. The Lancet, 388, p.S76.</w:t>
      </w:r>
    </w:p>
    <w:p w14:paraId="10468C43" w14:textId="77777777" w:rsidR="00FC7006" w:rsidRPr="00FC7006" w:rsidRDefault="00FC7006" w:rsidP="002320B2">
      <w:pPr>
        <w:spacing w:line="360" w:lineRule="auto"/>
      </w:pPr>
      <w:r w:rsidRPr="00FC7006">
        <w:t>Miller, E., Bosun-Arjie, S.F. and Ekpenyong, M.S., 2021. Black and ethnic minority carers perceptions on mental health services and support in the United Kingdom: a systematic review. Journal of Public Mental Health, 20(4), pp.298-311.</w:t>
      </w:r>
    </w:p>
    <w:p w14:paraId="7D7F8D39" w14:textId="77777777" w:rsidR="00FC7006" w:rsidRPr="00FC7006" w:rsidRDefault="00FC7006" w:rsidP="002320B2">
      <w:pPr>
        <w:spacing w:line="360" w:lineRule="auto"/>
      </w:pPr>
      <w:r w:rsidRPr="00FC7006">
        <w:t>Polit, D. and Beck, C., 2020. Essentials of nursing research: Appraising evidence for nursing practice. Lippincott Williams &amp; Wilkins.</w:t>
      </w:r>
    </w:p>
    <w:p w14:paraId="65CAD80D" w14:textId="01057824" w:rsidR="00E506DF" w:rsidRPr="00E506DF" w:rsidRDefault="00E506DF" w:rsidP="002320B2">
      <w:pPr>
        <w:spacing w:line="360" w:lineRule="auto"/>
      </w:pPr>
    </w:p>
    <w:sectPr w:rsidR="00E506DF" w:rsidRPr="00E50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DF"/>
    <w:rsid w:val="00204B83"/>
    <w:rsid w:val="00211C25"/>
    <w:rsid w:val="002320B2"/>
    <w:rsid w:val="003459C0"/>
    <w:rsid w:val="003932BF"/>
    <w:rsid w:val="005003C6"/>
    <w:rsid w:val="00521BE9"/>
    <w:rsid w:val="005D5329"/>
    <w:rsid w:val="005F13B1"/>
    <w:rsid w:val="006F27A5"/>
    <w:rsid w:val="00755279"/>
    <w:rsid w:val="008B112A"/>
    <w:rsid w:val="009059CD"/>
    <w:rsid w:val="00913DA5"/>
    <w:rsid w:val="00966666"/>
    <w:rsid w:val="00C232F9"/>
    <w:rsid w:val="00CD166A"/>
    <w:rsid w:val="00D328B4"/>
    <w:rsid w:val="00D45BF9"/>
    <w:rsid w:val="00E506DF"/>
    <w:rsid w:val="00E80462"/>
    <w:rsid w:val="00EE282F"/>
    <w:rsid w:val="00F54A21"/>
    <w:rsid w:val="00FC7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20FDD"/>
  <w15:chartTrackingRefBased/>
  <w15:docId w15:val="{138A3D09-64D7-4BA6-AFC9-2E5985F97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0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06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06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06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06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6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06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0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0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0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0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6DF"/>
    <w:rPr>
      <w:rFonts w:eastAsiaTheme="majorEastAsia" w:cstheme="majorBidi"/>
      <w:color w:val="272727" w:themeColor="text1" w:themeTint="D8"/>
    </w:rPr>
  </w:style>
  <w:style w:type="paragraph" w:styleId="Title">
    <w:name w:val="Title"/>
    <w:basedOn w:val="Normal"/>
    <w:next w:val="Normal"/>
    <w:link w:val="TitleChar"/>
    <w:uiPriority w:val="10"/>
    <w:qFormat/>
    <w:rsid w:val="00E50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6DF"/>
    <w:pPr>
      <w:spacing w:before="160"/>
      <w:jc w:val="center"/>
    </w:pPr>
    <w:rPr>
      <w:i/>
      <w:iCs/>
      <w:color w:val="404040" w:themeColor="text1" w:themeTint="BF"/>
    </w:rPr>
  </w:style>
  <w:style w:type="character" w:customStyle="1" w:styleId="QuoteChar">
    <w:name w:val="Quote Char"/>
    <w:basedOn w:val="DefaultParagraphFont"/>
    <w:link w:val="Quote"/>
    <w:uiPriority w:val="29"/>
    <w:rsid w:val="00E506DF"/>
    <w:rPr>
      <w:i/>
      <w:iCs/>
      <w:color w:val="404040" w:themeColor="text1" w:themeTint="BF"/>
    </w:rPr>
  </w:style>
  <w:style w:type="paragraph" w:styleId="ListParagraph">
    <w:name w:val="List Paragraph"/>
    <w:basedOn w:val="Normal"/>
    <w:uiPriority w:val="34"/>
    <w:qFormat/>
    <w:rsid w:val="00E506DF"/>
    <w:pPr>
      <w:ind w:left="720"/>
      <w:contextualSpacing/>
    </w:pPr>
  </w:style>
  <w:style w:type="character" w:styleId="IntenseEmphasis">
    <w:name w:val="Intense Emphasis"/>
    <w:basedOn w:val="DefaultParagraphFont"/>
    <w:uiPriority w:val="21"/>
    <w:qFormat/>
    <w:rsid w:val="00E506DF"/>
    <w:rPr>
      <w:i/>
      <w:iCs/>
      <w:color w:val="0F4761" w:themeColor="accent1" w:themeShade="BF"/>
    </w:rPr>
  </w:style>
  <w:style w:type="paragraph" w:styleId="IntenseQuote">
    <w:name w:val="Intense Quote"/>
    <w:basedOn w:val="Normal"/>
    <w:next w:val="Normal"/>
    <w:link w:val="IntenseQuoteChar"/>
    <w:uiPriority w:val="30"/>
    <w:qFormat/>
    <w:rsid w:val="00E50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6DF"/>
    <w:rPr>
      <w:i/>
      <w:iCs/>
      <w:color w:val="0F4761" w:themeColor="accent1" w:themeShade="BF"/>
    </w:rPr>
  </w:style>
  <w:style w:type="character" w:styleId="IntenseReference">
    <w:name w:val="Intense Reference"/>
    <w:basedOn w:val="DefaultParagraphFont"/>
    <w:uiPriority w:val="32"/>
    <w:qFormat/>
    <w:rsid w:val="00E506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1278</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Nwache</dc:creator>
  <cp:keywords/>
  <dc:description/>
  <cp:lastModifiedBy>Esther Nwache</cp:lastModifiedBy>
  <cp:revision>4</cp:revision>
  <dcterms:created xsi:type="dcterms:W3CDTF">2025-11-17T10:38:00Z</dcterms:created>
  <dcterms:modified xsi:type="dcterms:W3CDTF">2025-11-17T10:39:00Z</dcterms:modified>
</cp:coreProperties>
</file>