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60801E" w14:textId="3F71A623" w:rsidR="00E110B8" w:rsidRDefault="00A54A36">
      <w:pPr>
        <w:rPr>
          <w:u w:val="single"/>
        </w:rPr>
      </w:pPr>
      <w:r>
        <w:rPr>
          <w:u w:val="single"/>
        </w:rPr>
        <w:t>1903903_HPMF4002/2</w:t>
      </w:r>
    </w:p>
    <w:p w14:paraId="6F2D9970" w14:textId="4B8F4771" w:rsidR="00A54A36" w:rsidRDefault="00A54A36">
      <w:r>
        <w:t xml:space="preserve">This essay will attempt to provide a critical interpretation of the representation of gender in two specific films </w:t>
      </w:r>
      <w:r w:rsidR="00FF7CCA">
        <w:t xml:space="preserve">released </w:t>
      </w:r>
      <w:r>
        <w:t xml:space="preserve">between 1922 and 1944 and how this is seen to affect </w:t>
      </w:r>
      <w:r w:rsidR="00B076F0">
        <w:t xml:space="preserve">each of </w:t>
      </w:r>
      <w:r>
        <w:t>the films’ ideological position.</w:t>
      </w:r>
    </w:p>
    <w:p w14:paraId="5BC91168" w14:textId="25B1965E" w:rsidR="00B076F0" w:rsidRDefault="00B076F0">
      <w:r>
        <w:t xml:space="preserve">The analysis which follows will consider </w:t>
      </w:r>
      <w:r w:rsidR="00FF7CCA">
        <w:t>how gender is represented</w:t>
      </w:r>
      <w:r>
        <w:t xml:space="preserve"> </w:t>
      </w:r>
      <w:r w:rsidR="0040307A">
        <w:t xml:space="preserve">in </w:t>
      </w:r>
      <w:r>
        <w:t xml:space="preserve">films released </w:t>
      </w:r>
      <w:r w:rsidR="0040307A">
        <w:t>in</w:t>
      </w:r>
      <w:r w:rsidR="00FF7CCA">
        <w:t xml:space="preserve"> the 1920s to the 1940s</w:t>
      </w:r>
      <w:r>
        <w:t xml:space="preserve"> and covers in the main the female role in silent films and Film Noir.  </w:t>
      </w:r>
      <w:r w:rsidR="0040307A">
        <w:t xml:space="preserve">The essay will also consider how women were represented in German Expressionist films leading up to the birth of the genre known as Film Noir.  </w:t>
      </w:r>
      <w:r>
        <w:t xml:space="preserve">The films which will be discussed are </w:t>
      </w:r>
      <w:r w:rsidRPr="00FF7CCA">
        <w:rPr>
          <w:i/>
          <w:iCs/>
        </w:rPr>
        <w:t>Nosferatu</w:t>
      </w:r>
      <w:r>
        <w:t xml:space="preserve"> (Murnau</w:t>
      </w:r>
      <w:r w:rsidR="00EB62D3">
        <w:t>,</w:t>
      </w:r>
      <w:r>
        <w:t xml:space="preserve"> 1922) and </w:t>
      </w:r>
      <w:r w:rsidRPr="00FF7CCA">
        <w:rPr>
          <w:i/>
          <w:iCs/>
        </w:rPr>
        <w:t>Double Indemnity</w:t>
      </w:r>
      <w:r>
        <w:t xml:space="preserve"> (Wilder</w:t>
      </w:r>
      <w:r w:rsidR="00EB62D3">
        <w:t xml:space="preserve">, </w:t>
      </w:r>
      <w:r>
        <w:t xml:space="preserve">1944). </w:t>
      </w:r>
    </w:p>
    <w:p w14:paraId="0644721D" w14:textId="678C7E10" w:rsidR="006D37B0" w:rsidRDefault="006D37B0">
      <w:r>
        <w:t xml:space="preserve">Firstly, </w:t>
      </w:r>
      <w:r w:rsidR="001D394C">
        <w:t xml:space="preserve">turning to </w:t>
      </w:r>
      <w:r w:rsidR="001D394C" w:rsidRPr="00FF7CCA">
        <w:rPr>
          <w:i/>
          <w:iCs/>
        </w:rPr>
        <w:t>Nosferatu</w:t>
      </w:r>
      <w:r w:rsidR="001D394C">
        <w:t xml:space="preserve"> which is considered a classic of Weimar Cinema</w:t>
      </w:r>
      <w:r w:rsidR="00FF7CCA">
        <w:t xml:space="preserve"> (1919-33)</w:t>
      </w:r>
      <w:r w:rsidR="001D394C">
        <w:t xml:space="preserve">.  Many of the films produced at this time having macabre and supernatural elements.   </w:t>
      </w:r>
      <w:r w:rsidR="00B70482">
        <w:t xml:space="preserve">The film was based on the Bram Stoker novel Dracula (1897) and although the names of the characters and places </w:t>
      </w:r>
      <w:r w:rsidR="00FF7CCA">
        <w:t>were</w:t>
      </w:r>
      <w:r w:rsidR="00B70482">
        <w:t xml:space="preserve"> changed, the widow of the author, Florence pursued a legal battle </w:t>
      </w:r>
      <w:r w:rsidR="0040307A">
        <w:t xml:space="preserve">over the rights of her husband’s novel and </w:t>
      </w:r>
      <w:r w:rsidR="00B70482">
        <w:t xml:space="preserve">was successful.  All copies of Nosferatu were ordered to be destroyed but clearly some survived.  </w:t>
      </w:r>
    </w:p>
    <w:p w14:paraId="46A5B664" w14:textId="3FDC759C" w:rsidR="00B46291" w:rsidRDefault="00A858B6">
      <w:r>
        <w:rPr>
          <w:noProof/>
        </w:rPr>
        <w:drawing>
          <wp:anchor distT="0" distB="0" distL="114300" distR="114300" simplePos="0" relativeHeight="251658240" behindDoc="1" locked="0" layoutInCell="1" allowOverlap="1" wp14:anchorId="758943F3" wp14:editId="60B2D0F7">
            <wp:simplePos x="0" y="0"/>
            <wp:positionH relativeFrom="column">
              <wp:posOffset>3581400</wp:posOffset>
            </wp:positionH>
            <wp:positionV relativeFrom="paragraph">
              <wp:posOffset>814070</wp:posOffset>
            </wp:positionV>
            <wp:extent cx="1847850" cy="2476500"/>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847850" cy="2476500"/>
                    </a:xfrm>
                    <a:prstGeom prst="rect">
                      <a:avLst/>
                    </a:prstGeom>
                    <a:noFill/>
                    <a:ln>
                      <a:noFill/>
                    </a:ln>
                  </pic:spPr>
                </pic:pic>
              </a:graphicData>
            </a:graphic>
            <wp14:sizeRelH relativeFrom="page">
              <wp14:pctWidth>0</wp14:pctWidth>
            </wp14:sizeRelH>
            <wp14:sizeRelV relativeFrom="page">
              <wp14:pctHeight>0</wp14:pctHeight>
            </wp14:sizeRelV>
          </wp:anchor>
        </w:drawing>
      </w:r>
      <w:r w:rsidR="003B32AB">
        <w:t xml:space="preserve">There are clear differences in the novel and the film which sees the vampire travel to Wisborg in Germany instead of London. </w:t>
      </w:r>
      <w:r w:rsidR="00B46291">
        <w:t xml:space="preserve">  In Dracula the vampire is defeated by characters who gather together </w:t>
      </w:r>
      <w:r w:rsidR="00D973A1">
        <w:t>to fight the vampire whose threat is sexual.  In Nosferatu the vampire, Orlok (</w:t>
      </w:r>
      <w:r w:rsidR="00D02CA1">
        <w:t>Max Schreck</w:t>
      </w:r>
      <w:r w:rsidR="00D973A1">
        <w:t>) is defeated by a self</w:t>
      </w:r>
      <w:r w:rsidR="0040307A">
        <w:t>-</w:t>
      </w:r>
      <w:r w:rsidR="00D973A1">
        <w:t>sacrificing wife Ella (</w:t>
      </w:r>
      <w:r w:rsidR="00D02CA1">
        <w:t>Greta Schroeder</w:t>
      </w:r>
      <w:r w:rsidR="00D973A1">
        <w:t>) similar to the character Senta in Wagner’s Flying Dutchman.</w:t>
      </w:r>
      <w:r w:rsidR="00EC203C">
        <w:t xml:space="preserve">  </w:t>
      </w:r>
    </w:p>
    <w:p w14:paraId="4A514351" w14:textId="090E59CF" w:rsidR="00B262CF" w:rsidRDefault="00B262CF"/>
    <w:p w14:paraId="7E03461D" w14:textId="06981B9E" w:rsidR="00B262CF" w:rsidRDefault="00A858B6">
      <w:r>
        <w:rPr>
          <w:noProof/>
          <w:u w:val="single"/>
        </w:rPr>
        <w:drawing>
          <wp:anchor distT="0" distB="0" distL="114300" distR="114300" simplePos="0" relativeHeight="251659264" behindDoc="1" locked="0" layoutInCell="1" allowOverlap="1" wp14:anchorId="5D7CE0AD" wp14:editId="6DBD667A">
            <wp:simplePos x="0" y="0"/>
            <wp:positionH relativeFrom="column">
              <wp:posOffset>177800</wp:posOffset>
            </wp:positionH>
            <wp:positionV relativeFrom="paragraph">
              <wp:posOffset>103505</wp:posOffset>
            </wp:positionV>
            <wp:extent cx="2457450" cy="1866900"/>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57450" cy="18669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778A169" w14:textId="3447BDEB" w:rsidR="00B262CF" w:rsidRDefault="00B262CF"/>
    <w:p w14:paraId="3F4DAC20" w14:textId="62A32888" w:rsidR="00A858B6" w:rsidRDefault="00A858B6"/>
    <w:p w14:paraId="68B90ADA" w14:textId="6B7D58B6" w:rsidR="00A858B6" w:rsidRDefault="00A858B6"/>
    <w:p w14:paraId="42C12345" w14:textId="0672F04D" w:rsidR="00A858B6" w:rsidRDefault="00A858B6"/>
    <w:p w14:paraId="02797279" w14:textId="08293DCA" w:rsidR="00A858B6" w:rsidRDefault="00A858B6"/>
    <w:p w14:paraId="313419D8" w14:textId="36D04B6D" w:rsidR="00A858B6" w:rsidRDefault="00A858B6"/>
    <w:p w14:paraId="6FEA68A1" w14:textId="0EBCCA59" w:rsidR="00A858B6" w:rsidRDefault="00A858B6"/>
    <w:p w14:paraId="7BAB747F" w14:textId="77777777" w:rsidR="00A858B6" w:rsidRDefault="00A858B6"/>
    <w:p w14:paraId="69F45F02" w14:textId="0DDC9DF6" w:rsidR="00D973A1" w:rsidRDefault="00EC203C">
      <w:r>
        <w:t>The film follows the husband, Hutter (</w:t>
      </w:r>
      <w:r w:rsidR="00D02CA1">
        <w:t>Gustav Von Wangenheim</w:t>
      </w:r>
      <w:r>
        <w:t xml:space="preserve">) </w:t>
      </w:r>
      <w:r w:rsidR="00EB44B9">
        <w:t xml:space="preserve">to </w:t>
      </w:r>
      <w:r>
        <w:t>Orlok’s Castle</w:t>
      </w:r>
      <w:r w:rsidR="00EB44B9">
        <w:t>.  In contrast to the novel Hutter is not portrayed as a powerful man</w:t>
      </w:r>
      <w:r w:rsidR="00474666">
        <w:t xml:space="preserve"> </w:t>
      </w:r>
      <w:r w:rsidR="00EB44B9">
        <w:t xml:space="preserve">and this is demonstrated when Hutter pulls the sheet up over his head when Orlok comes into his bedroom in a childlike manner.   </w:t>
      </w:r>
    </w:p>
    <w:p w14:paraId="5F5B7145" w14:textId="5E52ED1F" w:rsidR="003B32AB" w:rsidRDefault="003B32AB">
      <w:r>
        <w:t xml:space="preserve">At the time the film was made German people were demoralized having suffered a defeat in the First World War and their economy was in ruins.  Germany had also been affected by the Spanish Influenza pandemic of 1918-19 which killed more people than had died during the war.  </w:t>
      </w:r>
      <w:r w:rsidR="0046584A">
        <w:t>A major occult revival took place in Germany and Lotte Eisner wrote:</w:t>
      </w:r>
    </w:p>
    <w:p w14:paraId="570D8E32" w14:textId="1A1ACB37" w:rsidR="0046584A" w:rsidRDefault="0046584A" w:rsidP="00B46291">
      <w:pPr>
        <w:ind w:left="720"/>
        <w:rPr>
          <w:rFonts w:cstheme="minorHAnsi"/>
        </w:rPr>
      </w:pPr>
      <w:r>
        <w:lastRenderedPageBreak/>
        <w:t xml:space="preserve">Mysticism and magic, the dark forces to which Germans have always been more than willing to commit themselves, had flourished in the face of death on the battlefields….And the ghosts which have haunted the German Romantics revived, like the shades of Hades after draughts of blood.  A new stimulus was thus given to the eternal attraction towards all that was obscure and undermined, towards the kind of brooding speculative reflection called </w:t>
      </w:r>
      <w:r w:rsidR="00B46291">
        <w:rPr>
          <w:rFonts w:cstheme="minorHAnsi"/>
        </w:rPr>
        <w:t>Grubelei.  Eisner, The Haunted Screen, p9.</w:t>
      </w:r>
    </w:p>
    <w:p w14:paraId="10F2BB06" w14:textId="49B2E3B7" w:rsidR="00EC203C" w:rsidRDefault="00EC203C" w:rsidP="00EC203C">
      <w:pPr>
        <w:rPr>
          <w:rFonts w:cstheme="minorHAnsi"/>
        </w:rPr>
      </w:pPr>
      <w:r>
        <w:rPr>
          <w:rFonts w:cstheme="minorHAnsi"/>
        </w:rPr>
        <w:t>In addition to Nosferatu, the Director, Friedrich Wilhelm Murnau also directed  “Der Januskopf  (1920) a version of Stevenson’s Dr Jekyll and Mr Hyde and “Faust (1926).</w:t>
      </w:r>
    </w:p>
    <w:p w14:paraId="2F5029B9" w14:textId="5E2A188A" w:rsidR="009D1B7C" w:rsidRDefault="009D1B7C" w:rsidP="00EC203C">
      <w:pPr>
        <w:rPr>
          <w:rFonts w:cstheme="minorHAnsi"/>
        </w:rPr>
      </w:pPr>
      <w:r>
        <w:rPr>
          <w:rFonts w:cstheme="minorHAnsi"/>
        </w:rPr>
        <w:t>Hutter having discovered that Orlok is a vampire and witnessing him loading coffins onto a cart escapes from the Castle.  He suspects that Ellen is in danger</w:t>
      </w:r>
      <w:r w:rsidR="0040307A">
        <w:rPr>
          <w:rFonts w:cstheme="minorHAnsi"/>
        </w:rPr>
        <w:t xml:space="preserve"> and starts to make his way home.</w:t>
      </w:r>
    </w:p>
    <w:p w14:paraId="1C4A5EA7" w14:textId="7B3339E8" w:rsidR="00A858B6" w:rsidRDefault="00A858B6" w:rsidP="00EC203C">
      <w:pPr>
        <w:rPr>
          <w:rFonts w:cstheme="minorHAnsi"/>
        </w:rPr>
      </w:pPr>
      <w:r>
        <w:rPr>
          <w:rFonts w:cstheme="minorHAnsi"/>
          <w:noProof/>
        </w:rPr>
        <w:drawing>
          <wp:anchor distT="0" distB="0" distL="114300" distR="114300" simplePos="0" relativeHeight="251660288" behindDoc="1" locked="0" layoutInCell="1" allowOverlap="1" wp14:anchorId="47AA340F" wp14:editId="7741617C">
            <wp:simplePos x="0" y="0"/>
            <wp:positionH relativeFrom="margin">
              <wp:align>center</wp:align>
            </wp:positionH>
            <wp:positionV relativeFrom="paragraph">
              <wp:posOffset>83185</wp:posOffset>
            </wp:positionV>
            <wp:extent cx="2660650" cy="1727200"/>
            <wp:effectExtent l="0" t="0" r="6350" b="635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60650" cy="17272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41DDB3B" w14:textId="0A77CE06" w:rsidR="00A858B6" w:rsidRDefault="00A858B6" w:rsidP="00EC203C">
      <w:pPr>
        <w:rPr>
          <w:rFonts w:cstheme="minorHAnsi"/>
        </w:rPr>
      </w:pPr>
    </w:p>
    <w:p w14:paraId="24789973" w14:textId="4588810F" w:rsidR="00A858B6" w:rsidRDefault="00A858B6" w:rsidP="00EC203C">
      <w:pPr>
        <w:rPr>
          <w:rFonts w:cstheme="minorHAnsi"/>
        </w:rPr>
      </w:pPr>
    </w:p>
    <w:p w14:paraId="5873A46B" w14:textId="1545D724" w:rsidR="00A858B6" w:rsidRDefault="00A858B6" w:rsidP="00EC203C">
      <w:pPr>
        <w:rPr>
          <w:rFonts w:cstheme="minorHAnsi"/>
        </w:rPr>
      </w:pPr>
    </w:p>
    <w:p w14:paraId="6EB5A2E8" w14:textId="0E213892" w:rsidR="00A858B6" w:rsidRDefault="00A858B6" w:rsidP="00EC203C">
      <w:pPr>
        <w:rPr>
          <w:rFonts w:cstheme="minorHAnsi"/>
        </w:rPr>
      </w:pPr>
    </w:p>
    <w:p w14:paraId="71C87AD5" w14:textId="5BC6DC4A" w:rsidR="00A858B6" w:rsidRDefault="00A858B6" w:rsidP="00EC203C">
      <w:pPr>
        <w:rPr>
          <w:rFonts w:cstheme="minorHAnsi"/>
        </w:rPr>
      </w:pPr>
    </w:p>
    <w:p w14:paraId="006F15E2" w14:textId="10753306" w:rsidR="00A858B6" w:rsidRDefault="00A858B6" w:rsidP="00EC203C">
      <w:pPr>
        <w:rPr>
          <w:rFonts w:cstheme="minorHAnsi"/>
        </w:rPr>
      </w:pPr>
    </w:p>
    <w:p w14:paraId="6ED6C389" w14:textId="6E5EB1BF" w:rsidR="006A268C" w:rsidRDefault="00F86B24" w:rsidP="00EC203C">
      <w:pPr>
        <w:rPr>
          <w:rFonts w:cstheme="minorHAnsi"/>
        </w:rPr>
      </w:pPr>
      <w:r>
        <w:rPr>
          <w:rFonts w:cstheme="minorHAnsi"/>
        </w:rPr>
        <w:t>Ellen is seen waiting patiently for word of her husband and is seen sitting on a beach looking out to sea.  There are several crucifixes placed in the sand dunes which would appear to signify impending doom and death</w:t>
      </w:r>
      <w:r w:rsidR="00B40459">
        <w:rPr>
          <w:rFonts w:cstheme="minorHAnsi"/>
        </w:rPr>
        <w:t>.</w:t>
      </w:r>
    </w:p>
    <w:p w14:paraId="0A341B16" w14:textId="77777777" w:rsidR="00B40459" w:rsidRDefault="00B40459" w:rsidP="00EC203C">
      <w:pPr>
        <w:rPr>
          <w:rFonts w:cstheme="minorHAnsi"/>
        </w:rPr>
      </w:pPr>
    </w:p>
    <w:p w14:paraId="071F51BE" w14:textId="2245CD28" w:rsidR="00C0369B" w:rsidRDefault="00C0369B" w:rsidP="00EC203C">
      <w:pPr>
        <w:rPr>
          <w:rFonts w:cstheme="minorHAnsi"/>
        </w:rPr>
      </w:pPr>
      <w:r>
        <w:rPr>
          <w:rFonts w:cstheme="minorHAnsi"/>
          <w:noProof/>
        </w:rPr>
        <w:drawing>
          <wp:inline distT="0" distB="0" distL="0" distR="0" wp14:anchorId="7697E6D2" wp14:editId="0B227C6D">
            <wp:extent cx="3568700" cy="2889191"/>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11073" cy="3004455"/>
                    </a:xfrm>
                    <a:prstGeom prst="rect">
                      <a:avLst/>
                    </a:prstGeom>
                    <a:noFill/>
                    <a:ln>
                      <a:noFill/>
                    </a:ln>
                  </pic:spPr>
                </pic:pic>
              </a:graphicData>
            </a:graphic>
          </wp:inline>
        </w:drawing>
      </w:r>
    </w:p>
    <w:p w14:paraId="668D731A" w14:textId="77777777" w:rsidR="00A858B6" w:rsidRDefault="00A858B6" w:rsidP="00EC203C">
      <w:pPr>
        <w:rPr>
          <w:rFonts w:cstheme="minorHAnsi"/>
        </w:rPr>
      </w:pPr>
    </w:p>
    <w:p w14:paraId="27872973" w14:textId="3AF8C8CF" w:rsidR="00F86B24" w:rsidRDefault="00154580" w:rsidP="00EC203C">
      <w:pPr>
        <w:rPr>
          <w:rFonts w:cstheme="minorHAnsi"/>
        </w:rPr>
      </w:pPr>
      <w:r>
        <w:rPr>
          <w:rFonts w:cstheme="minorHAnsi"/>
        </w:rPr>
        <w:t xml:space="preserve">Orlok is also seen travelling with his coffins by </w:t>
      </w:r>
      <w:r w:rsidR="00F86B24">
        <w:rPr>
          <w:rFonts w:cstheme="minorHAnsi"/>
        </w:rPr>
        <w:t xml:space="preserve">ship </w:t>
      </w:r>
      <w:r>
        <w:rPr>
          <w:rFonts w:cstheme="minorHAnsi"/>
        </w:rPr>
        <w:t>the</w:t>
      </w:r>
      <w:r w:rsidR="00F86B24">
        <w:rPr>
          <w:rFonts w:cstheme="minorHAnsi"/>
        </w:rPr>
        <w:t xml:space="preserve"> Eumusa (the Greek name for </w:t>
      </w:r>
      <w:r w:rsidR="00584242">
        <w:rPr>
          <w:rFonts w:cstheme="minorHAnsi"/>
        </w:rPr>
        <w:t xml:space="preserve">a </w:t>
      </w:r>
      <w:r w:rsidR="00F86B24">
        <w:rPr>
          <w:rFonts w:cstheme="minorHAnsi"/>
        </w:rPr>
        <w:t>kind of she-like vampire)</w:t>
      </w:r>
      <w:r w:rsidR="00584242">
        <w:rPr>
          <w:rFonts w:cstheme="minorHAnsi"/>
        </w:rPr>
        <w:t xml:space="preserve">.  </w:t>
      </w:r>
      <w:r>
        <w:rPr>
          <w:rFonts w:cstheme="minorHAnsi"/>
        </w:rPr>
        <w:t>The coffins contain not only soil but rats and t</w:t>
      </w:r>
      <w:r w:rsidR="002E2174">
        <w:rPr>
          <w:rFonts w:cstheme="minorHAnsi"/>
        </w:rPr>
        <w:t xml:space="preserve">here would appear to be a visual motif linking Orlok’s appearance with rats.  </w:t>
      </w:r>
      <w:r w:rsidR="00584242">
        <w:rPr>
          <w:rFonts w:cstheme="minorHAnsi"/>
        </w:rPr>
        <w:t xml:space="preserve">It is maintained by </w:t>
      </w:r>
      <w:r w:rsidR="002E2174">
        <w:rPr>
          <w:rFonts w:cstheme="minorHAnsi"/>
        </w:rPr>
        <w:t xml:space="preserve">S. S. Prawer that “educated Germans of the period would at once have associated these sea-faring rats with a scene in Goethe’s Faust, in which Mephisto is known as “Herr der Ratten”: Master of the Rats” – Prawer, Nosferatu p54.   Jews in Germany were often associated with rats and characterized as bearers of a plague of moral decay.  Orlok is depicted as </w:t>
      </w:r>
      <w:r w:rsidR="008905B9">
        <w:rPr>
          <w:rFonts w:cstheme="minorHAnsi"/>
        </w:rPr>
        <w:t>having a large nose, long grasping fingers and on occasion wearing a skullcap which would appear to conform to the stereotype of Jewish physical fea</w:t>
      </w:r>
      <w:r w:rsidR="00363690">
        <w:rPr>
          <w:rFonts w:cstheme="minorHAnsi"/>
        </w:rPr>
        <w:t>t</w:t>
      </w:r>
      <w:r w:rsidR="008905B9">
        <w:rPr>
          <w:rFonts w:cstheme="minorHAnsi"/>
        </w:rPr>
        <w:t xml:space="preserve">ures and dress at the time </w:t>
      </w:r>
    </w:p>
    <w:p w14:paraId="6A9B591F" w14:textId="140C732E" w:rsidR="00B262CF" w:rsidRDefault="00A858B6" w:rsidP="00EC203C">
      <w:pPr>
        <w:rPr>
          <w:rFonts w:cstheme="minorHAnsi"/>
        </w:rPr>
      </w:pPr>
      <w:r>
        <w:rPr>
          <w:rFonts w:cstheme="minorHAnsi"/>
          <w:noProof/>
        </w:rPr>
        <w:drawing>
          <wp:anchor distT="0" distB="0" distL="114300" distR="114300" simplePos="0" relativeHeight="251661312" behindDoc="1" locked="0" layoutInCell="1" allowOverlap="1" wp14:anchorId="2AB6F2CE" wp14:editId="17B42BFD">
            <wp:simplePos x="0" y="0"/>
            <wp:positionH relativeFrom="margin">
              <wp:align>center</wp:align>
            </wp:positionH>
            <wp:positionV relativeFrom="paragraph">
              <wp:posOffset>45085</wp:posOffset>
            </wp:positionV>
            <wp:extent cx="2857500" cy="1600200"/>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57500" cy="16002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829D621" w14:textId="04C2C6EB" w:rsidR="00B262CF" w:rsidRDefault="00B262CF" w:rsidP="00EC203C">
      <w:pPr>
        <w:rPr>
          <w:rFonts w:cstheme="minorHAnsi"/>
        </w:rPr>
      </w:pPr>
    </w:p>
    <w:p w14:paraId="5C234A19" w14:textId="64A98575" w:rsidR="00B262CF" w:rsidRDefault="00B262CF" w:rsidP="00EC203C">
      <w:pPr>
        <w:rPr>
          <w:rFonts w:cstheme="minorHAnsi"/>
        </w:rPr>
      </w:pPr>
    </w:p>
    <w:p w14:paraId="5FF013B4" w14:textId="618EF39A" w:rsidR="00A858B6" w:rsidRDefault="00A858B6" w:rsidP="00EC203C">
      <w:pPr>
        <w:rPr>
          <w:rFonts w:cstheme="minorHAnsi"/>
        </w:rPr>
      </w:pPr>
    </w:p>
    <w:p w14:paraId="2CF9AEB3" w14:textId="6DF79F83" w:rsidR="00A858B6" w:rsidRDefault="00A858B6" w:rsidP="00EC203C">
      <w:pPr>
        <w:rPr>
          <w:rFonts w:cstheme="minorHAnsi"/>
        </w:rPr>
      </w:pPr>
    </w:p>
    <w:p w14:paraId="797097D2" w14:textId="4983D792" w:rsidR="00FB68D7" w:rsidRDefault="00B40459" w:rsidP="00EC203C">
      <w:pPr>
        <w:rPr>
          <w:rFonts w:cstheme="minorHAnsi"/>
        </w:rPr>
      </w:pPr>
      <w:r>
        <w:rPr>
          <w:rFonts w:cstheme="minorHAnsi"/>
        </w:rPr>
        <w:t xml:space="preserve">                                                                                                                                                                                                 </w:t>
      </w:r>
      <w:r w:rsidR="00FB68D7">
        <w:rPr>
          <w:rFonts w:cstheme="minorHAnsi"/>
        </w:rPr>
        <w:t xml:space="preserve">The ship docks and Orlok makes his way to his new house. </w:t>
      </w:r>
      <w:r w:rsidR="001D5790">
        <w:rPr>
          <w:rFonts w:cstheme="minorHAnsi"/>
        </w:rPr>
        <w:t xml:space="preserve"> The town is engulfed by </w:t>
      </w:r>
      <w:r w:rsidR="001423D2">
        <w:rPr>
          <w:rFonts w:cstheme="minorHAnsi"/>
        </w:rPr>
        <w:t>an</w:t>
      </w:r>
      <w:r w:rsidR="001D5790">
        <w:rPr>
          <w:rFonts w:cstheme="minorHAnsi"/>
        </w:rPr>
        <w:t xml:space="preserve"> epidemic and they proceed to bury their dead.  Contemporary audiences would have related to this having experienced such losses in the Spanish Influenza pandemic. </w:t>
      </w:r>
      <w:r w:rsidR="00FB68D7">
        <w:rPr>
          <w:rFonts w:cstheme="minorHAnsi"/>
        </w:rPr>
        <w:t xml:space="preserve"> Hutton has also returned and Ellen discovers the book he found whilst on his travels.   Ellen reads that if a chaste woman fearlessly makes the vampire miss the first crowing of the cock he will disintegrate in the light of dawn.   Ellen invites Orlok to her bed and keeps him there drinking her blood until dawn and when the rays of the sun </w:t>
      </w:r>
      <w:r w:rsidR="00AE64E8">
        <w:rPr>
          <w:rFonts w:cstheme="minorHAnsi"/>
        </w:rPr>
        <w:t xml:space="preserve">come through the window he is vaporized.  As she would have known this selfless act results in her death.  </w:t>
      </w:r>
    </w:p>
    <w:p w14:paraId="5CCBC046" w14:textId="47077AFC" w:rsidR="00B262CF" w:rsidRDefault="00A858B6" w:rsidP="00EC203C">
      <w:pPr>
        <w:rPr>
          <w:rFonts w:cstheme="minorHAnsi"/>
        </w:rPr>
      </w:pPr>
      <w:r>
        <w:rPr>
          <w:rFonts w:cstheme="minorHAnsi"/>
          <w:noProof/>
        </w:rPr>
        <w:drawing>
          <wp:anchor distT="0" distB="0" distL="114300" distR="114300" simplePos="0" relativeHeight="251662336" behindDoc="1" locked="0" layoutInCell="1" allowOverlap="1" wp14:anchorId="617083FF" wp14:editId="246C48EC">
            <wp:simplePos x="0" y="0"/>
            <wp:positionH relativeFrom="column">
              <wp:posOffset>3225800</wp:posOffset>
            </wp:positionH>
            <wp:positionV relativeFrom="paragraph">
              <wp:posOffset>8890</wp:posOffset>
            </wp:positionV>
            <wp:extent cx="2463800" cy="1707715"/>
            <wp:effectExtent l="0" t="0" r="0" b="698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70025" cy="171203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cstheme="minorHAnsi"/>
          <w:noProof/>
        </w:rPr>
        <w:drawing>
          <wp:anchor distT="0" distB="0" distL="114300" distR="114300" simplePos="0" relativeHeight="251663360" behindDoc="1" locked="0" layoutInCell="1" allowOverlap="1" wp14:anchorId="49707373" wp14:editId="4037DAE0">
            <wp:simplePos x="0" y="0"/>
            <wp:positionH relativeFrom="margin">
              <wp:align>left</wp:align>
            </wp:positionH>
            <wp:positionV relativeFrom="paragraph">
              <wp:posOffset>8890</wp:posOffset>
            </wp:positionV>
            <wp:extent cx="2660650" cy="1727200"/>
            <wp:effectExtent l="0" t="0" r="6350" b="635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60650" cy="17272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03E0640" w14:textId="1825CD46" w:rsidR="00B262CF" w:rsidRDefault="00B262CF" w:rsidP="00EC203C">
      <w:pPr>
        <w:rPr>
          <w:rFonts w:cstheme="minorHAnsi"/>
        </w:rPr>
      </w:pPr>
    </w:p>
    <w:p w14:paraId="31342C72" w14:textId="6C96B464" w:rsidR="00B262CF" w:rsidRDefault="00B262CF" w:rsidP="00EC203C">
      <w:pPr>
        <w:rPr>
          <w:rFonts w:cstheme="minorHAnsi"/>
        </w:rPr>
      </w:pPr>
    </w:p>
    <w:p w14:paraId="5D033AE7" w14:textId="04E7D99C" w:rsidR="00B262CF" w:rsidRDefault="00B262CF" w:rsidP="00EC203C">
      <w:pPr>
        <w:rPr>
          <w:rFonts w:cstheme="minorHAnsi"/>
        </w:rPr>
      </w:pPr>
    </w:p>
    <w:p w14:paraId="36B485EB" w14:textId="0AD790C0" w:rsidR="00B262CF" w:rsidRDefault="00B262CF" w:rsidP="00EC203C">
      <w:pPr>
        <w:rPr>
          <w:rFonts w:cstheme="minorHAnsi"/>
        </w:rPr>
      </w:pPr>
    </w:p>
    <w:p w14:paraId="0EFC5176" w14:textId="5ECBAF0D" w:rsidR="00B262CF" w:rsidRDefault="00B262CF" w:rsidP="00EC203C">
      <w:pPr>
        <w:rPr>
          <w:rFonts w:cstheme="minorHAnsi"/>
        </w:rPr>
      </w:pPr>
    </w:p>
    <w:p w14:paraId="74897E44" w14:textId="5A118DE6" w:rsidR="00B262CF" w:rsidRDefault="00B262CF" w:rsidP="00EC203C">
      <w:pPr>
        <w:rPr>
          <w:rFonts w:cstheme="minorHAnsi"/>
        </w:rPr>
      </w:pPr>
    </w:p>
    <w:p w14:paraId="63F1409C" w14:textId="38422196" w:rsidR="00BB1BD8" w:rsidRDefault="00BB1BD8" w:rsidP="00EC203C">
      <w:pPr>
        <w:rPr>
          <w:rFonts w:cstheme="minorHAnsi"/>
        </w:rPr>
      </w:pPr>
      <w:r>
        <w:rPr>
          <w:rFonts w:cstheme="minorHAnsi"/>
        </w:rPr>
        <w:t xml:space="preserve">Murnau made several other films but the most noteworthy was </w:t>
      </w:r>
      <w:r w:rsidRPr="000F4B3A">
        <w:rPr>
          <w:rFonts w:cstheme="minorHAnsi"/>
          <w:i/>
          <w:iCs/>
        </w:rPr>
        <w:t>Sunrise- A Song of two humans</w:t>
      </w:r>
      <w:r>
        <w:rPr>
          <w:rFonts w:cstheme="minorHAnsi"/>
        </w:rPr>
        <w:t xml:space="preserve"> (1927).  By this time he had moved to Hollywood and this was his first American film.   It is sometimes described as a pre-curser of Film Noir which became popular in the 1940s.  </w:t>
      </w:r>
    </w:p>
    <w:p w14:paraId="5C0F4245" w14:textId="26D7F560" w:rsidR="00264BB9" w:rsidRDefault="00264BB9" w:rsidP="00EC203C">
      <w:pPr>
        <w:rPr>
          <w:rFonts w:cstheme="minorHAnsi"/>
        </w:rPr>
      </w:pPr>
      <w:r>
        <w:rPr>
          <w:rFonts w:cstheme="minorHAnsi"/>
        </w:rPr>
        <w:t xml:space="preserve">It is interesting to note that the characters in </w:t>
      </w:r>
      <w:r w:rsidRPr="000F4B3A">
        <w:rPr>
          <w:rFonts w:cstheme="minorHAnsi"/>
        </w:rPr>
        <w:t>Sunrise</w:t>
      </w:r>
      <w:r>
        <w:rPr>
          <w:rFonts w:cstheme="minorHAnsi"/>
        </w:rPr>
        <w:t xml:space="preserve"> and the narrative are similar to the next film being examined in this essay.  A married man “the man” (George O’Brien) falls for an evil temptress “the woman from the city” (Margaret Livingstone) who bewitches him to murder his neglected wife</w:t>
      </w:r>
      <w:r w:rsidR="0058407D">
        <w:rPr>
          <w:rFonts w:cstheme="minorHAnsi"/>
        </w:rPr>
        <w:t>,</w:t>
      </w:r>
      <w:r>
        <w:rPr>
          <w:rFonts w:cstheme="minorHAnsi"/>
        </w:rPr>
        <w:t xml:space="preserve"> “the </w:t>
      </w:r>
      <w:r>
        <w:rPr>
          <w:rFonts w:cstheme="minorHAnsi"/>
        </w:rPr>
        <w:lastRenderedPageBreak/>
        <w:t>wife”(Janet Gaynor) so that they could be together.</w:t>
      </w:r>
      <w:r w:rsidR="00FA1CCC">
        <w:rPr>
          <w:rFonts w:cstheme="minorHAnsi"/>
        </w:rPr>
        <w:t xml:space="preserve">  </w:t>
      </w:r>
      <w:r w:rsidR="00584DC9">
        <w:rPr>
          <w:rFonts w:cstheme="minorHAnsi"/>
        </w:rPr>
        <w:t xml:space="preserve"> However, the husband does not </w:t>
      </w:r>
      <w:r w:rsidR="005271EE">
        <w:rPr>
          <w:rFonts w:cstheme="minorHAnsi"/>
        </w:rPr>
        <w:t xml:space="preserve">kill </w:t>
      </w:r>
      <w:r w:rsidR="00584DC9">
        <w:rPr>
          <w:rFonts w:cstheme="minorHAnsi"/>
        </w:rPr>
        <w:t>his wife</w:t>
      </w:r>
      <w:r w:rsidR="005271EE">
        <w:rPr>
          <w:rFonts w:cstheme="minorHAnsi"/>
        </w:rPr>
        <w:t>,</w:t>
      </w:r>
      <w:r w:rsidR="00584DC9">
        <w:rPr>
          <w:rFonts w:cstheme="minorHAnsi"/>
        </w:rPr>
        <w:t xml:space="preserve"> they </w:t>
      </w:r>
      <w:r w:rsidR="0058407D">
        <w:rPr>
          <w:rFonts w:cstheme="minorHAnsi"/>
        </w:rPr>
        <w:t xml:space="preserve">are </w:t>
      </w:r>
      <w:r w:rsidR="00584DC9">
        <w:rPr>
          <w:rFonts w:cstheme="minorHAnsi"/>
        </w:rPr>
        <w:t>reunite</w:t>
      </w:r>
      <w:r w:rsidR="0058407D">
        <w:rPr>
          <w:rFonts w:cstheme="minorHAnsi"/>
        </w:rPr>
        <w:t>d</w:t>
      </w:r>
      <w:r w:rsidR="00584DC9">
        <w:rPr>
          <w:rFonts w:cstheme="minorHAnsi"/>
        </w:rPr>
        <w:t xml:space="preserve"> and the vamp is sent back to the city. </w:t>
      </w:r>
      <w:r w:rsidR="005271EE">
        <w:rPr>
          <w:rFonts w:cstheme="minorHAnsi"/>
        </w:rPr>
        <w:t xml:space="preserve"> A happy ending</w:t>
      </w:r>
      <w:r w:rsidR="0058407D">
        <w:rPr>
          <w:rFonts w:cstheme="minorHAnsi"/>
        </w:rPr>
        <w:t>!</w:t>
      </w:r>
    </w:p>
    <w:p w14:paraId="73CE70AB" w14:textId="7496CE18" w:rsidR="00897059" w:rsidRDefault="00BB3379" w:rsidP="00EC203C">
      <w:pPr>
        <w:rPr>
          <w:rFonts w:cstheme="minorHAnsi"/>
        </w:rPr>
      </w:pPr>
      <w:r>
        <w:rPr>
          <w:rFonts w:cstheme="minorHAnsi"/>
        </w:rPr>
        <w:t>The next film</w:t>
      </w:r>
      <w:r w:rsidR="00A46C6B">
        <w:rPr>
          <w:rFonts w:cstheme="minorHAnsi"/>
        </w:rPr>
        <w:t xml:space="preserve"> this essay will consider is </w:t>
      </w:r>
      <w:r w:rsidR="00897059" w:rsidRPr="00584DC9">
        <w:rPr>
          <w:rFonts w:cstheme="minorHAnsi"/>
          <w:i/>
          <w:iCs/>
        </w:rPr>
        <w:t>Double Indemnity</w:t>
      </w:r>
      <w:r w:rsidR="00897059">
        <w:rPr>
          <w:rFonts w:cstheme="minorHAnsi"/>
        </w:rPr>
        <w:t xml:space="preserve"> (1944)</w:t>
      </w:r>
      <w:r w:rsidR="00A46C6B">
        <w:rPr>
          <w:rFonts w:cstheme="minorHAnsi"/>
        </w:rPr>
        <w:t xml:space="preserve"> which</w:t>
      </w:r>
      <w:r>
        <w:rPr>
          <w:rFonts w:cstheme="minorHAnsi"/>
        </w:rPr>
        <w:t xml:space="preserve"> was Directed by Billy Wilder who had</w:t>
      </w:r>
      <w:r w:rsidR="00A46C6B">
        <w:rPr>
          <w:rFonts w:cstheme="minorHAnsi"/>
        </w:rPr>
        <w:t xml:space="preserve"> moved from </w:t>
      </w:r>
      <w:r>
        <w:rPr>
          <w:rFonts w:cstheme="minorHAnsi"/>
        </w:rPr>
        <w:t>Germany</w:t>
      </w:r>
      <w:r w:rsidR="00A46C6B">
        <w:rPr>
          <w:rFonts w:cstheme="minorHAnsi"/>
        </w:rPr>
        <w:t xml:space="preserve"> in the early 1930s</w:t>
      </w:r>
      <w:r w:rsidR="00897059">
        <w:rPr>
          <w:rFonts w:cstheme="minorHAnsi"/>
        </w:rPr>
        <w:t xml:space="preserve">.  </w:t>
      </w:r>
      <w:r w:rsidR="00A46C6B">
        <w:rPr>
          <w:rFonts w:cstheme="minorHAnsi"/>
        </w:rPr>
        <w:t xml:space="preserve">After a brief spell in Paris he headed to Hollywood where he worked as a screenwriter.  </w:t>
      </w:r>
      <w:r w:rsidR="00897059">
        <w:rPr>
          <w:rFonts w:cstheme="minorHAnsi"/>
        </w:rPr>
        <w:t>He was Jewish and</w:t>
      </w:r>
      <w:r w:rsidR="00584DC9">
        <w:rPr>
          <w:rFonts w:cstheme="minorHAnsi"/>
        </w:rPr>
        <w:t xml:space="preserve"> subsequently</w:t>
      </w:r>
      <w:r w:rsidR="00897059">
        <w:rPr>
          <w:rFonts w:cstheme="minorHAnsi"/>
        </w:rPr>
        <w:t xml:space="preserve"> lost several family members </w:t>
      </w:r>
      <w:r w:rsidR="00A46C6B">
        <w:rPr>
          <w:rFonts w:cstheme="minorHAnsi"/>
        </w:rPr>
        <w:t>during</w:t>
      </w:r>
      <w:r w:rsidR="00897059">
        <w:rPr>
          <w:rFonts w:cstheme="minorHAnsi"/>
        </w:rPr>
        <w:t xml:space="preserve"> the holocaust.  </w:t>
      </w:r>
      <w:r w:rsidR="00A46C6B">
        <w:rPr>
          <w:rFonts w:cstheme="minorHAnsi"/>
        </w:rPr>
        <w:t xml:space="preserve"> Billy Wilder before becoming a Director often wrote for women and co-wrote the screenplay for Greta Garbo in </w:t>
      </w:r>
      <w:r w:rsidR="00A46C6B" w:rsidRPr="00A46C6B">
        <w:rPr>
          <w:rFonts w:cstheme="minorHAnsi"/>
          <w:i/>
          <w:iCs/>
        </w:rPr>
        <w:t xml:space="preserve">Ninotchka </w:t>
      </w:r>
      <w:r w:rsidR="00A46C6B">
        <w:rPr>
          <w:rFonts w:cstheme="minorHAnsi"/>
        </w:rPr>
        <w:t>(Lubitsch, 1939).</w:t>
      </w:r>
    </w:p>
    <w:p w14:paraId="3708273C" w14:textId="2103FDFC" w:rsidR="00DA18A9" w:rsidRDefault="00584DC9" w:rsidP="00EC203C">
      <w:pPr>
        <w:rPr>
          <w:rFonts w:cstheme="minorHAnsi"/>
        </w:rPr>
      </w:pPr>
      <w:r>
        <w:rPr>
          <w:rFonts w:cstheme="minorHAnsi"/>
          <w:i/>
          <w:iCs/>
        </w:rPr>
        <w:t>Double Indemnity</w:t>
      </w:r>
      <w:r>
        <w:rPr>
          <w:rFonts w:cstheme="minorHAnsi"/>
        </w:rPr>
        <w:t xml:space="preserve"> (Wilder, 1944</w:t>
      </w:r>
      <w:r w:rsidR="00502E03">
        <w:rPr>
          <w:rFonts w:cstheme="minorHAnsi"/>
        </w:rPr>
        <w:t xml:space="preserve">) is classed as </w:t>
      </w:r>
      <w:r w:rsidR="00502E03">
        <w:rPr>
          <w:rFonts w:cstheme="minorHAnsi"/>
          <w:i/>
          <w:iCs/>
        </w:rPr>
        <w:t>Film Noir</w:t>
      </w:r>
      <w:r w:rsidR="00502E03">
        <w:rPr>
          <w:rFonts w:cstheme="minorHAnsi"/>
        </w:rPr>
        <w:t xml:space="preserve"> but this genre did not exist at the time and indeed it was some twenty</w:t>
      </w:r>
      <w:r w:rsidR="009D6D11">
        <w:rPr>
          <w:rFonts w:cstheme="minorHAnsi"/>
        </w:rPr>
        <w:t>-</w:t>
      </w:r>
      <w:r w:rsidR="00502E03">
        <w:rPr>
          <w:rFonts w:cstheme="minorHAnsi"/>
        </w:rPr>
        <w:t xml:space="preserve">five years before this </w:t>
      </w:r>
      <w:r w:rsidR="00DA18A9">
        <w:rPr>
          <w:rFonts w:cstheme="minorHAnsi"/>
        </w:rPr>
        <w:t>term became common place.  Genre experts have traced the roots back to the gangster films of the 1930s</w:t>
      </w:r>
      <w:r w:rsidR="0058407D">
        <w:rPr>
          <w:rFonts w:cstheme="minorHAnsi"/>
        </w:rPr>
        <w:t xml:space="preserve"> </w:t>
      </w:r>
      <w:r w:rsidR="0058407D">
        <w:rPr>
          <w:rFonts w:cstheme="minorHAnsi"/>
          <w:i/>
          <w:iCs/>
        </w:rPr>
        <w:t>Scarface (</w:t>
      </w:r>
      <w:r w:rsidR="0058407D">
        <w:rPr>
          <w:rFonts w:cstheme="minorHAnsi"/>
        </w:rPr>
        <w:t>Hawks, 1932)</w:t>
      </w:r>
      <w:r w:rsidR="00DA18A9">
        <w:rPr>
          <w:rFonts w:cstheme="minorHAnsi"/>
        </w:rPr>
        <w:t xml:space="preserve"> and before that to the German Expressionism of the 1920s</w:t>
      </w:r>
      <w:r w:rsidR="0058407D">
        <w:rPr>
          <w:rFonts w:cstheme="minorHAnsi"/>
        </w:rPr>
        <w:t xml:space="preserve"> and early 1930s</w:t>
      </w:r>
      <w:r w:rsidR="00DA18A9">
        <w:rPr>
          <w:rFonts w:cstheme="minorHAnsi"/>
        </w:rPr>
        <w:t>.</w:t>
      </w:r>
      <w:r w:rsidR="0058407D">
        <w:rPr>
          <w:rFonts w:cstheme="minorHAnsi"/>
        </w:rPr>
        <w:t xml:space="preserve">  </w:t>
      </w:r>
      <w:r w:rsidR="00B97FA2">
        <w:rPr>
          <w:rFonts w:cstheme="minorHAnsi"/>
        </w:rPr>
        <w:t xml:space="preserve">  Films such as </w:t>
      </w:r>
      <w:r w:rsidR="00B97FA2">
        <w:rPr>
          <w:rFonts w:cstheme="minorHAnsi"/>
          <w:i/>
          <w:iCs/>
        </w:rPr>
        <w:t>Die Strasse “The Street”(</w:t>
      </w:r>
      <w:r w:rsidR="00B97FA2">
        <w:rPr>
          <w:rFonts w:cstheme="minorHAnsi"/>
        </w:rPr>
        <w:t>Grune,1923) h</w:t>
      </w:r>
      <w:r w:rsidR="00684C90">
        <w:rPr>
          <w:rFonts w:cstheme="minorHAnsi"/>
        </w:rPr>
        <w:t>ad</w:t>
      </w:r>
      <w:r w:rsidR="00B97FA2">
        <w:rPr>
          <w:rFonts w:cstheme="minorHAnsi"/>
        </w:rPr>
        <w:t xml:space="preserve"> all the ingredients of the </w:t>
      </w:r>
      <w:r w:rsidR="00B97FA2">
        <w:rPr>
          <w:rFonts w:cstheme="minorHAnsi"/>
          <w:i/>
          <w:iCs/>
        </w:rPr>
        <w:t>Film Noir</w:t>
      </w:r>
      <w:r w:rsidR="00B97FA2">
        <w:rPr>
          <w:rFonts w:cstheme="minorHAnsi"/>
        </w:rPr>
        <w:t xml:space="preserve"> </w:t>
      </w:r>
      <w:r w:rsidR="00684C90">
        <w:rPr>
          <w:rFonts w:cstheme="minorHAnsi"/>
        </w:rPr>
        <w:t xml:space="preserve">such as underworld characters, dark shadows and </w:t>
      </w:r>
      <w:r w:rsidR="00B97FA2">
        <w:rPr>
          <w:rFonts w:cstheme="minorHAnsi"/>
        </w:rPr>
        <w:t xml:space="preserve">especially the </w:t>
      </w:r>
      <w:r w:rsidR="00B97FA2">
        <w:rPr>
          <w:rFonts w:cstheme="minorHAnsi"/>
          <w:i/>
          <w:iCs/>
        </w:rPr>
        <w:t>femme f</w:t>
      </w:r>
      <w:r w:rsidR="00074C33">
        <w:rPr>
          <w:rFonts w:cstheme="minorHAnsi"/>
          <w:i/>
          <w:iCs/>
        </w:rPr>
        <w:t>a</w:t>
      </w:r>
      <w:r w:rsidR="00B97FA2">
        <w:rPr>
          <w:rFonts w:cstheme="minorHAnsi"/>
          <w:i/>
          <w:iCs/>
        </w:rPr>
        <w:t>tale</w:t>
      </w:r>
      <w:r w:rsidR="00EA687A">
        <w:rPr>
          <w:rFonts w:cstheme="minorHAnsi"/>
          <w:i/>
          <w:iCs/>
        </w:rPr>
        <w:t xml:space="preserve">.  </w:t>
      </w:r>
      <w:r w:rsidR="00EA687A">
        <w:rPr>
          <w:rFonts w:cstheme="minorHAnsi"/>
        </w:rPr>
        <w:t xml:space="preserve">In </w:t>
      </w:r>
      <w:r w:rsidR="00EA687A">
        <w:rPr>
          <w:rFonts w:cstheme="minorHAnsi"/>
          <w:i/>
          <w:iCs/>
        </w:rPr>
        <w:t>Asphalt (</w:t>
      </w:r>
      <w:r w:rsidR="00EA687A">
        <w:rPr>
          <w:rFonts w:cstheme="minorHAnsi"/>
        </w:rPr>
        <w:t>May, 192</w:t>
      </w:r>
      <w:r w:rsidR="004071B7">
        <w:rPr>
          <w:rFonts w:cstheme="minorHAnsi"/>
        </w:rPr>
        <w:t>9</w:t>
      </w:r>
      <w:r w:rsidR="00EA687A">
        <w:rPr>
          <w:rFonts w:cstheme="minorHAnsi"/>
        </w:rPr>
        <w:t>)</w:t>
      </w:r>
      <w:r w:rsidR="004071B7">
        <w:rPr>
          <w:rFonts w:cstheme="minorHAnsi"/>
        </w:rPr>
        <w:t>,</w:t>
      </w:r>
      <w:r w:rsidR="00EA687A">
        <w:rPr>
          <w:rFonts w:cstheme="minorHAnsi"/>
        </w:rPr>
        <w:t xml:space="preserve"> </w:t>
      </w:r>
      <w:r w:rsidR="004071B7">
        <w:rPr>
          <w:rFonts w:cstheme="minorHAnsi"/>
        </w:rPr>
        <w:t xml:space="preserve"> set in Berlin’s underworld, </w:t>
      </w:r>
      <w:r w:rsidR="00EA687A">
        <w:rPr>
          <w:rFonts w:cstheme="minorHAnsi"/>
        </w:rPr>
        <w:t xml:space="preserve">Else (Betty Amann) plays the </w:t>
      </w:r>
      <w:r w:rsidR="00EA687A">
        <w:rPr>
          <w:rFonts w:cstheme="minorHAnsi"/>
          <w:i/>
          <w:iCs/>
        </w:rPr>
        <w:t>femme f</w:t>
      </w:r>
      <w:r w:rsidR="00C31C43">
        <w:rPr>
          <w:rFonts w:cstheme="minorHAnsi"/>
          <w:i/>
          <w:iCs/>
        </w:rPr>
        <w:t>a</w:t>
      </w:r>
      <w:r w:rsidR="00EA687A">
        <w:rPr>
          <w:rFonts w:cstheme="minorHAnsi"/>
          <w:i/>
          <w:iCs/>
        </w:rPr>
        <w:t>tale</w:t>
      </w:r>
      <w:r w:rsidR="004071B7">
        <w:rPr>
          <w:rFonts w:cstheme="minorHAnsi"/>
          <w:i/>
          <w:iCs/>
        </w:rPr>
        <w:t xml:space="preserve"> </w:t>
      </w:r>
      <w:r w:rsidR="004071B7">
        <w:rPr>
          <w:rFonts w:cstheme="minorHAnsi"/>
        </w:rPr>
        <w:t>who when caught stealing a valuable piece of jewelry proceeds to seduce the policeman who catches her.   This was one of the last great silent films to come out of Germany</w:t>
      </w:r>
      <w:r w:rsidR="00471AE4">
        <w:rPr>
          <w:rFonts w:cstheme="minorHAnsi"/>
        </w:rPr>
        <w:t>.</w:t>
      </w:r>
      <w:r w:rsidR="00471AE4" w:rsidRPr="00471AE4">
        <w:rPr>
          <w:rFonts w:cstheme="minorHAnsi"/>
        </w:rPr>
        <w:t xml:space="preserve"> </w:t>
      </w:r>
      <w:r w:rsidR="00471AE4">
        <w:rPr>
          <w:rFonts w:cstheme="minorHAnsi"/>
        </w:rPr>
        <w:t xml:space="preserve">The character of the </w:t>
      </w:r>
      <w:r w:rsidR="00471AE4">
        <w:rPr>
          <w:rFonts w:cstheme="minorHAnsi"/>
          <w:i/>
          <w:iCs/>
        </w:rPr>
        <w:t>Femme f</w:t>
      </w:r>
      <w:r w:rsidR="00074C33">
        <w:rPr>
          <w:rFonts w:cstheme="minorHAnsi"/>
          <w:i/>
          <w:iCs/>
        </w:rPr>
        <w:t>a</w:t>
      </w:r>
      <w:r w:rsidR="00471AE4">
        <w:rPr>
          <w:rFonts w:cstheme="minorHAnsi"/>
          <w:i/>
          <w:iCs/>
        </w:rPr>
        <w:t>tale</w:t>
      </w:r>
      <w:r w:rsidR="00471AE4">
        <w:rPr>
          <w:rFonts w:cstheme="minorHAnsi"/>
        </w:rPr>
        <w:t xml:space="preserve"> at this time would often be portrayed as a women of lose virtue, a prostitutes or even a night club singer.   This was the part played by Marlene Dietrich in </w:t>
      </w:r>
      <w:r w:rsidR="00471AE4">
        <w:rPr>
          <w:rFonts w:cstheme="minorHAnsi"/>
          <w:i/>
          <w:iCs/>
        </w:rPr>
        <w:t>Der blaue Engel (the Blue Angel)</w:t>
      </w:r>
      <w:r w:rsidR="00471AE4">
        <w:rPr>
          <w:rFonts w:cstheme="minorHAnsi"/>
        </w:rPr>
        <w:t>(Sternberg, 1930)</w:t>
      </w:r>
      <w:r w:rsidR="00A97828">
        <w:rPr>
          <w:rFonts w:cstheme="minorHAnsi"/>
        </w:rPr>
        <w:t xml:space="preserve"> but unfortunately she became typecast as the </w:t>
      </w:r>
      <w:r w:rsidR="00524458">
        <w:rPr>
          <w:rFonts w:cstheme="minorHAnsi"/>
        </w:rPr>
        <w:t xml:space="preserve">seductive night club singer or woman with a jaded or suspicious past.  </w:t>
      </w:r>
    </w:p>
    <w:p w14:paraId="0B1C7108" w14:textId="1688D3D5" w:rsidR="0058407D" w:rsidRDefault="00EC63E4" w:rsidP="00EC203C">
      <w:pPr>
        <w:rPr>
          <w:rFonts w:cstheme="minorHAnsi"/>
        </w:rPr>
      </w:pPr>
      <w:r>
        <w:rPr>
          <w:rFonts w:cstheme="minorHAnsi"/>
        </w:rPr>
        <w:t>T</w:t>
      </w:r>
      <w:r w:rsidR="00524458">
        <w:rPr>
          <w:rFonts w:cstheme="minorHAnsi"/>
        </w:rPr>
        <w:t>he femme fatale was a role which had been around for some time and not a role  which is sometimes though</w:t>
      </w:r>
      <w:r w:rsidR="001423D2">
        <w:rPr>
          <w:rFonts w:cstheme="minorHAnsi"/>
        </w:rPr>
        <w:t>t</w:t>
      </w:r>
      <w:r w:rsidR="00524458">
        <w:rPr>
          <w:rFonts w:cstheme="minorHAnsi"/>
        </w:rPr>
        <w:t xml:space="preserve"> of as being introduced in the genre which became known as </w:t>
      </w:r>
      <w:r w:rsidR="00524458">
        <w:rPr>
          <w:rFonts w:cstheme="minorHAnsi"/>
          <w:i/>
          <w:iCs/>
        </w:rPr>
        <w:t>Film Noir</w:t>
      </w:r>
      <w:r w:rsidR="00524458">
        <w:rPr>
          <w:rFonts w:cstheme="minorHAnsi"/>
        </w:rPr>
        <w:t xml:space="preserve"> in the 1940s and 1950s.  </w:t>
      </w:r>
    </w:p>
    <w:p w14:paraId="144CBCD5" w14:textId="48B7AA48" w:rsidR="00584DC9" w:rsidRPr="00FD74AA" w:rsidRDefault="00DA18A9" w:rsidP="00EC203C">
      <w:pPr>
        <w:rPr>
          <w:rFonts w:cstheme="minorHAnsi"/>
          <w:i/>
          <w:iCs/>
        </w:rPr>
      </w:pPr>
      <w:r>
        <w:rPr>
          <w:rFonts w:cstheme="minorHAnsi"/>
        </w:rPr>
        <w:t xml:space="preserve">James M Cain was an author who along with his contemporaries wrote mystery/crime novels sometimes referred to as </w:t>
      </w:r>
      <w:r>
        <w:rPr>
          <w:rFonts w:cstheme="minorHAnsi"/>
          <w:i/>
          <w:iCs/>
        </w:rPr>
        <w:t xml:space="preserve">roman noir.  </w:t>
      </w:r>
      <w:r>
        <w:rPr>
          <w:rFonts w:cstheme="minorHAnsi"/>
        </w:rPr>
        <w:t xml:space="preserve">He had written </w:t>
      </w:r>
      <w:r>
        <w:rPr>
          <w:rFonts w:cstheme="minorHAnsi"/>
          <w:i/>
          <w:iCs/>
        </w:rPr>
        <w:t>Double Indemnity</w:t>
      </w:r>
      <w:r>
        <w:rPr>
          <w:rFonts w:cstheme="minorHAnsi"/>
        </w:rPr>
        <w:t xml:space="preserve"> as an eight</w:t>
      </w:r>
      <w:r w:rsidR="00CC13EB">
        <w:rPr>
          <w:rFonts w:cstheme="minorHAnsi"/>
        </w:rPr>
        <w:t>-</w:t>
      </w:r>
      <w:r>
        <w:rPr>
          <w:rFonts w:cstheme="minorHAnsi"/>
        </w:rPr>
        <w:t xml:space="preserve">part serial which he sold to Liberty Magazine in 1936.  It had similar themes to </w:t>
      </w:r>
      <w:r w:rsidR="00CC13EB">
        <w:rPr>
          <w:rFonts w:cstheme="minorHAnsi"/>
        </w:rPr>
        <w:t>an earlier</w:t>
      </w:r>
      <w:r>
        <w:rPr>
          <w:rFonts w:cstheme="minorHAnsi"/>
        </w:rPr>
        <w:t xml:space="preserve"> </w:t>
      </w:r>
      <w:r w:rsidR="00CC13EB">
        <w:rPr>
          <w:rFonts w:cstheme="minorHAnsi"/>
        </w:rPr>
        <w:t>novella written by him</w:t>
      </w:r>
      <w:r w:rsidR="00502E03">
        <w:rPr>
          <w:rFonts w:cstheme="minorHAnsi"/>
        </w:rPr>
        <w:t xml:space="preserve"> </w:t>
      </w:r>
      <w:r w:rsidR="00CC13EB">
        <w:rPr>
          <w:rFonts w:cstheme="minorHAnsi"/>
        </w:rPr>
        <w:t xml:space="preserve">which was later turned into a film </w:t>
      </w:r>
      <w:r w:rsidR="00CC13EB">
        <w:rPr>
          <w:rFonts w:cstheme="minorHAnsi"/>
          <w:i/>
          <w:iCs/>
        </w:rPr>
        <w:t xml:space="preserve">The Postman Always Rings Twice </w:t>
      </w:r>
      <w:r w:rsidR="00CC13EB">
        <w:rPr>
          <w:rFonts w:cstheme="minorHAnsi"/>
        </w:rPr>
        <w:t>(</w:t>
      </w:r>
      <w:r w:rsidR="0046601C">
        <w:rPr>
          <w:rFonts w:cstheme="minorHAnsi"/>
        </w:rPr>
        <w:t>Garnett</w:t>
      </w:r>
      <w:r w:rsidR="00CC13EB">
        <w:rPr>
          <w:rFonts w:cstheme="minorHAnsi"/>
        </w:rPr>
        <w:t>, 1946).</w:t>
      </w:r>
      <w:r w:rsidR="00524458">
        <w:rPr>
          <w:rFonts w:cstheme="minorHAnsi"/>
        </w:rPr>
        <w:t xml:space="preserve">  Although written before </w:t>
      </w:r>
      <w:r w:rsidR="00524458">
        <w:rPr>
          <w:rFonts w:cstheme="minorHAnsi"/>
          <w:i/>
          <w:iCs/>
        </w:rPr>
        <w:t>Double Indemnity</w:t>
      </w:r>
      <w:r w:rsidR="00524458">
        <w:rPr>
          <w:rFonts w:cstheme="minorHAnsi"/>
        </w:rPr>
        <w:t xml:space="preserve"> the film was made later and the </w:t>
      </w:r>
      <w:r w:rsidR="00524458">
        <w:rPr>
          <w:rFonts w:cstheme="minorHAnsi"/>
          <w:i/>
          <w:iCs/>
        </w:rPr>
        <w:t>femme f</w:t>
      </w:r>
      <w:r w:rsidR="00074C33">
        <w:rPr>
          <w:rFonts w:cstheme="minorHAnsi"/>
          <w:i/>
          <w:iCs/>
        </w:rPr>
        <w:t>a</w:t>
      </w:r>
      <w:r w:rsidR="00524458">
        <w:rPr>
          <w:rFonts w:cstheme="minorHAnsi"/>
          <w:i/>
          <w:iCs/>
        </w:rPr>
        <w:t xml:space="preserve">tale </w:t>
      </w:r>
      <w:r w:rsidR="00A93846">
        <w:rPr>
          <w:rFonts w:cstheme="minorHAnsi"/>
        </w:rPr>
        <w:t>character of the maneater, whose seductive charms are used to ensnare her lover, had been personified by Barbara Stanwick</w:t>
      </w:r>
      <w:r w:rsidR="00FD74AA">
        <w:rPr>
          <w:rFonts w:cstheme="minorHAnsi"/>
        </w:rPr>
        <w:t xml:space="preserve"> who played Phyllis Dietrichson in </w:t>
      </w:r>
      <w:r w:rsidR="00FD74AA">
        <w:rPr>
          <w:rFonts w:cstheme="minorHAnsi"/>
          <w:i/>
          <w:iCs/>
        </w:rPr>
        <w:t>Double Indemnity.</w:t>
      </w:r>
    </w:p>
    <w:p w14:paraId="50424AED" w14:textId="37DF7CB0" w:rsidR="0046601C" w:rsidRDefault="0091681A" w:rsidP="00EC203C">
      <w:pPr>
        <w:rPr>
          <w:rFonts w:cstheme="minorHAnsi"/>
        </w:rPr>
      </w:pPr>
      <w:r>
        <w:rPr>
          <w:rFonts w:cstheme="minorHAnsi"/>
        </w:rPr>
        <w:t>Walter Neff (Fred MacMurray) is the Insurance Salesman who falls under the influence of Phyllis (</w:t>
      </w:r>
      <w:r>
        <w:rPr>
          <w:rFonts w:cstheme="minorHAnsi"/>
          <w:i/>
          <w:iCs/>
        </w:rPr>
        <w:t>the femme</w:t>
      </w:r>
      <w:r w:rsidR="005B3744">
        <w:rPr>
          <w:rFonts w:cstheme="minorHAnsi"/>
          <w:i/>
          <w:iCs/>
        </w:rPr>
        <w:t xml:space="preserve"> fatale) </w:t>
      </w:r>
      <w:r>
        <w:rPr>
          <w:rFonts w:cstheme="minorHAnsi"/>
        </w:rPr>
        <w:t>and agrees to take out an accident policy (containing a double indemnity clause) on her husband without his knowledge</w:t>
      </w:r>
      <w:r w:rsidR="005B3744">
        <w:rPr>
          <w:rFonts w:cstheme="minorHAnsi"/>
        </w:rPr>
        <w:t xml:space="preserve">.  The couple then plan to kill him and as with Cora and Frank in </w:t>
      </w:r>
      <w:r w:rsidR="005B3744">
        <w:rPr>
          <w:rFonts w:cstheme="minorHAnsi"/>
          <w:i/>
          <w:iCs/>
        </w:rPr>
        <w:t>The Postman Always Rings Twice</w:t>
      </w:r>
      <w:r w:rsidR="005B3744">
        <w:rPr>
          <w:rFonts w:cstheme="minorHAnsi"/>
        </w:rPr>
        <w:t xml:space="preserve"> they </w:t>
      </w:r>
      <w:r w:rsidR="00A93846">
        <w:rPr>
          <w:rFonts w:cstheme="minorHAnsi"/>
        </w:rPr>
        <w:t>succeed.</w:t>
      </w:r>
      <w:r w:rsidR="005B3744">
        <w:rPr>
          <w:rFonts w:cstheme="minorHAnsi"/>
        </w:rPr>
        <w:t xml:space="preserve"> </w:t>
      </w:r>
    </w:p>
    <w:p w14:paraId="299D4F00" w14:textId="61E37204" w:rsidR="00EE2438" w:rsidRDefault="003B3C11" w:rsidP="00EC203C">
      <w:pPr>
        <w:rPr>
          <w:rFonts w:cstheme="minorHAnsi"/>
        </w:rPr>
      </w:pPr>
      <w:r>
        <w:rPr>
          <w:rFonts w:cstheme="minorHAnsi"/>
        </w:rPr>
        <w:t>Walter</w:t>
      </w:r>
      <w:r w:rsidR="00A93846">
        <w:rPr>
          <w:rFonts w:cstheme="minorHAnsi"/>
        </w:rPr>
        <w:t xml:space="preserve"> had fallen</w:t>
      </w:r>
      <w:r>
        <w:rPr>
          <w:rFonts w:cstheme="minorHAnsi"/>
        </w:rPr>
        <w:t xml:space="preserve"> under the spell of Phyllis when he s</w:t>
      </w:r>
      <w:r w:rsidR="00A93846">
        <w:rPr>
          <w:rFonts w:cstheme="minorHAnsi"/>
        </w:rPr>
        <w:t>aw</w:t>
      </w:r>
      <w:r>
        <w:rPr>
          <w:rFonts w:cstheme="minorHAnsi"/>
        </w:rPr>
        <w:t xml:space="preserve"> her standing at the top of the stairs wearing nothing but a towel.  He ha</w:t>
      </w:r>
      <w:r w:rsidR="00A93846">
        <w:rPr>
          <w:rFonts w:cstheme="minorHAnsi"/>
        </w:rPr>
        <w:t xml:space="preserve">d </w:t>
      </w:r>
      <w:r>
        <w:rPr>
          <w:rFonts w:cstheme="minorHAnsi"/>
        </w:rPr>
        <w:t>called to see her husband to renew his automobile insurance and</w:t>
      </w:r>
      <w:r w:rsidR="00A93846">
        <w:rPr>
          <w:rFonts w:cstheme="minorHAnsi"/>
        </w:rPr>
        <w:t xml:space="preserve"> was </w:t>
      </w:r>
      <w:r>
        <w:rPr>
          <w:rFonts w:cstheme="minorHAnsi"/>
        </w:rPr>
        <w:t xml:space="preserve">persuaded by Phyllis to wait </w:t>
      </w:r>
      <w:r w:rsidR="00A93846">
        <w:rPr>
          <w:rFonts w:cstheme="minorHAnsi"/>
        </w:rPr>
        <w:t>for her to dress</w:t>
      </w:r>
      <w:r>
        <w:rPr>
          <w:rFonts w:cstheme="minorHAnsi"/>
        </w:rPr>
        <w:t xml:space="preserve">.  The next scene shows her walking slowly down the stairs </w:t>
      </w:r>
      <w:r w:rsidR="00A93846">
        <w:rPr>
          <w:rFonts w:cstheme="minorHAnsi"/>
        </w:rPr>
        <w:t xml:space="preserve">seductively </w:t>
      </w:r>
      <w:r>
        <w:rPr>
          <w:rFonts w:cstheme="minorHAnsi"/>
        </w:rPr>
        <w:t xml:space="preserve">buttoning up her dress and the camera shows a close up of her lower legs and the ankle bracelet which Walter later admires. </w:t>
      </w:r>
      <w:r w:rsidR="008833C1">
        <w:rPr>
          <w:rFonts w:cstheme="minorHAnsi"/>
        </w:rPr>
        <w:t xml:space="preserve">   The typical Femme Fatale as described below:</w:t>
      </w:r>
    </w:p>
    <w:p w14:paraId="0401399F" w14:textId="148451D3" w:rsidR="003B3C11" w:rsidRDefault="008833C1" w:rsidP="008833C1">
      <w:pPr>
        <w:ind w:left="720"/>
        <w:rPr>
          <w:rFonts w:cstheme="minorHAnsi"/>
        </w:rPr>
      </w:pPr>
      <w:r>
        <w:rPr>
          <w:rFonts w:cstheme="minorHAnsi"/>
        </w:rPr>
        <w:t>Her appearance is always explicitly sexual with long dark or blonde ha</w:t>
      </w:r>
      <w:r w:rsidR="00EC63E4">
        <w:rPr>
          <w:rFonts w:cstheme="minorHAnsi"/>
        </w:rPr>
        <w:t>i</w:t>
      </w:r>
      <w:r>
        <w:rPr>
          <w:rFonts w:cstheme="minorHAnsi"/>
        </w:rPr>
        <w:t xml:space="preserve">r worn loose, long, sensuous legs, heavy make-up, </w:t>
      </w:r>
      <w:r w:rsidR="00074C33">
        <w:rPr>
          <w:rFonts w:cstheme="minorHAnsi"/>
        </w:rPr>
        <w:t>jewelry</w:t>
      </w:r>
      <w:r>
        <w:rPr>
          <w:rFonts w:cstheme="minorHAnsi"/>
        </w:rPr>
        <w:t xml:space="preserve"> that sparkles and revealing costumes (Glendhill, 1998 p.32)</w:t>
      </w:r>
    </w:p>
    <w:p w14:paraId="3F3143EC" w14:textId="75E25ACA" w:rsidR="00BC5C59" w:rsidRDefault="00BC5C59" w:rsidP="00BC5C59">
      <w:pPr>
        <w:rPr>
          <w:rFonts w:cstheme="minorHAnsi"/>
        </w:rPr>
      </w:pPr>
      <w:r>
        <w:rPr>
          <w:rFonts w:cstheme="minorHAnsi"/>
        </w:rPr>
        <w:lastRenderedPageBreak/>
        <w:t>The role of women had changed in Hollywood during and after the Second World War and</w:t>
      </w:r>
      <w:r w:rsidR="00455653">
        <w:rPr>
          <w:rFonts w:cstheme="minorHAnsi"/>
        </w:rPr>
        <w:t xml:space="preserve"> it</w:t>
      </w:r>
      <w:r>
        <w:rPr>
          <w:rFonts w:cstheme="minorHAnsi"/>
        </w:rPr>
        <w:t xml:space="preserve"> can be argued that the freedom</w:t>
      </w:r>
      <w:r w:rsidR="00455653">
        <w:rPr>
          <w:rFonts w:cstheme="minorHAnsi"/>
        </w:rPr>
        <w:t xml:space="preserve"> American women claimed for themselves having worked in factories, lived alone and even visited bars without their male partners who were away </w:t>
      </w:r>
      <w:r w:rsidR="00EC63E4">
        <w:rPr>
          <w:rFonts w:cstheme="minorHAnsi"/>
        </w:rPr>
        <w:t>at war</w:t>
      </w:r>
      <w:r w:rsidR="00455653">
        <w:rPr>
          <w:rFonts w:cstheme="minorHAnsi"/>
        </w:rPr>
        <w:t>.   This stirred up a nervousness in men and this is also reflected in the way that the new woman was treated in film.</w:t>
      </w:r>
    </w:p>
    <w:p w14:paraId="4350AA98" w14:textId="1D8C0828" w:rsidR="00455653" w:rsidRDefault="00455653" w:rsidP="00455653">
      <w:pPr>
        <w:ind w:left="720"/>
        <w:rPr>
          <w:rFonts w:cstheme="minorHAnsi"/>
        </w:rPr>
      </w:pPr>
      <w:r>
        <w:rPr>
          <w:rFonts w:cstheme="minorHAnsi"/>
        </w:rPr>
        <w:t xml:space="preserve">Rita Hayworth, in </w:t>
      </w:r>
      <w:r>
        <w:rPr>
          <w:rFonts w:cstheme="minorHAnsi"/>
          <w:i/>
          <w:iCs/>
        </w:rPr>
        <w:t>the Lady of Shanghai</w:t>
      </w:r>
      <w:r w:rsidR="00D97E4C">
        <w:rPr>
          <w:rFonts w:cstheme="minorHAnsi"/>
          <w:i/>
          <w:iCs/>
        </w:rPr>
        <w:t xml:space="preserve"> (</w:t>
      </w:r>
      <w:r w:rsidR="00D97E4C">
        <w:rPr>
          <w:rFonts w:cstheme="minorHAnsi"/>
        </w:rPr>
        <w:t>Wells</w:t>
      </w:r>
      <w:r>
        <w:rPr>
          <w:rFonts w:cstheme="minorHAnsi"/>
          <w:i/>
          <w:iCs/>
        </w:rPr>
        <w:t>,</w:t>
      </w:r>
      <w:r w:rsidR="00D97E4C">
        <w:rPr>
          <w:rFonts w:cstheme="minorHAnsi"/>
        </w:rPr>
        <w:t xml:space="preserve">1948) </w:t>
      </w:r>
      <w:r>
        <w:rPr>
          <w:rFonts w:cstheme="minorHAnsi"/>
        </w:rPr>
        <w:t>resists domination by all the mechanisms that in the previous films worked to suppress female sexuality or to render it harmless.  Female sexuality is here fully expressed, but the sexual woman’s duplicity and betrayal mark her as evil, granting man the moral right to destroy her, even if such destruction means depriving himself of a much</w:t>
      </w:r>
      <w:r w:rsidR="000C323D">
        <w:rPr>
          <w:rFonts w:cstheme="minorHAnsi"/>
        </w:rPr>
        <w:t>-</w:t>
      </w:r>
      <w:r>
        <w:rPr>
          <w:rFonts w:cstheme="minorHAnsi"/>
        </w:rPr>
        <w:t>needed pleasure.  Kaplan (Women &amp; Film -both sides of the camera) p6.</w:t>
      </w:r>
    </w:p>
    <w:p w14:paraId="79D6BC87" w14:textId="5C2AA2DF" w:rsidR="00455653" w:rsidRDefault="00D97E4C" w:rsidP="00455653">
      <w:pPr>
        <w:rPr>
          <w:rFonts w:cstheme="minorHAnsi"/>
        </w:rPr>
      </w:pPr>
      <w:r>
        <w:rPr>
          <w:rFonts w:cstheme="minorHAnsi"/>
        </w:rPr>
        <w:t xml:space="preserve">Walter having discovered the true extent of Phyllis’ scheming and in a final confrontation shoots her after saying “Goodbye baby”.  This it is said is considered one of the most persuasively realistic and violent deaths in movie history.    Walter confesses his crime and dies of his injuries, having been shot by Phyllis, and despite the fact that he </w:t>
      </w:r>
      <w:r w:rsidR="00A93846">
        <w:rPr>
          <w:rFonts w:cstheme="minorHAnsi"/>
        </w:rPr>
        <w:t>had c</w:t>
      </w:r>
      <w:r>
        <w:rPr>
          <w:rFonts w:cstheme="minorHAnsi"/>
        </w:rPr>
        <w:t>ommitted murder</w:t>
      </w:r>
      <w:r w:rsidR="00AC0C85">
        <w:rPr>
          <w:rFonts w:cstheme="minorHAnsi"/>
        </w:rPr>
        <w:t xml:space="preserve"> it can be argued </w:t>
      </w:r>
      <w:r w:rsidR="00C802E1">
        <w:rPr>
          <w:rFonts w:cstheme="minorHAnsi"/>
        </w:rPr>
        <w:t xml:space="preserve">that he </w:t>
      </w:r>
      <w:r w:rsidR="00AC0C85">
        <w:rPr>
          <w:rFonts w:cstheme="minorHAnsi"/>
        </w:rPr>
        <w:t xml:space="preserve">is seen as the victim. </w:t>
      </w:r>
    </w:p>
    <w:p w14:paraId="5D514CF6" w14:textId="186D9C54" w:rsidR="005E4FC9" w:rsidRDefault="00AC0C85" w:rsidP="00455653">
      <w:pPr>
        <w:rPr>
          <w:rFonts w:cstheme="minorHAnsi"/>
        </w:rPr>
      </w:pPr>
      <w:r>
        <w:rPr>
          <w:rFonts w:cstheme="minorHAnsi"/>
        </w:rPr>
        <w:t xml:space="preserve">In conclusion, when considering the role of women in films during the 1920’s, 1930’s and 1940’s it can be seen that in </w:t>
      </w:r>
      <w:r w:rsidR="00A93846">
        <w:rPr>
          <w:rFonts w:cstheme="minorHAnsi"/>
        </w:rPr>
        <w:t>very</w:t>
      </w:r>
      <w:r>
        <w:rPr>
          <w:rFonts w:cstheme="minorHAnsi"/>
        </w:rPr>
        <w:t xml:space="preserve"> </w:t>
      </w:r>
      <w:r w:rsidR="00035822">
        <w:rPr>
          <w:rFonts w:cstheme="minorHAnsi"/>
        </w:rPr>
        <w:t xml:space="preserve">limited </w:t>
      </w:r>
      <w:r>
        <w:rPr>
          <w:rFonts w:cstheme="minorHAnsi"/>
        </w:rPr>
        <w:t>roles</w:t>
      </w:r>
      <w:r w:rsidR="00035822">
        <w:rPr>
          <w:rFonts w:cstheme="minorHAnsi"/>
        </w:rPr>
        <w:t xml:space="preserve"> were</w:t>
      </w:r>
      <w:r>
        <w:rPr>
          <w:rFonts w:cstheme="minorHAnsi"/>
        </w:rPr>
        <w:t xml:space="preserve"> offered</w:t>
      </w:r>
      <w:r w:rsidR="00035822">
        <w:rPr>
          <w:rFonts w:cstheme="minorHAnsi"/>
        </w:rPr>
        <w:t xml:space="preserve">.  </w:t>
      </w:r>
      <w:r>
        <w:rPr>
          <w:rFonts w:cstheme="minorHAnsi"/>
        </w:rPr>
        <w:t xml:space="preserve"> </w:t>
      </w:r>
      <w:r w:rsidR="00035822">
        <w:rPr>
          <w:rFonts w:cstheme="minorHAnsi"/>
        </w:rPr>
        <w:t>F</w:t>
      </w:r>
      <w:r w:rsidR="000C323D">
        <w:rPr>
          <w:rFonts w:cstheme="minorHAnsi"/>
        </w:rPr>
        <w:t>irstly</w:t>
      </w:r>
      <w:r w:rsidR="005E4FC9">
        <w:rPr>
          <w:rFonts w:cstheme="minorHAnsi"/>
        </w:rPr>
        <w:t>,</w:t>
      </w:r>
      <w:r>
        <w:rPr>
          <w:rFonts w:cstheme="minorHAnsi"/>
        </w:rPr>
        <w:t xml:space="preserve"> </w:t>
      </w:r>
      <w:r w:rsidR="00035822">
        <w:rPr>
          <w:rFonts w:cstheme="minorHAnsi"/>
        </w:rPr>
        <w:t>the</w:t>
      </w:r>
      <w:r>
        <w:rPr>
          <w:rFonts w:cstheme="minorHAnsi"/>
        </w:rPr>
        <w:t xml:space="preserve"> dutiful wife and/or mother</w:t>
      </w:r>
      <w:r w:rsidR="00035822">
        <w:rPr>
          <w:rFonts w:cstheme="minorHAnsi"/>
        </w:rPr>
        <w:t xml:space="preserve">, </w:t>
      </w:r>
      <w:r w:rsidR="000C323D">
        <w:rPr>
          <w:rFonts w:cstheme="minorHAnsi"/>
        </w:rPr>
        <w:t xml:space="preserve">the girl next door or </w:t>
      </w:r>
      <w:r w:rsidR="00035822">
        <w:rPr>
          <w:rFonts w:cstheme="minorHAnsi"/>
        </w:rPr>
        <w:t xml:space="preserve">indeed </w:t>
      </w:r>
      <w:r w:rsidR="000C323D">
        <w:rPr>
          <w:rFonts w:cstheme="minorHAnsi"/>
        </w:rPr>
        <w:t xml:space="preserve">the victim. </w:t>
      </w:r>
      <w:r w:rsidR="001606C5">
        <w:rPr>
          <w:rFonts w:cstheme="minorHAnsi"/>
        </w:rPr>
        <w:t xml:space="preserve"> All appeared to either live to support their man, rely on the protection of a man or aspire</w:t>
      </w:r>
      <w:r w:rsidR="0051757D">
        <w:rPr>
          <w:rFonts w:cstheme="minorHAnsi"/>
        </w:rPr>
        <w:t>d</w:t>
      </w:r>
      <w:r w:rsidR="001606C5">
        <w:rPr>
          <w:rFonts w:cstheme="minorHAnsi"/>
        </w:rPr>
        <w:t xml:space="preserve"> to marry the man of their dreams.  </w:t>
      </w:r>
      <w:r w:rsidR="000C323D">
        <w:rPr>
          <w:rFonts w:cstheme="minorHAnsi"/>
        </w:rPr>
        <w:t xml:space="preserve"> Secondly the role of an</w:t>
      </w:r>
      <w:r>
        <w:rPr>
          <w:rFonts w:cstheme="minorHAnsi"/>
        </w:rPr>
        <w:t xml:space="preserve"> independent sexual being (the femme fatale) who </w:t>
      </w:r>
      <w:r w:rsidR="00C802E1">
        <w:rPr>
          <w:rFonts w:cstheme="minorHAnsi"/>
        </w:rPr>
        <w:t>was</w:t>
      </w:r>
      <w:r>
        <w:rPr>
          <w:rFonts w:cstheme="minorHAnsi"/>
        </w:rPr>
        <w:t xml:space="preserve"> usually portrayed as being dangerous to herself and/or men.  </w:t>
      </w:r>
      <w:r w:rsidR="005E4FC9">
        <w:rPr>
          <w:rFonts w:cstheme="minorHAnsi"/>
        </w:rPr>
        <w:t xml:space="preserve"> This is often referred to as </w:t>
      </w:r>
      <w:r w:rsidR="005E4FC9">
        <w:rPr>
          <w:rFonts w:cstheme="minorHAnsi"/>
          <w:i/>
          <w:iCs/>
        </w:rPr>
        <w:t xml:space="preserve">The Mother/Whore Dichotomy.  </w:t>
      </w:r>
    </w:p>
    <w:p w14:paraId="5980B0FF" w14:textId="130259BA" w:rsidR="00AC0C85" w:rsidRPr="005E4FC9" w:rsidRDefault="00AC0C85" w:rsidP="00455653">
      <w:pPr>
        <w:rPr>
          <w:rFonts w:cstheme="minorHAnsi"/>
          <w:i/>
          <w:iCs/>
        </w:rPr>
      </w:pPr>
      <w:r>
        <w:rPr>
          <w:rFonts w:cstheme="minorHAnsi"/>
        </w:rPr>
        <w:t xml:space="preserve">This essay does not consider female roles in cinema after this time but clearly </w:t>
      </w:r>
      <w:r w:rsidR="000C323D">
        <w:rPr>
          <w:rFonts w:cstheme="minorHAnsi"/>
        </w:rPr>
        <w:t xml:space="preserve">there have been substantial changes particularly from the late 1980’s </w:t>
      </w:r>
      <w:r w:rsidR="000C323D">
        <w:rPr>
          <w:rFonts w:cstheme="minorHAnsi"/>
          <w:i/>
          <w:iCs/>
        </w:rPr>
        <w:t xml:space="preserve">Silence of the lambs </w:t>
      </w:r>
      <w:r w:rsidR="000C323D">
        <w:rPr>
          <w:rFonts w:cstheme="minorHAnsi"/>
        </w:rPr>
        <w:t>(Demme,1991).</w:t>
      </w:r>
    </w:p>
    <w:p w14:paraId="3ABED7E4" w14:textId="71EC9260" w:rsidR="000C323D" w:rsidRDefault="000C323D" w:rsidP="00455653">
      <w:pPr>
        <w:rPr>
          <w:rFonts w:cstheme="minorHAnsi"/>
        </w:rPr>
      </w:pPr>
      <w:r>
        <w:rPr>
          <w:rFonts w:cstheme="minorHAnsi"/>
        </w:rPr>
        <w:t xml:space="preserve">It is evident that the character Phyllis Dietrichson falls into the latter and as observed by Molly Haskell </w:t>
      </w:r>
      <w:r w:rsidR="00035822">
        <w:rPr>
          <w:rFonts w:cstheme="minorHAnsi"/>
        </w:rPr>
        <w:t xml:space="preserve">when considering the role of the Femme Fatale in Film Noir : </w:t>
      </w:r>
      <w:r>
        <w:rPr>
          <w:rFonts w:cstheme="minorHAnsi"/>
        </w:rPr>
        <w:t>“She represents an explicit challenge</w:t>
      </w:r>
      <w:r w:rsidR="00035822">
        <w:rPr>
          <w:rFonts w:cstheme="minorHAnsi"/>
        </w:rPr>
        <w:t xml:space="preserve"> to the postwar consensus that women should be fulfilled by the roles of wife and mother.” (Haskell, 1987, p.197).</w:t>
      </w:r>
    </w:p>
    <w:p w14:paraId="1BB85A46" w14:textId="218E4FF8" w:rsidR="00035822" w:rsidRDefault="00035822" w:rsidP="00455653">
      <w:pPr>
        <w:rPr>
          <w:rFonts w:cstheme="minorHAnsi"/>
        </w:rPr>
      </w:pPr>
      <w:r>
        <w:rPr>
          <w:rFonts w:cstheme="minorHAnsi"/>
        </w:rPr>
        <w:t xml:space="preserve">However, Ellen in </w:t>
      </w:r>
      <w:r>
        <w:rPr>
          <w:rFonts w:cstheme="minorHAnsi"/>
          <w:i/>
          <w:iCs/>
        </w:rPr>
        <w:t>Nosferatu</w:t>
      </w:r>
      <w:r>
        <w:rPr>
          <w:rFonts w:cstheme="minorHAnsi"/>
        </w:rPr>
        <w:t xml:space="preserve"> in 1922 does not appear to fit into </w:t>
      </w:r>
      <w:r w:rsidR="00C802E1">
        <w:rPr>
          <w:rFonts w:cstheme="minorHAnsi"/>
        </w:rPr>
        <w:t>either</w:t>
      </w:r>
      <w:r>
        <w:rPr>
          <w:rFonts w:cstheme="minorHAnsi"/>
        </w:rPr>
        <w:t xml:space="preserve"> category as she</w:t>
      </w:r>
      <w:r w:rsidR="005E4FC9">
        <w:rPr>
          <w:rFonts w:cstheme="minorHAnsi"/>
        </w:rPr>
        <w:t xml:space="preserve"> is </w:t>
      </w:r>
      <w:r>
        <w:rPr>
          <w:rFonts w:cstheme="minorHAnsi"/>
        </w:rPr>
        <w:t xml:space="preserve">the only person (a woman) who can defeat the vampire </w:t>
      </w:r>
      <w:r w:rsidR="005E4FC9">
        <w:rPr>
          <w:rFonts w:cstheme="minorHAnsi"/>
        </w:rPr>
        <w:t xml:space="preserve">and </w:t>
      </w:r>
      <w:r>
        <w:rPr>
          <w:rFonts w:cstheme="minorHAnsi"/>
        </w:rPr>
        <w:t>does</w:t>
      </w:r>
      <w:r w:rsidR="005E4FC9">
        <w:rPr>
          <w:rFonts w:cstheme="minorHAnsi"/>
        </w:rPr>
        <w:t xml:space="preserve"> so</w:t>
      </w:r>
      <w:r>
        <w:rPr>
          <w:rFonts w:cstheme="minorHAnsi"/>
        </w:rPr>
        <w:t xml:space="preserve"> in a selfless act knowing that she will most probably die. </w:t>
      </w:r>
      <w:r w:rsidR="005E4FC9">
        <w:rPr>
          <w:rFonts w:cstheme="minorHAnsi"/>
        </w:rPr>
        <w:t xml:space="preserve"> </w:t>
      </w:r>
      <w:r w:rsidR="00217661">
        <w:rPr>
          <w:rFonts w:cstheme="minorHAnsi"/>
        </w:rPr>
        <w:t xml:space="preserve">Hutton does not play the strong male character and is seen to be emasculated by virtue of the bravery of Ellen in destroying the vampire.  </w:t>
      </w:r>
      <w:r w:rsidR="005E4FC9">
        <w:rPr>
          <w:rFonts w:cstheme="minorHAnsi"/>
        </w:rPr>
        <w:t xml:space="preserve">She is prepared to take that risk but is not given the credit or acknowledged as the hero of the film. </w:t>
      </w:r>
      <w:r w:rsidR="00FB5153">
        <w:rPr>
          <w:rFonts w:cstheme="minorHAnsi"/>
        </w:rPr>
        <w:t xml:space="preserve"> </w:t>
      </w:r>
      <w:r w:rsidR="005E4FC9">
        <w:rPr>
          <w:rFonts w:cstheme="minorHAnsi"/>
        </w:rPr>
        <w:t xml:space="preserve"> It could be argued that there is therefore a third category which has been in existence from this time.  </w:t>
      </w:r>
    </w:p>
    <w:p w14:paraId="562E703A" w14:textId="08F65EDF" w:rsidR="00217661" w:rsidRDefault="005E4FC9" w:rsidP="00455653">
      <w:pPr>
        <w:rPr>
          <w:rFonts w:cstheme="minorHAnsi"/>
        </w:rPr>
      </w:pPr>
      <w:r>
        <w:rPr>
          <w:rFonts w:cstheme="minorHAnsi"/>
        </w:rPr>
        <w:t xml:space="preserve">In the film </w:t>
      </w:r>
      <w:r>
        <w:rPr>
          <w:rFonts w:cstheme="minorHAnsi"/>
          <w:i/>
          <w:iCs/>
        </w:rPr>
        <w:t>Notorious (</w:t>
      </w:r>
      <w:r>
        <w:rPr>
          <w:rFonts w:cstheme="minorHAnsi"/>
        </w:rPr>
        <w:t xml:space="preserve">Hitchcock,1946) </w:t>
      </w:r>
      <w:r w:rsidR="00FB5153">
        <w:rPr>
          <w:rFonts w:cstheme="minorHAnsi"/>
        </w:rPr>
        <w:t xml:space="preserve">a Government Agent T. R. Devlin (Cary Grant) recruits Alicia Huberman (Ingrid Bergman) to win the affections of Alexander Sebastian (Claude Rains) a Nazi hiding out in Brazil.   Devlin falls for her but allows her to slip undercover and risk her life.   She does so knowing what </w:t>
      </w:r>
      <w:r w:rsidR="00CE1FEC">
        <w:rPr>
          <w:rFonts w:cstheme="minorHAnsi"/>
        </w:rPr>
        <w:t xml:space="preserve">may be in store for her.    This story is again brought to the cinema in </w:t>
      </w:r>
      <w:r w:rsidR="00CE1FEC">
        <w:rPr>
          <w:rFonts w:cstheme="minorHAnsi"/>
          <w:i/>
          <w:iCs/>
        </w:rPr>
        <w:t xml:space="preserve">Mission Impossible 2 </w:t>
      </w:r>
      <w:r w:rsidR="00CE1FEC">
        <w:rPr>
          <w:rFonts w:cstheme="minorHAnsi"/>
        </w:rPr>
        <w:t>(Woo ,2000) when Ethan Hunt (Tom Cruise) enlists Nyah Nordoff-Hall (Thandie Newton) to go undercover and risk her life.   The two films when compared</w:t>
      </w:r>
      <w:r w:rsidR="0051757D">
        <w:rPr>
          <w:rFonts w:cstheme="minorHAnsi"/>
        </w:rPr>
        <w:t xml:space="preserve"> scene by scene</w:t>
      </w:r>
      <w:r w:rsidR="00CE1FEC">
        <w:rPr>
          <w:rFonts w:cstheme="minorHAnsi"/>
        </w:rPr>
        <w:t xml:space="preserve">, although more than fifty years apart, </w:t>
      </w:r>
      <w:r w:rsidR="0051757D">
        <w:rPr>
          <w:rFonts w:cstheme="minorHAnsi"/>
        </w:rPr>
        <w:t>have almost</w:t>
      </w:r>
      <w:r w:rsidR="00CE1FEC">
        <w:rPr>
          <w:rFonts w:cstheme="minorHAnsi"/>
        </w:rPr>
        <w:t xml:space="preserve"> </w:t>
      </w:r>
      <w:r w:rsidR="0051757D">
        <w:rPr>
          <w:rFonts w:cstheme="minorHAnsi"/>
        </w:rPr>
        <w:t>the same narrative.</w:t>
      </w:r>
      <w:r w:rsidR="00CE1FEC">
        <w:rPr>
          <w:rFonts w:cstheme="minorHAnsi"/>
        </w:rPr>
        <w:t xml:space="preserve">  Can the characters played by Ingrid Bergman and Thandie Newton be viewed as falling into this third category?    </w:t>
      </w:r>
      <w:r w:rsidR="00217661">
        <w:rPr>
          <w:rFonts w:cstheme="minorHAnsi"/>
        </w:rPr>
        <w:t xml:space="preserve"> The</w:t>
      </w:r>
      <w:r w:rsidR="0051757D">
        <w:rPr>
          <w:rFonts w:cstheme="minorHAnsi"/>
        </w:rPr>
        <w:t xml:space="preserve">y </w:t>
      </w:r>
      <w:r w:rsidR="00217661">
        <w:rPr>
          <w:rFonts w:cstheme="minorHAnsi"/>
        </w:rPr>
        <w:t xml:space="preserve">cannot be viewed as falling into the </w:t>
      </w:r>
      <w:r w:rsidR="00217661">
        <w:rPr>
          <w:rFonts w:cstheme="minorHAnsi"/>
        </w:rPr>
        <w:lastRenderedPageBreak/>
        <w:t>character of the dutiful wife</w:t>
      </w:r>
      <w:r w:rsidR="005B5C35">
        <w:rPr>
          <w:rFonts w:cstheme="minorHAnsi"/>
        </w:rPr>
        <w:t xml:space="preserve">. </w:t>
      </w:r>
      <w:r w:rsidR="00217661">
        <w:rPr>
          <w:rFonts w:cstheme="minorHAnsi"/>
        </w:rPr>
        <w:t xml:space="preserve"> </w:t>
      </w:r>
      <w:r w:rsidR="001358B2">
        <w:rPr>
          <w:rFonts w:cstheme="minorHAnsi"/>
        </w:rPr>
        <w:t>In</w:t>
      </w:r>
      <w:r w:rsidR="005B5C35">
        <w:rPr>
          <w:rFonts w:cstheme="minorHAnsi"/>
        </w:rPr>
        <w:t xml:space="preserve"> </w:t>
      </w:r>
      <w:r w:rsidR="00217661">
        <w:rPr>
          <w:rFonts w:cstheme="minorHAnsi"/>
        </w:rPr>
        <w:t xml:space="preserve">both films </w:t>
      </w:r>
      <w:r w:rsidR="005B5C35">
        <w:rPr>
          <w:rFonts w:cstheme="minorHAnsi"/>
        </w:rPr>
        <w:t>the character</w:t>
      </w:r>
      <w:r w:rsidR="00217661">
        <w:rPr>
          <w:rFonts w:cstheme="minorHAnsi"/>
        </w:rPr>
        <w:t xml:space="preserve"> ha</w:t>
      </w:r>
      <w:r w:rsidR="005B5C35">
        <w:rPr>
          <w:rFonts w:cstheme="minorHAnsi"/>
        </w:rPr>
        <w:t>s</w:t>
      </w:r>
      <w:r w:rsidR="00217661">
        <w:rPr>
          <w:rFonts w:cstheme="minorHAnsi"/>
        </w:rPr>
        <w:t xml:space="preserve"> a past involving the villain </w:t>
      </w:r>
      <w:r w:rsidR="00074C33">
        <w:rPr>
          <w:rFonts w:cstheme="minorHAnsi"/>
        </w:rPr>
        <w:t xml:space="preserve">but </w:t>
      </w:r>
      <w:r w:rsidR="005B5C35">
        <w:rPr>
          <w:rFonts w:cstheme="minorHAnsi"/>
        </w:rPr>
        <w:t xml:space="preserve">she </w:t>
      </w:r>
      <w:r w:rsidR="00217661">
        <w:rPr>
          <w:rFonts w:cstheme="minorHAnsi"/>
        </w:rPr>
        <w:t xml:space="preserve">cannot be viewed as </w:t>
      </w:r>
      <w:r w:rsidR="005B5C35">
        <w:rPr>
          <w:rFonts w:cstheme="minorHAnsi"/>
        </w:rPr>
        <w:t xml:space="preserve">playing the </w:t>
      </w:r>
      <w:r w:rsidR="00217661">
        <w:rPr>
          <w:rFonts w:cstheme="minorHAnsi"/>
        </w:rPr>
        <w:t>femme f</w:t>
      </w:r>
      <w:r w:rsidR="00074C33">
        <w:rPr>
          <w:rFonts w:cstheme="minorHAnsi"/>
        </w:rPr>
        <w:t>a</w:t>
      </w:r>
      <w:r w:rsidR="00217661">
        <w:rPr>
          <w:rFonts w:cstheme="minorHAnsi"/>
        </w:rPr>
        <w:t xml:space="preserve">tale as </w:t>
      </w:r>
      <w:r w:rsidR="005B5C35">
        <w:rPr>
          <w:rFonts w:cstheme="minorHAnsi"/>
        </w:rPr>
        <w:t>she</w:t>
      </w:r>
      <w:r w:rsidR="00217661">
        <w:rPr>
          <w:rFonts w:cstheme="minorHAnsi"/>
        </w:rPr>
        <w:t xml:space="preserve"> uses </w:t>
      </w:r>
      <w:r w:rsidR="005B5C35">
        <w:rPr>
          <w:rFonts w:cstheme="minorHAnsi"/>
        </w:rPr>
        <w:t xml:space="preserve">her charms to seduce the villain to overcome evil and not for her own gain.  </w:t>
      </w:r>
    </w:p>
    <w:p w14:paraId="3F5523A3" w14:textId="598B8D4F" w:rsidR="00CE1FEC" w:rsidRDefault="00CE1FEC" w:rsidP="00455653">
      <w:pPr>
        <w:rPr>
          <w:rFonts w:cstheme="minorHAnsi"/>
        </w:rPr>
      </w:pPr>
    </w:p>
    <w:p w14:paraId="59B8FD9E" w14:textId="262594AD" w:rsidR="00FA6E61" w:rsidRDefault="00FA6E61" w:rsidP="00455653">
      <w:pPr>
        <w:rPr>
          <w:rFonts w:cstheme="minorHAnsi"/>
          <w:u w:val="single"/>
        </w:rPr>
      </w:pPr>
      <w:r>
        <w:rPr>
          <w:rFonts w:cstheme="minorHAnsi"/>
          <w:u w:val="single"/>
        </w:rPr>
        <w:t>Bibliography</w:t>
      </w:r>
    </w:p>
    <w:p w14:paraId="0AC5842C" w14:textId="65D06C2E" w:rsidR="00FA6E61" w:rsidRDefault="00FA6E61" w:rsidP="00455653">
      <w:pPr>
        <w:rPr>
          <w:rFonts w:cstheme="minorHAnsi"/>
        </w:rPr>
      </w:pPr>
      <w:r>
        <w:rPr>
          <w:rFonts w:cstheme="minorHAnsi"/>
        </w:rPr>
        <w:t>Frieden S, McCormick, Peterson V.R, Vogelsang L.M. (1993) Gender and the German Cinema Volume 1: Berg Publishers. Oxford.</w:t>
      </w:r>
    </w:p>
    <w:p w14:paraId="07D30C3D" w14:textId="2949001C" w:rsidR="00FA6E61" w:rsidRDefault="00FA6E61" w:rsidP="00455653">
      <w:pPr>
        <w:rPr>
          <w:rFonts w:cstheme="minorHAnsi"/>
        </w:rPr>
      </w:pPr>
      <w:r>
        <w:rPr>
          <w:rFonts w:cstheme="minorHAnsi"/>
        </w:rPr>
        <w:t>Jackson K (2013) Nosferatu -Eine Symphonie des Grauens : BFI Film Classics,  Palgrace Macmillan</w:t>
      </w:r>
    </w:p>
    <w:p w14:paraId="7095F3CE" w14:textId="10D29117" w:rsidR="00FA6E61" w:rsidRDefault="00FA6E61" w:rsidP="00455653">
      <w:pPr>
        <w:rPr>
          <w:rFonts w:cstheme="minorHAnsi"/>
        </w:rPr>
      </w:pPr>
      <w:r>
        <w:rPr>
          <w:rFonts w:cstheme="minorHAnsi"/>
        </w:rPr>
        <w:t>Kaplan E.A, (1983) Women and Film – Both sides of the camera, Routeldge</w:t>
      </w:r>
    </w:p>
    <w:p w14:paraId="7914CD3F" w14:textId="0797066E" w:rsidR="00FA6E61" w:rsidRDefault="00FA6E61" w:rsidP="00455653">
      <w:pPr>
        <w:rPr>
          <w:rFonts w:cstheme="minorHAnsi"/>
        </w:rPr>
      </w:pPr>
      <w:r>
        <w:rPr>
          <w:rFonts w:cstheme="minorHAnsi"/>
        </w:rPr>
        <w:t>Kaplan E.A, (1980) Women in Film Noir (2</w:t>
      </w:r>
      <w:r w:rsidRPr="00FA6E61">
        <w:rPr>
          <w:rFonts w:cstheme="minorHAnsi"/>
          <w:vertAlign w:val="superscript"/>
        </w:rPr>
        <w:t>nd</w:t>
      </w:r>
      <w:r>
        <w:rPr>
          <w:rFonts w:cstheme="minorHAnsi"/>
        </w:rPr>
        <w:t xml:space="preserve"> ed.) BFI Publishing</w:t>
      </w:r>
    </w:p>
    <w:p w14:paraId="47DE5B57" w14:textId="2E25492E" w:rsidR="00FA6E61" w:rsidRDefault="00FA6E61" w:rsidP="00455653">
      <w:pPr>
        <w:rPr>
          <w:rFonts w:cstheme="minorHAnsi"/>
        </w:rPr>
      </w:pPr>
      <w:r>
        <w:rPr>
          <w:rFonts w:cstheme="minorHAnsi"/>
        </w:rPr>
        <w:t>Lehman, P and Luhr, W (2008)  Thinking about Movies (3</w:t>
      </w:r>
      <w:r w:rsidRPr="00FA6E61">
        <w:rPr>
          <w:rFonts w:cstheme="minorHAnsi"/>
          <w:vertAlign w:val="superscript"/>
        </w:rPr>
        <w:t>rd</w:t>
      </w:r>
      <w:r>
        <w:rPr>
          <w:rFonts w:cstheme="minorHAnsi"/>
        </w:rPr>
        <w:t xml:space="preserve"> ed.) Oxford-Blackwell</w:t>
      </w:r>
    </w:p>
    <w:p w14:paraId="67754379" w14:textId="3BF68FB8" w:rsidR="00FA6E61" w:rsidRDefault="00FA6E61" w:rsidP="00455653">
      <w:pPr>
        <w:rPr>
          <w:rFonts w:cstheme="minorHAnsi"/>
        </w:rPr>
      </w:pPr>
      <w:r>
        <w:rPr>
          <w:rFonts w:cstheme="minorHAnsi"/>
        </w:rPr>
        <w:t>MacCann, R.D. (1997) The Silent Screen. Scarecrow Press Inc.</w:t>
      </w:r>
    </w:p>
    <w:p w14:paraId="7CF4611A" w14:textId="57AFF262" w:rsidR="00FA6E61" w:rsidRDefault="00FA6E61" w:rsidP="00455653">
      <w:pPr>
        <w:rPr>
          <w:rFonts w:cstheme="minorHAnsi"/>
        </w:rPr>
      </w:pPr>
      <w:r>
        <w:rPr>
          <w:rFonts w:cstheme="minorHAnsi"/>
        </w:rPr>
        <w:t>Rushton R and Bettinson</w:t>
      </w:r>
      <w:r w:rsidR="00DD17B6">
        <w:rPr>
          <w:rFonts w:cstheme="minorHAnsi"/>
        </w:rPr>
        <w:t xml:space="preserve"> </w:t>
      </w:r>
      <w:r>
        <w:rPr>
          <w:rFonts w:cstheme="minorHAnsi"/>
        </w:rPr>
        <w:t xml:space="preserve">G (2010) What is Film Theory?  - An introduction to contemporary </w:t>
      </w:r>
      <w:r w:rsidR="000D1B21">
        <w:rPr>
          <w:rFonts w:cstheme="minorHAnsi"/>
        </w:rPr>
        <w:t>debates: McGraw Hill Open University Press</w:t>
      </w:r>
    </w:p>
    <w:p w14:paraId="7E644512" w14:textId="0E7432F1" w:rsidR="000D1B21" w:rsidRDefault="000D1B21" w:rsidP="00455653">
      <w:pPr>
        <w:rPr>
          <w:rFonts w:cstheme="minorHAnsi"/>
        </w:rPr>
      </w:pPr>
      <w:r>
        <w:rPr>
          <w:rFonts w:cstheme="minorHAnsi"/>
        </w:rPr>
        <w:t>Schickel R (1992) Double Indemnity : BFI Film Classics , The Trinity Press, Worcester</w:t>
      </w:r>
    </w:p>
    <w:p w14:paraId="1AD3109C" w14:textId="2BB8BB33" w:rsidR="000D1B21" w:rsidRDefault="000D1B21" w:rsidP="00455653">
      <w:pPr>
        <w:rPr>
          <w:rFonts w:cstheme="minorHAnsi"/>
        </w:rPr>
      </w:pPr>
      <w:r>
        <w:rPr>
          <w:rFonts w:cstheme="minorHAnsi"/>
        </w:rPr>
        <w:t>Spicer A, (2002) Film Noir, Longman</w:t>
      </w:r>
    </w:p>
    <w:p w14:paraId="68F25217" w14:textId="4B03FF2D" w:rsidR="000D1B21" w:rsidRDefault="000D1B21" w:rsidP="00455653">
      <w:pPr>
        <w:rPr>
          <w:rFonts w:cstheme="minorHAnsi"/>
          <w:u w:val="single"/>
        </w:rPr>
      </w:pPr>
      <w:r>
        <w:rPr>
          <w:rFonts w:cstheme="minorHAnsi"/>
          <w:u w:val="single"/>
        </w:rPr>
        <w:t>Filmography:</w:t>
      </w:r>
    </w:p>
    <w:p w14:paraId="73613F61" w14:textId="1B2C3B83" w:rsidR="000D1B21" w:rsidRDefault="000D1B21" w:rsidP="00455653">
      <w:pPr>
        <w:rPr>
          <w:rFonts w:cstheme="minorHAnsi"/>
        </w:rPr>
      </w:pPr>
      <w:r>
        <w:rPr>
          <w:rFonts w:cstheme="minorHAnsi"/>
          <w:i/>
          <w:iCs/>
        </w:rPr>
        <w:t>Asphalt</w:t>
      </w:r>
      <w:r>
        <w:rPr>
          <w:rFonts w:cstheme="minorHAnsi"/>
        </w:rPr>
        <w:t xml:space="preserve"> (May 1929)</w:t>
      </w:r>
    </w:p>
    <w:p w14:paraId="0AF3DE12" w14:textId="28E24FDE" w:rsidR="000D1B21" w:rsidRDefault="000D1B21" w:rsidP="00455653">
      <w:pPr>
        <w:rPr>
          <w:rFonts w:cstheme="minorHAnsi"/>
        </w:rPr>
      </w:pPr>
      <w:r>
        <w:rPr>
          <w:rFonts w:cstheme="minorHAnsi"/>
          <w:i/>
          <w:iCs/>
        </w:rPr>
        <w:t xml:space="preserve">Blue Angel </w:t>
      </w:r>
      <w:r>
        <w:rPr>
          <w:rFonts w:cstheme="minorHAnsi"/>
        </w:rPr>
        <w:t>(Sternberg, 1930)</w:t>
      </w:r>
    </w:p>
    <w:p w14:paraId="0D1EC893" w14:textId="4CAEE739" w:rsidR="00EB62D3" w:rsidRPr="00EB62D3" w:rsidRDefault="00EB62D3" w:rsidP="00455653">
      <w:pPr>
        <w:rPr>
          <w:rFonts w:cstheme="minorHAnsi"/>
          <w:i/>
          <w:iCs/>
        </w:rPr>
      </w:pPr>
      <w:r>
        <w:rPr>
          <w:rFonts w:cstheme="minorHAnsi"/>
          <w:i/>
          <w:iCs/>
        </w:rPr>
        <w:t>Der Janusjopf (1920)</w:t>
      </w:r>
    </w:p>
    <w:p w14:paraId="60BC5D29" w14:textId="33B4D16F" w:rsidR="000D1B21" w:rsidRDefault="000D1B21" w:rsidP="00455653">
      <w:pPr>
        <w:rPr>
          <w:rFonts w:cstheme="minorHAnsi"/>
          <w:i/>
          <w:iCs/>
        </w:rPr>
      </w:pPr>
      <w:r>
        <w:rPr>
          <w:rFonts w:cstheme="minorHAnsi"/>
          <w:i/>
          <w:iCs/>
        </w:rPr>
        <w:t>Die Strasse (Grune, 1923)</w:t>
      </w:r>
    </w:p>
    <w:p w14:paraId="3AD3668B" w14:textId="6CE94C2C" w:rsidR="000D1B21" w:rsidRDefault="000D1B21" w:rsidP="00455653">
      <w:pPr>
        <w:rPr>
          <w:rFonts w:cstheme="minorHAnsi"/>
        </w:rPr>
      </w:pPr>
      <w:r>
        <w:rPr>
          <w:rFonts w:cstheme="minorHAnsi"/>
          <w:i/>
          <w:iCs/>
        </w:rPr>
        <w:t xml:space="preserve">Double Indemnity </w:t>
      </w:r>
      <w:r>
        <w:rPr>
          <w:rFonts w:cstheme="minorHAnsi"/>
        </w:rPr>
        <w:t>(Wilder, 1944)</w:t>
      </w:r>
    </w:p>
    <w:p w14:paraId="4D1C255A" w14:textId="1294EEC1" w:rsidR="00EB62D3" w:rsidRPr="00EB62D3" w:rsidRDefault="00EB62D3" w:rsidP="00455653">
      <w:pPr>
        <w:rPr>
          <w:rFonts w:cstheme="minorHAnsi"/>
        </w:rPr>
      </w:pPr>
      <w:r>
        <w:rPr>
          <w:rFonts w:cstheme="minorHAnsi"/>
          <w:i/>
          <w:iCs/>
        </w:rPr>
        <w:t xml:space="preserve">Faust </w:t>
      </w:r>
      <w:r>
        <w:rPr>
          <w:rFonts w:cstheme="minorHAnsi"/>
        </w:rPr>
        <w:t>(1926)</w:t>
      </w:r>
      <w:bookmarkStart w:id="0" w:name="_GoBack"/>
      <w:bookmarkEnd w:id="0"/>
    </w:p>
    <w:p w14:paraId="00120D3E" w14:textId="03D96751" w:rsidR="000D1B21" w:rsidRDefault="000D1B21" w:rsidP="00455653">
      <w:pPr>
        <w:rPr>
          <w:rFonts w:cstheme="minorHAnsi"/>
        </w:rPr>
      </w:pPr>
      <w:r>
        <w:rPr>
          <w:rFonts w:cstheme="minorHAnsi"/>
          <w:i/>
          <w:iCs/>
        </w:rPr>
        <w:t xml:space="preserve">Lady of Shanghai </w:t>
      </w:r>
      <w:r>
        <w:rPr>
          <w:rFonts w:cstheme="minorHAnsi"/>
        </w:rPr>
        <w:t>(Wells, 1948)</w:t>
      </w:r>
    </w:p>
    <w:p w14:paraId="465D3850" w14:textId="340095F4" w:rsidR="000D1B21" w:rsidRDefault="000D1B21" w:rsidP="00455653">
      <w:pPr>
        <w:rPr>
          <w:rFonts w:cstheme="minorHAnsi"/>
        </w:rPr>
      </w:pPr>
      <w:r>
        <w:rPr>
          <w:rFonts w:cstheme="minorHAnsi"/>
          <w:i/>
          <w:iCs/>
        </w:rPr>
        <w:t xml:space="preserve">Mission Impossible 2 </w:t>
      </w:r>
      <w:r>
        <w:rPr>
          <w:rFonts w:cstheme="minorHAnsi"/>
        </w:rPr>
        <w:t>(Woo, 2000)</w:t>
      </w:r>
    </w:p>
    <w:p w14:paraId="15858B68" w14:textId="2CB78DF2" w:rsidR="000D1B21" w:rsidRDefault="000D1B21" w:rsidP="00455653">
      <w:pPr>
        <w:rPr>
          <w:rFonts w:cstheme="minorHAnsi"/>
        </w:rPr>
      </w:pPr>
      <w:r>
        <w:rPr>
          <w:rFonts w:cstheme="minorHAnsi"/>
          <w:i/>
          <w:iCs/>
        </w:rPr>
        <w:t xml:space="preserve">Ninotchka </w:t>
      </w:r>
      <w:r>
        <w:rPr>
          <w:rFonts w:cstheme="minorHAnsi"/>
        </w:rPr>
        <w:t>(Lubitch, 1939)</w:t>
      </w:r>
    </w:p>
    <w:p w14:paraId="18CD381C" w14:textId="06E9E219" w:rsidR="000D1B21" w:rsidRDefault="000D1B21" w:rsidP="00455653">
      <w:pPr>
        <w:rPr>
          <w:rFonts w:cstheme="minorHAnsi"/>
        </w:rPr>
      </w:pPr>
      <w:r>
        <w:rPr>
          <w:rFonts w:cstheme="minorHAnsi"/>
          <w:i/>
          <w:iCs/>
        </w:rPr>
        <w:t xml:space="preserve">Nosferatu </w:t>
      </w:r>
      <w:r>
        <w:rPr>
          <w:rFonts w:cstheme="minorHAnsi"/>
        </w:rPr>
        <w:t>(Murnau, 1922)</w:t>
      </w:r>
    </w:p>
    <w:p w14:paraId="5593860A" w14:textId="10AA39C7" w:rsidR="000D1B21" w:rsidRDefault="000D1B21" w:rsidP="00455653">
      <w:pPr>
        <w:rPr>
          <w:rFonts w:cstheme="minorHAnsi"/>
        </w:rPr>
      </w:pPr>
      <w:r>
        <w:rPr>
          <w:rFonts w:cstheme="minorHAnsi"/>
          <w:i/>
          <w:iCs/>
        </w:rPr>
        <w:t xml:space="preserve">Notorious </w:t>
      </w:r>
      <w:r>
        <w:rPr>
          <w:rFonts w:cstheme="minorHAnsi"/>
        </w:rPr>
        <w:t>(Hitchcock, 1946)</w:t>
      </w:r>
    </w:p>
    <w:p w14:paraId="6D77330C" w14:textId="14A4BCA8" w:rsidR="000D1B21" w:rsidRDefault="000D1B21" w:rsidP="00455653">
      <w:pPr>
        <w:rPr>
          <w:rFonts w:cstheme="minorHAnsi"/>
        </w:rPr>
      </w:pPr>
      <w:r>
        <w:rPr>
          <w:rFonts w:cstheme="minorHAnsi"/>
          <w:i/>
          <w:iCs/>
        </w:rPr>
        <w:t xml:space="preserve">Scarface </w:t>
      </w:r>
      <w:r>
        <w:rPr>
          <w:rFonts w:cstheme="minorHAnsi"/>
        </w:rPr>
        <w:t>(Hawks, 1932)</w:t>
      </w:r>
    </w:p>
    <w:p w14:paraId="0EE62E02" w14:textId="5B2538AC" w:rsidR="000D1B21" w:rsidRDefault="000D1B21" w:rsidP="00455653">
      <w:pPr>
        <w:rPr>
          <w:rFonts w:cstheme="minorHAnsi"/>
        </w:rPr>
      </w:pPr>
      <w:r>
        <w:rPr>
          <w:rFonts w:cstheme="minorHAnsi"/>
          <w:i/>
          <w:iCs/>
        </w:rPr>
        <w:t>Silence of the lambs (</w:t>
      </w:r>
      <w:r>
        <w:rPr>
          <w:rFonts w:cstheme="minorHAnsi"/>
        </w:rPr>
        <w:t>Demme,1991)</w:t>
      </w:r>
    </w:p>
    <w:p w14:paraId="3DFBFD0B" w14:textId="4F12C02B" w:rsidR="000D1B21" w:rsidRDefault="000D1B21" w:rsidP="00455653">
      <w:pPr>
        <w:rPr>
          <w:rFonts w:cstheme="minorHAnsi"/>
        </w:rPr>
      </w:pPr>
      <w:r>
        <w:rPr>
          <w:rFonts w:cstheme="minorHAnsi"/>
          <w:i/>
          <w:iCs/>
        </w:rPr>
        <w:lastRenderedPageBreak/>
        <w:t xml:space="preserve">Sunrise </w:t>
      </w:r>
      <w:r>
        <w:rPr>
          <w:rFonts w:cstheme="minorHAnsi"/>
        </w:rPr>
        <w:t>(Marnau, 1927)</w:t>
      </w:r>
    </w:p>
    <w:p w14:paraId="1D6322EA" w14:textId="0B8FA97A" w:rsidR="000D1B21" w:rsidRPr="000D1B21" w:rsidRDefault="000D1B21" w:rsidP="00455653">
      <w:pPr>
        <w:rPr>
          <w:rFonts w:cstheme="minorHAnsi"/>
          <w:b/>
          <w:bCs/>
        </w:rPr>
      </w:pPr>
      <w:r>
        <w:rPr>
          <w:rFonts w:cstheme="minorHAnsi"/>
          <w:i/>
          <w:iCs/>
        </w:rPr>
        <w:t>The Postman Always Rings Twice</w:t>
      </w:r>
      <w:r>
        <w:rPr>
          <w:rFonts w:cstheme="minorHAnsi"/>
        </w:rPr>
        <w:t xml:space="preserve"> (Garnett, 1946)</w:t>
      </w:r>
    </w:p>
    <w:p w14:paraId="42DE9E61" w14:textId="77777777" w:rsidR="00035822" w:rsidRPr="000C323D" w:rsidRDefault="00035822" w:rsidP="00455653">
      <w:pPr>
        <w:rPr>
          <w:rFonts w:cstheme="minorHAnsi"/>
        </w:rPr>
      </w:pPr>
    </w:p>
    <w:p w14:paraId="3A8E37FB" w14:textId="7D96C492" w:rsidR="00D97E4C" w:rsidRPr="00455653" w:rsidRDefault="00D97E4C" w:rsidP="00455653">
      <w:pPr>
        <w:rPr>
          <w:rFonts w:cstheme="minorHAnsi"/>
        </w:rPr>
      </w:pPr>
    </w:p>
    <w:p w14:paraId="49C66D65" w14:textId="77777777" w:rsidR="008833C1" w:rsidRDefault="008833C1" w:rsidP="008833C1">
      <w:pPr>
        <w:rPr>
          <w:rFonts w:cstheme="minorHAnsi"/>
        </w:rPr>
      </w:pPr>
    </w:p>
    <w:p w14:paraId="7D531EC4" w14:textId="77777777" w:rsidR="008833C1" w:rsidRPr="00CC13EB" w:rsidRDefault="008833C1" w:rsidP="008833C1">
      <w:pPr>
        <w:rPr>
          <w:rFonts w:cstheme="minorHAnsi"/>
        </w:rPr>
      </w:pPr>
    </w:p>
    <w:p w14:paraId="7A841E47" w14:textId="77777777" w:rsidR="00584DC9" w:rsidRDefault="00584DC9" w:rsidP="00EC203C">
      <w:pPr>
        <w:rPr>
          <w:rFonts w:cstheme="minorHAnsi"/>
        </w:rPr>
      </w:pPr>
    </w:p>
    <w:p w14:paraId="5A6713EB" w14:textId="1FB16723" w:rsidR="00BB3379" w:rsidRDefault="00897059" w:rsidP="00EC203C">
      <w:pPr>
        <w:rPr>
          <w:rFonts w:cstheme="minorHAnsi"/>
        </w:rPr>
      </w:pPr>
      <w:r>
        <w:rPr>
          <w:rFonts w:cstheme="minorHAnsi"/>
        </w:rPr>
        <w:t xml:space="preserve">  </w:t>
      </w:r>
    </w:p>
    <w:p w14:paraId="77689221" w14:textId="77777777" w:rsidR="00264BB9" w:rsidRDefault="00264BB9" w:rsidP="00EC203C">
      <w:pPr>
        <w:rPr>
          <w:rFonts w:cstheme="minorHAnsi"/>
        </w:rPr>
      </w:pPr>
    </w:p>
    <w:p w14:paraId="088C6CC5" w14:textId="77777777" w:rsidR="001D5790" w:rsidRDefault="001D5790" w:rsidP="00EC203C">
      <w:pPr>
        <w:rPr>
          <w:rFonts w:cstheme="minorHAnsi"/>
        </w:rPr>
      </w:pPr>
    </w:p>
    <w:p w14:paraId="7A440386" w14:textId="77777777" w:rsidR="002E2174" w:rsidRDefault="002E2174" w:rsidP="00EC203C">
      <w:pPr>
        <w:rPr>
          <w:rFonts w:cstheme="minorHAnsi"/>
        </w:rPr>
      </w:pPr>
    </w:p>
    <w:p w14:paraId="00D361D8" w14:textId="77777777" w:rsidR="00584242" w:rsidRDefault="00584242" w:rsidP="00EC203C">
      <w:pPr>
        <w:rPr>
          <w:rFonts w:cstheme="minorHAnsi"/>
        </w:rPr>
      </w:pPr>
    </w:p>
    <w:p w14:paraId="1B61C73B" w14:textId="77777777" w:rsidR="00B46291" w:rsidRDefault="00B46291" w:rsidP="00B46291">
      <w:pPr>
        <w:rPr>
          <w:rFonts w:cstheme="minorHAnsi"/>
        </w:rPr>
      </w:pPr>
    </w:p>
    <w:p w14:paraId="2D6A92E1" w14:textId="77777777" w:rsidR="00B46291" w:rsidRPr="00B46291" w:rsidRDefault="00B46291">
      <w:pPr>
        <w:rPr>
          <w:rFonts w:cstheme="minorHAnsi"/>
        </w:rPr>
      </w:pPr>
    </w:p>
    <w:p w14:paraId="24E1BE06" w14:textId="77777777" w:rsidR="00B076F0" w:rsidRDefault="00B076F0"/>
    <w:p w14:paraId="55ED6205" w14:textId="77777777" w:rsidR="00A54A36" w:rsidRPr="00A54A36" w:rsidRDefault="00A54A36"/>
    <w:p w14:paraId="5AD49D5C" w14:textId="77777777" w:rsidR="00F646AF" w:rsidRPr="00F646AF" w:rsidRDefault="00F646AF"/>
    <w:sectPr w:rsidR="00F646AF" w:rsidRPr="00F646AF">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FFA9E2" w14:textId="77777777" w:rsidR="00DD7EE9" w:rsidRDefault="00DD7EE9" w:rsidP="002E3927">
      <w:pPr>
        <w:spacing w:after="0" w:line="240" w:lineRule="auto"/>
      </w:pPr>
      <w:r>
        <w:separator/>
      </w:r>
    </w:p>
  </w:endnote>
  <w:endnote w:type="continuationSeparator" w:id="0">
    <w:p w14:paraId="13AE65E3" w14:textId="77777777" w:rsidR="00DD7EE9" w:rsidRDefault="00DD7EE9" w:rsidP="002E39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BAA690" w14:textId="77777777" w:rsidR="00DD7EE9" w:rsidRDefault="00DD7EE9" w:rsidP="002E3927">
      <w:pPr>
        <w:spacing w:after="0" w:line="240" w:lineRule="auto"/>
      </w:pPr>
      <w:r>
        <w:separator/>
      </w:r>
    </w:p>
  </w:footnote>
  <w:footnote w:type="continuationSeparator" w:id="0">
    <w:p w14:paraId="2AC361BE" w14:textId="77777777" w:rsidR="00DD7EE9" w:rsidRDefault="00DD7EE9" w:rsidP="002E392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4D42"/>
    <w:rsid w:val="00035822"/>
    <w:rsid w:val="00074C33"/>
    <w:rsid w:val="000C323D"/>
    <w:rsid w:val="000D1B21"/>
    <w:rsid w:val="000E2F13"/>
    <w:rsid w:val="000F4B3A"/>
    <w:rsid w:val="000F58F1"/>
    <w:rsid w:val="001358B2"/>
    <w:rsid w:val="001423D2"/>
    <w:rsid w:val="00154580"/>
    <w:rsid w:val="001606C5"/>
    <w:rsid w:val="001D394C"/>
    <w:rsid w:val="001D5790"/>
    <w:rsid w:val="001F4D42"/>
    <w:rsid w:val="00217661"/>
    <w:rsid w:val="00244FB1"/>
    <w:rsid w:val="00264BB9"/>
    <w:rsid w:val="002B662D"/>
    <w:rsid w:val="002E2174"/>
    <w:rsid w:val="002E3927"/>
    <w:rsid w:val="00363690"/>
    <w:rsid w:val="003B32AB"/>
    <w:rsid w:val="003B3C11"/>
    <w:rsid w:val="0040307A"/>
    <w:rsid w:val="004071B7"/>
    <w:rsid w:val="00455653"/>
    <w:rsid w:val="0046584A"/>
    <w:rsid w:val="0046601C"/>
    <w:rsid w:val="00471AE4"/>
    <w:rsid w:val="00474666"/>
    <w:rsid w:val="00502E03"/>
    <w:rsid w:val="0051757D"/>
    <w:rsid w:val="00524458"/>
    <w:rsid w:val="005271EE"/>
    <w:rsid w:val="0058407D"/>
    <w:rsid w:val="00584242"/>
    <w:rsid w:val="00584DC9"/>
    <w:rsid w:val="005B3744"/>
    <w:rsid w:val="005B5C35"/>
    <w:rsid w:val="005E4FC9"/>
    <w:rsid w:val="00684C90"/>
    <w:rsid w:val="006A268C"/>
    <w:rsid w:val="006D37B0"/>
    <w:rsid w:val="007D246E"/>
    <w:rsid w:val="00803D8E"/>
    <w:rsid w:val="00841463"/>
    <w:rsid w:val="008833C1"/>
    <w:rsid w:val="008905B9"/>
    <w:rsid w:val="00897059"/>
    <w:rsid w:val="00900F6D"/>
    <w:rsid w:val="0091681A"/>
    <w:rsid w:val="009B3050"/>
    <w:rsid w:val="009D1B7C"/>
    <w:rsid w:val="009D6D11"/>
    <w:rsid w:val="00A46C6B"/>
    <w:rsid w:val="00A54A36"/>
    <w:rsid w:val="00A858B6"/>
    <w:rsid w:val="00A93846"/>
    <w:rsid w:val="00A97828"/>
    <w:rsid w:val="00AC0C85"/>
    <w:rsid w:val="00AE64E8"/>
    <w:rsid w:val="00B076F0"/>
    <w:rsid w:val="00B262CF"/>
    <w:rsid w:val="00B40459"/>
    <w:rsid w:val="00B46291"/>
    <w:rsid w:val="00B70482"/>
    <w:rsid w:val="00B71B4D"/>
    <w:rsid w:val="00B97FA2"/>
    <w:rsid w:val="00BB1BD8"/>
    <w:rsid w:val="00BB3379"/>
    <w:rsid w:val="00BB381A"/>
    <w:rsid w:val="00BC5C59"/>
    <w:rsid w:val="00C0369B"/>
    <w:rsid w:val="00C203D3"/>
    <w:rsid w:val="00C31C43"/>
    <w:rsid w:val="00C802E1"/>
    <w:rsid w:val="00C80357"/>
    <w:rsid w:val="00C817D9"/>
    <w:rsid w:val="00CC13EB"/>
    <w:rsid w:val="00CE1FEC"/>
    <w:rsid w:val="00D02CA1"/>
    <w:rsid w:val="00D33B99"/>
    <w:rsid w:val="00D973A1"/>
    <w:rsid w:val="00D97E4C"/>
    <w:rsid w:val="00DA18A9"/>
    <w:rsid w:val="00DD17B6"/>
    <w:rsid w:val="00DD7EE9"/>
    <w:rsid w:val="00E110B8"/>
    <w:rsid w:val="00EA687A"/>
    <w:rsid w:val="00EB44B9"/>
    <w:rsid w:val="00EB62D3"/>
    <w:rsid w:val="00EC203C"/>
    <w:rsid w:val="00EC63E4"/>
    <w:rsid w:val="00EE2438"/>
    <w:rsid w:val="00F026FF"/>
    <w:rsid w:val="00F24B63"/>
    <w:rsid w:val="00F646AF"/>
    <w:rsid w:val="00F86B24"/>
    <w:rsid w:val="00FA1CCC"/>
    <w:rsid w:val="00FA6E61"/>
    <w:rsid w:val="00FB5153"/>
    <w:rsid w:val="00FB68D7"/>
    <w:rsid w:val="00FD74AA"/>
    <w:rsid w:val="00FF7C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A4FBD0"/>
  <w15:chartTrackingRefBased/>
  <w15:docId w15:val="{566751A9-0CAF-40BB-885F-0A5B63C2AF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E3927"/>
    <w:pPr>
      <w:tabs>
        <w:tab w:val="center" w:pos="4680"/>
        <w:tab w:val="right" w:pos="9360"/>
      </w:tabs>
      <w:spacing w:after="0" w:line="240" w:lineRule="auto"/>
    </w:pPr>
  </w:style>
  <w:style w:type="character" w:customStyle="1" w:styleId="HeaderChar">
    <w:name w:val="Header Char"/>
    <w:basedOn w:val="DefaultParagraphFont"/>
    <w:link w:val="Header"/>
    <w:uiPriority w:val="99"/>
    <w:rsid w:val="002E3927"/>
  </w:style>
  <w:style w:type="paragraph" w:styleId="Footer">
    <w:name w:val="footer"/>
    <w:basedOn w:val="Normal"/>
    <w:link w:val="FooterChar"/>
    <w:uiPriority w:val="99"/>
    <w:unhideWhenUsed/>
    <w:rsid w:val="002E3927"/>
    <w:pPr>
      <w:tabs>
        <w:tab w:val="center" w:pos="4680"/>
        <w:tab w:val="right" w:pos="9360"/>
      </w:tabs>
      <w:spacing w:after="0" w:line="240" w:lineRule="auto"/>
    </w:pPr>
  </w:style>
  <w:style w:type="character" w:customStyle="1" w:styleId="FooterChar">
    <w:name w:val="Footer Char"/>
    <w:basedOn w:val="DefaultParagraphFont"/>
    <w:link w:val="Footer"/>
    <w:uiPriority w:val="99"/>
    <w:rsid w:val="002E39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image" Target="media/image7.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endnotes" Target="endnotes.xml"/><Relationship Id="rId10" Type="http://schemas.openxmlformats.org/officeDocument/2006/relationships/image" Target="media/image5.jpeg"/><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478</TotalTime>
  <Pages>7</Pages>
  <Words>2140</Words>
  <Characters>12199</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Lynwen Hammond (1903903)</dc:creator>
  <cp:keywords/>
  <dc:description/>
  <cp:lastModifiedBy>Lynwen Hammond (1903903)</cp:lastModifiedBy>
  <cp:revision>26</cp:revision>
  <cp:lastPrinted>2019-11-07T14:32:00Z</cp:lastPrinted>
  <dcterms:created xsi:type="dcterms:W3CDTF">2019-11-09T13:03:00Z</dcterms:created>
  <dcterms:modified xsi:type="dcterms:W3CDTF">2019-11-14T13:36:00Z</dcterms:modified>
</cp:coreProperties>
</file>