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67A42" w14:textId="270DD272" w:rsidR="00EF60C2" w:rsidRDefault="00EF60C2">
      <w:pPr>
        <w:rPr>
          <w:b/>
          <w:bCs/>
          <w:sz w:val="32"/>
          <w:szCs w:val="32"/>
        </w:rPr>
      </w:pPr>
      <w:r w:rsidRPr="00EF60C2">
        <w:rPr>
          <w:b/>
          <w:bCs/>
          <w:sz w:val="32"/>
          <w:szCs w:val="32"/>
        </w:rPr>
        <w:t>ORGANISATIONAL CULTURE</w:t>
      </w:r>
      <w:r w:rsidR="00A41A08">
        <w:rPr>
          <w:b/>
          <w:bCs/>
          <w:sz w:val="32"/>
          <w:szCs w:val="32"/>
        </w:rPr>
        <w:t xml:space="preserve"> </w:t>
      </w:r>
      <w:r w:rsidRPr="00EF60C2">
        <w:rPr>
          <w:b/>
          <w:bCs/>
          <w:sz w:val="32"/>
          <w:szCs w:val="32"/>
        </w:rPr>
        <w:t>: TOYOTA MOTOR CORPORATION</w:t>
      </w:r>
    </w:p>
    <w:p w14:paraId="6FFB7F50" w14:textId="77777777" w:rsidR="00A41A08" w:rsidRDefault="00A41A08">
      <w:pPr>
        <w:rPr>
          <w:b/>
          <w:bCs/>
          <w:sz w:val="32"/>
          <w:szCs w:val="32"/>
        </w:rPr>
      </w:pPr>
    </w:p>
    <w:p w14:paraId="6FE4F20D" w14:textId="0B318924" w:rsidR="00E84CCE" w:rsidRDefault="00E84CCE">
      <w:pPr>
        <w:rPr>
          <w:sz w:val="32"/>
          <w:szCs w:val="32"/>
        </w:rPr>
      </w:pPr>
      <w:r>
        <w:rPr>
          <w:sz w:val="32"/>
          <w:szCs w:val="32"/>
        </w:rPr>
        <w:t>Assesment</w:t>
      </w:r>
      <w:r w:rsidR="0074343E">
        <w:rPr>
          <w:sz w:val="32"/>
          <w:szCs w:val="32"/>
        </w:rPr>
        <w:t xml:space="preserve"> Task 1 </w:t>
      </w:r>
    </w:p>
    <w:p w14:paraId="362B6148" w14:textId="77777777" w:rsidR="0074343E" w:rsidRDefault="0074343E">
      <w:pPr>
        <w:rPr>
          <w:sz w:val="32"/>
          <w:szCs w:val="32"/>
        </w:rPr>
      </w:pPr>
    </w:p>
    <w:p w14:paraId="60546314" w14:textId="0238A948" w:rsidR="0074343E" w:rsidRDefault="0092676E">
      <w:pPr>
        <w:rPr>
          <w:sz w:val="32"/>
          <w:szCs w:val="32"/>
        </w:rPr>
      </w:pPr>
      <w:r>
        <w:rPr>
          <w:sz w:val="32"/>
          <w:szCs w:val="32"/>
        </w:rPr>
        <w:t>Student name: Laurentiu Vaduva</w:t>
      </w:r>
    </w:p>
    <w:p w14:paraId="149179CF" w14:textId="2BFABEAF" w:rsidR="004A38AC" w:rsidRDefault="005060B0">
      <w:pPr>
        <w:rPr>
          <w:sz w:val="32"/>
          <w:szCs w:val="32"/>
        </w:rPr>
      </w:pPr>
      <w:r>
        <w:rPr>
          <w:sz w:val="32"/>
          <w:szCs w:val="32"/>
        </w:rPr>
        <w:t>Student ID: 2229646</w:t>
      </w:r>
    </w:p>
    <w:p w14:paraId="03E3494F" w14:textId="2D6287E3" w:rsidR="004A38AC" w:rsidRDefault="00A11920" w:rsidP="00A11920">
      <w:pPr>
        <w:spacing w:after="0" w:line="240" w:lineRule="auto"/>
        <w:rPr>
          <w:sz w:val="32"/>
          <w:szCs w:val="32"/>
        </w:rPr>
      </w:pPr>
      <w:r w:rsidRPr="00A11920">
        <w:rPr>
          <w:sz w:val="32"/>
          <w:szCs w:val="32"/>
        </w:rPr>
        <w:t>Module: LCLM 5005 - Organisational Culture</w:t>
      </w:r>
    </w:p>
    <w:p w14:paraId="089BACB4" w14:textId="77777777" w:rsidR="004A38AC" w:rsidRDefault="004A38AC" w:rsidP="00A11920">
      <w:pPr>
        <w:spacing w:after="0" w:line="240" w:lineRule="auto"/>
        <w:rPr>
          <w:sz w:val="32"/>
          <w:szCs w:val="32"/>
        </w:rPr>
      </w:pPr>
    </w:p>
    <w:p w14:paraId="004BBC65" w14:textId="08850F25" w:rsidR="004A38AC" w:rsidRDefault="004A38AC" w:rsidP="00A11920">
      <w:pPr>
        <w:spacing w:after="0" w:line="240" w:lineRule="auto"/>
        <w:rPr>
          <w:sz w:val="32"/>
          <w:szCs w:val="32"/>
        </w:rPr>
      </w:pPr>
      <w:r>
        <w:rPr>
          <w:sz w:val="32"/>
          <w:szCs w:val="32"/>
        </w:rPr>
        <w:t xml:space="preserve">Word Count: </w:t>
      </w:r>
      <w:r w:rsidR="00A32A82">
        <w:rPr>
          <w:sz w:val="32"/>
          <w:szCs w:val="32"/>
        </w:rPr>
        <w:t>2912</w:t>
      </w:r>
    </w:p>
    <w:p w14:paraId="07B92A12" w14:textId="77777777" w:rsidR="004A38AC" w:rsidRDefault="004A38AC" w:rsidP="00A11920">
      <w:pPr>
        <w:spacing w:after="0" w:line="240" w:lineRule="auto"/>
        <w:rPr>
          <w:sz w:val="32"/>
          <w:szCs w:val="32"/>
        </w:rPr>
      </w:pPr>
    </w:p>
    <w:p w14:paraId="5380CF60" w14:textId="53ACE7F1" w:rsidR="004A38AC" w:rsidRPr="00A11920" w:rsidRDefault="004A38AC" w:rsidP="00A11920">
      <w:pPr>
        <w:spacing w:after="0" w:line="240" w:lineRule="auto"/>
        <w:rPr>
          <w:sz w:val="32"/>
          <w:szCs w:val="32"/>
        </w:rPr>
      </w:pPr>
      <w:r>
        <w:rPr>
          <w:sz w:val="32"/>
          <w:szCs w:val="32"/>
        </w:rPr>
        <w:t>Sub</w:t>
      </w:r>
      <w:r w:rsidR="006376DB">
        <w:rPr>
          <w:sz w:val="32"/>
          <w:szCs w:val="32"/>
        </w:rPr>
        <w:t>mission date : 11/11/2025</w:t>
      </w:r>
    </w:p>
    <w:p w14:paraId="2472BD8E" w14:textId="77777777" w:rsidR="005060B0" w:rsidRDefault="005060B0">
      <w:pPr>
        <w:rPr>
          <w:sz w:val="32"/>
          <w:szCs w:val="32"/>
        </w:rPr>
      </w:pPr>
    </w:p>
    <w:p w14:paraId="71607911" w14:textId="77777777" w:rsidR="006376DB" w:rsidRDefault="006376DB">
      <w:pPr>
        <w:rPr>
          <w:sz w:val="32"/>
          <w:szCs w:val="32"/>
        </w:rPr>
      </w:pPr>
    </w:p>
    <w:p w14:paraId="6FE2BC60" w14:textId="2F8C0B40" w:rsidR="00D07525" w:rsidRPr="00D07525" w:rsidRDefault="00D07525">
      <w:pPr>
        <w:rPr>
          <w:b/>
          <w:bCs/>
          <w:sz w:val="32"/>
          <w:szCs w:val="32"/>
        </w:rPr>
      </w:pPr>
      <w:r>
        <w:rPr>
          <w:b/>
          <w:bCs/>
          <w:sz w:val="32"/>
          <w:szCs w:val="32"/>
        </w:rPr>
        <w:t>Executive Summary:</w:t>
      </w:r>
    </w:p>
    <w:p w14:paraId="32B6477C" w14:textId="77777777" w:rsidR="00D07525" w:rsidRDefault="00D07525">
      <w:pPr>
        <w:rPr>
          <w:sz w:val="32"/>
          <w:szCs w:val="32"/>
        </w:rPr>
      </w:pPr>
    </w:p>
    <w:p w14:paraId="1BBE04CD" w14:textId="23B3A186" w:rsidR="00582C8E" w:rsidRPr="00582C8E" w:rsidRDefault="00582C8E">
      <w:pPr>
        <w:rPr>
          <w:sz w:val="32"/>
          <w:szCs w:val="32"/>
        </w:rPr>
      </w:pPr>
      <w:r w:rsidRPr="00582C8E">
        <w:rPr>
          <w:sz w:val="32"/>
          <w:szCs w:val="32"/>
        </w:rPr>
        <w:t>This report critically examines how organisational culture shapes Toyota Motor Corporation’s structure, decision-making processes, and overall performance. Through the application of established cultural frameworks including Schein’s model, Hofstede’s dimensions, and Handy’s typology, the analysis reveals Toyota’s distinctive culture rooted in the Toyota Production System (TPS) and continuous improvement philosophy. The report evaluates how Toyota’s strong cultural foundations enable adaptation to external environmental challenges whilst identifying potential cultural barriers to organisational effectiveness. Recommendations for cultural enhancement are provided to sustain competitive advantage in an increasingly complex global automotive industry.</w:t>
      </w:r>
    </w:p>
    <w:p w14:paraId="5B860E55" w14:textId="77777777" w:rsidR="00582C8E" w:rsidRDefault="00582C8E">
      <w:pPr>
        <w:rPr>
          <w:b/>
          <w:bCs/>
          <w:sz w:val="32"/>
          <w:szCs w:val="32"/>
        </w:rPr>
      </w:pPr>
    </w:p>
    <w:p w14:paraId="25891004" w14:textId="2B9D217A" w:rsidR="00D07525" w:rsidRPr="00D07525" w:rsidRDefault="00D07525" w:rsidP="00D07525">
      <w:pPr>
        <w:rPr>
          <w:b/>
          <w:bCs/>
          <w:sz w:val="32"/>
          <w:szCs w:val="32"/>
        </w:rPr>
      </w:pPr>
      <w:r w:rsidRPr="00D07525">
        <w:rPr>
          <w:b/>
          <w:bCs/>
          <w:sz w:val="32"/>
          <w:szCs w:val="32"/>
        </w:rPr>
        <w:t>Table of Contents:</w:t>
      </w:r>
    </w:p>
    <w:p w14:paraId="163831E9" w14:textId="77777777" w:rsidR="00D07525" w:rsidRPr="00D07525" w:rsidRDefault="00D07525" w:rsidP="00D07525">
      <w:pPr>
        <w:rPr>
          <w:sz w:val="32"/>
          <w:szCs w:val="32"/>
        </w:rPr>
      </w:pPr>
      <w:r w:rsidRPr="00D07525">
        <w:rPr>
          <w:sz w:val="32"/>
          <w:szCs w:val="32"/>
        </w:rPr>
        <w:tab/>
        <w:t>1.</w:t>
      </w:r>
      <w:r w:rsidRPr="00D07525">
        <w:rPr>
          <w:sz w:val="32"/>
          <w:szCs w:val="32"/>
        </w:rPr>
        <w:tab/>
        <w:t>Introduction</w:t>
      </w:r>
    </w:p>
    <w:p w14:paraId="04DF83ED" w14:textId="77777777" w:rsidR="00D07525" w:rsidRPr="00D07525" w:rsidRDefault="00D07525" w:rsidP="00D07525">
      <w:pPr>
        <w:rPr>
          <w:sz w:val="32"/>
          <w:szCs w:val="32"/>
        </w:rPr>
      </w:pPr>
      <w:r w:rsidRPr="00D07525">
        <w:rPr>
          <w:sz w:val="32"/>
          <w:szCs w:val="32"/>
        </w:rPr>
        <w:tab/>
        <w:t>2.</w:t>
      </w:r>
      <w:r w:rsidRPr="00D07525">
        <w:rPr>
          <w:sz w:val="32"/>
          <w:szCs w:val="32"/>
        </w:rPr>
        <w:tab/>
        <w:t>Organisational Culture and Its Influence on Structure and Decision-Making</w:t>
      </w:r>
    </w:p>
    <w:p w14:paraId="0DD4CB21" w14:textId="77777777" w:rsidR="00D07525" w:rsidRPr="00D07525" w:rsidRDefault="00D07525" w:rsidP="00D07525">
      <w:pPr>
        <w:rPr>
          <w:sz w:val="32"/>
          <w:szCs w:val="32"/>
        </w:rPr>
      </w:pPr>
      <w:r w:rsidRPr="00D07525">
        <w:rPr>
          <w:sz w:val="32"/>
          <w:szCs w:val="32"/>
        </w:rPr>
        <w:tab/>
        <w:t>3.</w:t>
      </w:r>
      <w:r w:rsidRPr="00D07525">
        <w:rPr>
          <w:sz w:val="32"/>
          <w:szCs w:val="32"/>
        </w:rPr>
        <w:tab/>
        <w:t>Identifying and Analysing Toyota’s Organisational Culture</w:t>
      </w:r>
    </w:p>
    <w:p w14:paraId="37817506" w14:textId="77777777" w:rsidR="00D07525" w:rsidRPr="00D07525" w:rsidRDefault="00D07525" w:rsidP="00D07525">
      <w:pPr>
        <w:rPr>
          <w:sz w:val="32"/>
          <w:szCs w:val="32"/>
        </w:rPr>
      </w:pPr>
      <w:r w:rsidRPr="00D07525">
        <w:rPr>
          <w:sz w:val="32"/>
          <w:szCs w:val="32"/>
        </w:rPr>
        <w:tab/>
        <w:t>4.</w:t>
      </w:r>
      <w:r w:rsidRPr="00D07525">
        <w:rPr>
          <w:sz w:val="32"/>
          <w:szCs w:val="32"/>
        </w:rPr>
        <w:tab/>
        <w:t>Cultural Adaptation to External Environment</w:t>
      </w:r>
    </w:p>
    <w:p w14:paraId="7C733E51" w14:textId="77777777" w:rsidR="00D07525" w:rsidRPr="00D07525" w:rsidRDefault="00D07525" w:rsidP="00D07525">
      <w:pPr>
        <w:rPr>
          <w:sz w:val="32"/>
          <w:szCs w:val="32"/>
        </w:rPr>
      </w:pPr>
      <w:r w:rsidRPr="00D07525">
        <w:rPr>
          <w:sz w:val="32"/>
          <w:szCs w:val="32"/>
        </w:rPr>
        <w:tab/>
        <w:t>5.</w:t>
      </w:r>
      <w:r w:rsidRPr="00D07525">
        <w:rPr>
          <w:sz w:val="32"/>
          <w:szCs w:val="32"/>
        </w:rPr>
        <w:tab/>
        <w:t>Organisational Culture as a Potential Barrier</w:t>
      </w:r>
    </w:p>
    <w:p w14:paraId="6C2AB324" w14:textId="77777777" w:rsidR="00D07525" w:rsidRPr="00D07525" w:rsidRDefault="00D07525" w:rsidP="00D07525">
      <w:pPr>
        <w:rPr>
          <w:sz w:val="32"/>
          <w:szCs w:val="32"/>
        </w:rPr>
      </w:pPr>
      <w:r w:rsidRPr="00D07525">
        <w:rPr>
          <w:sz w:val="32"/>
          <w:szCs w:val="32"/>
        </w:rPr>
        <w:tab/>
        <w:t>6.</w:t>
      </w:r>
      <w:r w:rsidRPr="00D07525">
        <w:rPr>
          <w:sz w:val="32"/>
          <w:szCs w:val="32"/>
        </w:rPr>
        <w:tab/>
        <w:t>Impact on Organisational Performance and Recommendations</w:t>
      </w:r>
    </w:p>
    <w:p w14:paraId="769AAD0D" w14:textId="3D2766BC" w:rsidR="00D07525" w:rsidRDefault="00D07525">
      <w:pPr>
        <w:rPr>
          <w:sz w:val="32"/>
          <w:szCs w:val="32"/>
        </w:rPr>
      </w:pPr>
      <w:r w:rsidRPr="00D07525">
        <w:rPr>
          <w:sz w:val="32"/>
          <w:szCs w:val="32"/>
        </w:rPr>
        <w:tab/>
        <w:t>7.</w:t>
      </w:r>
      <w:r w:rsidRPr="00D07525">
        <w:rPr>
          <w:sz w:val="32"/>
          <w:szCs w:val="32"/>
        </w:rPr>
        <w:tab/>
        <w:t>Conclusion</w:t>
      </w:r>
    </w:p>
    <w:p w14:paraId="32B82F0F" w14:textId="77777777" w:rsidR="00D07525" w:rsidRDefault="00D07525">
      <w:pPr>
        <w:rPr>
          <w:sz w:val="32"/>
          <w:szCs w:val="32"/>
        </w:rPr>
      </w:pPr>
    </w:p>
    <w:p w14:paraId="64F3B359" w14:textId="77777777" w:rsidR="00062764" w:rsidRPr="00062764" w:rsidRDefault="00062764" w:rsidP="00062764">
      <w:pPr>
        <w:rPr>
          <w:b/>
          <w:bCs/>
          <w:sz w:val="32"/>
          <w:szCs w:val="32"/>
        </w:rPr>
      </w:pPr>
      <w:r w:rsidRPr="00062764">
        <w:rPr>
          <w:b/>
          <w:bCs/>
          <w:sz w:val="32"/>
          <w:szCs w:val="32"/>
        </w:rPr>
        <w:t>1. Introduction</w:t>
      </w:r>
    </w:p>
    <w:p w14:paraId="0860E9AD" w14:textId="7434585D" w:rsidR="00D07525" w:rsidRPr="00D07525" w:rsidRDefault="00062764">
      <w:pPr>
        <w:rPr>
          <w:sz w:val="32"/>
          <w:szCs w:val="32"/>
        </w:rPr>
      </w:pPr>
      <w:r w:rsidRPr="00062764">
        <w:rPr>
          <w:sz w:val="32"/>
          <w:szCs w:val="32"/>
        </w:rPr>
        <w:t xml:space="preserve">Organisational culture represents the underlying values, beliefs, and behavioural norms that define “how things are done” within an organisation (Schein, 2010). In today’s globalised business environment, understanding and managing culture has become increasingly critical for multinational corporations navigating diverse markets and workforces. Toyota Motor Corporation, the world’s leading automobile manufacturer, exemplifies how a strong organisational culture can drive sustained competitive advantage through operational excellence and innovation (Liker, 2004). This report examines Toyota’s organisational culture through multiple theoretical lenses, assessing its impact on structure, decision-making, environmental adaptation, and </w:t>
      </w:r>
      <w:r w:rsidRPr="00062764">
        <w:rPr>
          <w:sz w:val="32"/>
          <w:szCs w:val="32"/>
        </w:rPr>
        <w:lastRenderedPageBreak/>
        <w:t>overall performance whilst identifying areas for improvement in an evolving global landscape.</w:t>
      </w:r>
    </w:p>
    <w:p w14:paraId="5CA89B8A" w14:textId="77777777" w:rsidR="006D1382" w:rsidRPr="00D07525" w:rsidRDefault="006D1382">
      <w:pPr>
        <w:rPr>
          <w:sz w:val="32"/>
          <w:szCs w:val="32"/>
        </w:rPr>
      </w:pPr>
    </w:p>
    <w:p w14:paraId="01274F75" w14:textId="77777777" w:rsidR="000440DC" w:rsidRPr="000440DC" w:rsidRDefault="000440DC" w:rsidP="000440DC">
      <w:pPr>
        <w:rPr>
          <w:b/>
          <w:bCs/>
          <w:sz w:val="32"/>
          <w:szCs w:val="32"/>
        </w:rPr>
      </w:pPr>
      <w:r w:rsidRPr="000440DC">
        <w:rPr>
          <w:b/>
          <w:bCs/>
          <w:sz w:val="32"/>
          <w:szCs w:val="32"/>
        </w:rPr>
        <w:t>2. Organisational Culture and Its Influence on Structure and Decision-Making</w:t>
      </w:r>
    </w:p>
    <w:p w14:paraId="5C1FFC51" w14:textId="77777777" w:rsidR="000440DC" w:rsidRPr="000440DC" w:rsidRDefault="000440DC" w:rsidP="000440DC">
      <w:pPr>
        <w:rPr>
          <w:sz w:val="32"/>
          <w:szCs w:val="32"/>
          <w:u w:val="single"/>
        </w:rPr>
      </w:pPr>
      <w:r w:rsidRPr="000440DC">
        <w:rPr>
          <w:sz w:val="32"/>
          <w:szCs w:val="32"/>
          <w:u w:val="single"/>
        </w:rPr>
        <w:t>2.1 Cultural Foundations of Toyota’s Organisational Structure</w:t>
      </w:r>
    </w:p>
    <w:p w14:paraId="521F8DD6" w14:textId="77777777" w:rsidR="000440DC" w:rsidRPr="000440DC" w:rsidRDefault="000440DC" w:rsidP="000440DC">
      <w:pPr>
        <w:rPr>
          <w:sz w:val="32"/>
          <w:szCs w:val="32"/>
        </w:rPr>
      </w:pPr>
      <w:r w:rsidRPr="000440DC">
        <w:rPr>
          <w:sz w:val="32"/>
          <w:szCs w:val="32"/>
        </w:rPr>
        <w:t>Toyota’s organisational culture profoundly shapes its structural configuration and decision-making processes. The company’s structure reflects its cultural emphasis on continuous improvement (Kaizen) and respect for people, two pillars of the Toyota Way philosophy (Liker and Hoseus, 2008). Unlike traditional hierarchical structures prevalent in Western automotive manufacturers, Toyota employs a relatively flat organisational structure that facilitates rapid information flow and empowers employees at all levels to identify and solve problems (Dyer and Nobeoka, 2000).</w:t>
      </w:r>
    </w:p>
    <w:p w14:paraId="088806EA" w14:textId="1F912AF4" w:rsidR="00582C8E" w:rsidRDefault="000440DC">
      <w:pPr>
        <w:rPr>
          <w:sz w:val="32"/>
          <w:szCs w:val="32"/>
        </w:rPr>
      </w:pPr>
      <w:r w:rsidRPr="000440DC">
        <w:rPr>
          <w:sz w:val="32"/>
          <w:szCs w:val="32"/>
        </w:rPr>
        <w:t>The cultural principle of “genchi genbutsu” (go and see for yourself) fundamentally influences decision-making by requiring managers to understand situations firsthand rather than relying solely on reports or secondhand information (Liker, 2004). This cultural norm has resulted in a decentralised decision-making structure where frontline employees possess significant autonomy to halt production lines when quality issues arise, exemplifying the integration of cultural values into structural design (Spear and Bowen, 1999). According to Schein (2010), such alignment between culture and structure is essential for organisational effectiveness, as it ensures that formal systems reinforce rather than contradict underlying cultural assumptions.</w:t>
      </w:r>
    </w:p>
    <w:p w14:paraId="18586F92" w14:textId="77777777" w:rsidR="000440DC" w:rsidRDefault="000440DC">
      <w:pPr>
        <w:rPr>
          <w:sz w:val="32"/>
          <w:szCs w:val="32"/>
        </w:rPr>
      </w:pPr>
    </w:p>
    <w:p w14:paraId="1A984127" w14:textId="77777777" w:rsidR="00AE13A7" w:rsidRPr="00AE13A7" w:rsidRDefault="00AE13A7" w:rsidP="00AE13A7">
      <w:pPr>
        <w:rPr>
          <w:sz w:val="32"/>
          <w:szCs w:val="32"/>
          <w:u w:val="single"/>
        </w:rPr>
      </w:pPr>
      <w:r w:rsidRPr="00AE13A7">
        <w:rPr>
          <w:sz w:val="32"/>
          <w:szCs w:val="32"/>
          <w:u w:val="single"/>
        </w:rPr>
        <w:t>2.2 Decision-Making Processes and Cultural Integration</w:t>
      </w:r>
    </w:p>
    <w:p w14:paraId="5E0844E4" w14:textId="77777777" w:rsidR="00AE13A7" w:rsidRPr="00AE13A7" w:rsidRDefault="00AE13A7" w:rsidP="00AE13A7">
      <w:pPr>
        <w:rPr>
          <w:sz w:val="32"/>
          <w:szCs w:val="32"/>
        </w:rPr>
      </w:pPr>
      <w:r w:rsidRPr="00AE13A7">
        <w:rPr>
          <w:sz w:val="32"/>
          <w:szCs w:val="32"/>
        </w:rPr>
        <w:t>Toyota’s decision-making approach reflects its cultural emphasis on consensus-building and long-term thinking. The company employs “nemawashi,” a process of informal consensus-building before formal decisions, ensuring broad organisational buy-in and reducing implementation resistance (Liker and Meier, 2006). This culturally embedded practice contrasts sharply with more autocratic decision-making models and demonstrates how culture shapes not only what decisions are made but how they are reached (Cameron and Quinn, 2011).</w:t>
      </w:r>
    </w:p>
    <w:p w14:paraId="5412A1B5" w14:textId="7E47C2DB" w:rsidR="000440DC" w:rsidRDefault="00AE13A7">
      <w:pPr>
        <w:rPr>
          <w:sz w:val="32"/>
          <w:szCs w:val="32"/>
        </w:rPr>
      </w:pPr>
      <w:r w:rsidRPr="00AE13A7">
        <w:rPr>
          <w:sz w:val="32"/>
          <w:szCs w:val="32"/>
        </w:rPr>
        <w:t>The cultural value placed on continuous improvement manifests in Toyota’s systematic problem-solving methodology, often termed the “A3 process,” which structures decision-making around root cause analysis and countermeasure development (Sobek and Smalley, 2008). This approach ensures decisions are data-driven and aligned with long-term organisational objectives rather than short-term expediency. Research by Dyer and Nobeoka (2000) demonstrates that Toyota’s cultural emphasis on knowledge sharing and collaborative decision-making has created significant competitive advantages through superior organisational learning capabilities.</w:t>
      </w:r>
    </w:p>
    <w:p w14:paraId="23780B45" w14:textId="77777777" w:rsidR="00AE13A7" w:rsidRDefault="00AE13A7">
      <w:pPr>
        <w:rPr>
          <w:sz w:val="32"/>
          <w:szCs w:val="32"/>
        </w:rPr>
      </w:pPr>
    </w:p>
    <w:p w14:paraId="6C98E959" w14:textId="77777777" w:rsidR="00E52A53" w:rsidRPr="00E52A53" w:rsidRDefault="00E52A53" w:rsidP="00E52A53">
      <w:pPr>
        <w:rPr>
          <w:b/>
          <w:bCs/>
          <w:sz w:val="32"/>
          <w:szCs w:val="32"/>
        </w:rPr>
      </w:pPr>
      <w:r w:rsidRPr="00E52A53">
        <w:rPr>
          <w:b/>
          <w:bCs/>
          <w:sz w:val="32"/>
          <w:szCs w:val="32"/>
        </w:rPr>
        <w:t>3. Identifying and Analysing Toyota’s Organisational Culture</w:t>
      </w:r>
    </w:p>
    <w:p w14:paraId="413CF0F8" w14:textId="77777777" w:rsidR="00E52A53" w:rsidRPr="00E52A53" w:rsidRDefault="00E52A53" w:rsidP="00E52A53">
      <w:pPr>
        <w:rPr>
          <w:sz w:val="32"/>
          <w:szCs w:val="32"/>
          <w:u w:val="single"/>
        </w:rPr>
      </w:pPr>
      <w:r w:rsidRPr="00E52A53">
        <w:rPr>
          <w:sz w:val="32"/>
          <w:szCs w:val="32"/>
          <w:u w:val="single"/>
        </w:rPr>
        <w:t>3.1 Application of Schein’s Three-Level Model</w:t>
      </w:r>
    </w:p>
    <w:p w14:paraId="59F53AAD" w14:textId="77777777" w:rsidR="00E52A53" w:rsidRPr="00E52A53" w:rsidRDefault="00E52A53" w:rsidP="00E52A53">
      <w:pPr>
        <w:rPr>
          <w:sz w:val="32"/>
          <w:szCs w:val="32"/>
        </w:rPr>
      </w:pPr>
      <w:r w:rsidRPr="00E52A53">
        <w:rPr>
          <w:sz w:val="32"/>
          <w:szCs w:val="32"/>
        </w:rPr>
        <w:t xml:space="preserve">Schein’s (2010) framework provides a comprehensive lens for analysing Toyota’s organisational culture across three levels: artifacts, espoused values, and basic underlying assumptions. At </w:t>
      </w:r>
      <w:r w:rsidRPr="00E52A53">
        <w:rPr>
          <w:sz w:val="32"/>
          <w:szCs w:val="32"/>
        </w:rPr>
        <w:lastRenderedPageBreak/>
        <w:t>the artifact level, visible manifestations of Toyota’s culture include the physical layout of production facilities designed to facilitate visual management and continuous flow, standardised work procedures prominently displayed throughout facilities, and visual control systems (andon boards) that make problems immediately visible (Liker, 2004).</w:t>
      </w:r>
    </w:p>
    <w:p w14:paraId="2FD8DDDC" w14:textId="77777777" w:rsidR="00E52A53" w:rsidRPr="00E52A53" w:rsidRDefault="00E52A53" w:rsidP="00E52A53">
      <w:pPr>
        <w:rPr>
          <w:sz w:val="32"/>
          <w:szCs w:val="32"/>
        </w:rPr>
      </w:pPr>
      <w:r w:rsidRPr="00E52A53">
        <w:rPr>
          <w:sz w:val="32"/>
          <w:szCs w:val="32"/>
        </w:rPr>
        <w:t>The espoused values level encompasses Toyota’s explicitly stated principles, most notably embodied in the Toyota Way 2001 document, which articulates two central pillars: continuous improvement and respect for people (Liker and Hoseus, 2008). These values are reinforced through extensive training programmes, leadership development initiatives, and performance evaluation systems that emphasise both results and adherence to cultural principles. However, the deepest level—basic underlying assumptions—reveals fundamental beliefs about human nature and organisational purpose that truly distinguish Toyota’s culture (Schein, 2010).</w:t>
      </w:r>
    </w:p>
    <w:p w14:paraId="0C81497D" w14:textId="2DC400B0" w:rsidR="00AE13A7" w:rsidRPr="00D07525" w:rsidRDefault="00E52A53">
      <w:pPr>
        <w:rPr>
          <w:sz w:val="32"/>
          <w:szCs w:val="32"/>
        </w:rPr>
      </w:pPr>
      <w:r w:rsidRPr="00E52A53">
        <w:rPr>
          <w:sz w:val="32"/>
          <w:szCs w:val="32"/>
        </w:rPr>
        <w:t>At this foundational level, Toyota operates on assumptions that employees are inherently motivated to contribute to improvement when provided appropriate support and systems, that quality and efficiency are not trade-offs but mutually reinforcing objectives, and that long-term organisational success depends on developing people rather than merely utilising them as resources (Spear and Bowen, 1999). These assumptions, largely invisible to casual observers, drive behaviours and decisions throughout the organisation and explain the difficulty competitors face in replicating Toyota’s success despite extensive documentation of its practices.</w:t>
      </w:r>
    </w:p>
    <w:p w14:paraId="62AAC2CE" w14:textId="77777777" w:rsidR="008828CE" w:rsidRDefault="008828CE">
      <w:pPr>
        <w:rPr>
          <w:sz w:val="32"/>
          <w:szCs w:val="32"/>
        </w:rPr>
      </w:pPr>
    </w:p>
    <w:p w14:paraId="3ADCBB31" w14:textId="77777777" w:rsidR="00797975" w:rsidRPr="00797975" w:rsidRDefault="00797975" w:rsidP="00797975">
      <w:pPr>
        <w:rPr>
          <w:sz w:val="32"/>
          <w:szCs w:val="32"/>
          <w:u w:val="single"/>
        </w:rPr>
      </w:pPr>
      <w:r w:rsidRPr="00797975">
        <w:rPr>
          <w:sz w:val="32"/>
          <w:szCs w:val="32"/>
          <w:u w:val="single"/>
        </w:rPr>
        <w:lastRenderedPageBreak/>
        <w:t>3.2 Hofstede’s Cultural Dimensions and Toyota’s Context</w:t>
      </w:r>
    </w:p>
    <w:p w14:paraId="41062AC1" w14:textId="77777777" w:rsidR="00797975" w:rsidRPr="00797975" w:rsidRDefault="00797975" w:rsidP="00797975">
      <w:pPr>
        <w:rPr>
          <w:sz w:val="32"/>
          <w:szCs w:val="32"/>
        </w:rPr>
      </w:pPr>
      <w:r w:rsidRPr="00797975">
        <w:rPr>
          <w:sz w:val="32"/>
          <w:szCs w:val="32"/>
        </w:rPr>
        <w:t>Hofstede’s (2011) cultural dimensions framework illuminates how Toyota’s organisational culture reflects and adapts its Japanese national cultural heritage whilst operating globally. Japan scores high on uncertainty avoidance and long-term orientation, characteristics clearly evident in Toyota’s emphasis on standardisation, risk mitigation through extensive planning (reflected in the nemawashi process), and commitment to sustainable long-term growth over short-term profit maximisation (Hofstede, 2011).</w:t>
      </w:r>
    </w:p>
    <w:p w14:paraId="24A313CB" w14:textId="77777777" w:rsidR="00797975" w:rsidRPr="00797975" w:rsidRDefault="00797975" w:rsidP="00797975">
      <w:pPr>
        <w:rPr>
          <w:sz w:val="32"/>
          <w:szCs w:val="32"/>
        </w:rPr>
      </w:pPr>
      <w:r w:rsidRPr="00797975">
        <w:rPr>
          <w:sz w:val="32"/>
          <w:szCs w:val="32"/>
        </w:rPr>
        <w:t>The moderate-to-high collectivism characteristic of Japanese culture manifests in Toyota’s team-based work organisation, emphasis on group harmony, and reward systems that balance individual recognition with team achievements (Liker and Hoseus, 2008). However, Toyota has demonstrated cultural intelligence in adapting these principles across different national contexts, recognising that direct transplantation of Japanese cultural practices may prove ineffective in more individualistic Western cultures (Dyer and Nobeoka, 2000). This cultural adaptation capability represents a critical competency for multinational organisations operating across diverse cultural environments (Cameron and Quinn, 2011).</w:t>
      </w:r>
    </w:p>
    <w:p w14:paraId="6B549507" w14:textId="1F3B18E2" w:rsidR="00E52A53" w:rsidRPr="00D07525" w:rsidRDefault="00797975">
      <w:pPr>
        <w:rPr>
          <w:sz w:val="32"/>
          <w:szCs w:val="32"/>
        </w:rPr>
      </w:pPr>
      <w:r w:rsidRPr="00797975">
        <w:rPr>
          <w:sz w:val="32"/>
          <w:szCs w:val="32"/>
        </w:rPr>
        <w:t>Toyota’s relatively low power distance compared to other Japanese organisations reflects its cultural commitment to respect for people and empowerment of frontline workers, creating a unique organisational culture that blends Japanese national cultural elements with distinctive company-specific values (Hofstede, 2011). This hybrid culture enables Toyota to maintain cultural consistency globally whilst demonstrating sensitivity to local cultural contexts.</w:t>
      </w:r>
    </w:p>
    <w:p w14:paraId="41EF22A1" w14:textId="77777777" w:rsidR="008828CE" w:rsidRDefault="008828CE">
      <w:pPr>
        <w:rPr>
          <w:b/>
          <w:bCs/>
          <w:sz w:val="32"/>
          <w:szCs w:val="32"/>
        </w:rPr>
      </w:pPr>
    </w:p>
    <w:p w14:paraId="4C138EA1" w14:textId="77777777" w:rsidR="00BE2936" w:rsidRPr="00BE2936" w:rsidRDefault="00BE2936" w:rsidP="00BE2936">
      <w:pPr>
        <w:rPr>
          <w:sz w:val="32"/>
          <w:szCs w:val="32"/>
          <w:u w:val="single"/>
        </w:rPr>
      </w:pPr>
      <w:r w:rsidRPr="00BE2936">
        <w:rPr>
          <w:sz w:val="32"/>
          <w:szCs w:val="32"/>
          <w:u w:val="single"/>
        </w:rPr>
        <w:t>3.3 Handy’s Cultural Typology Analysis</w:t>
      </w:r>
    </w:p>
    <w:p w14:paraId="2553895C" w14:textId="77777777" w:rsidR="00BE2936" w:rsidRPr="00BE2936" w:rsidRDefault="00BE2936" w:rsidP="00BE2936">
      <w:pPr>
        <w:rPr>
          <w:sz w:val="32"/>
          <w:szCs w:val="32"/>
        </w:rPr>
      </w:pPr>
      <w:r w:rsidRPr="00BE2936">
        <w:rPr>
          <w:sz w:val="32"/>
          <w:szCs w:val="32"/>
        </w:rPr>
        <w:t>Applying Handy’s (1999) cultural typology, Toyota predominantly exhibits characteristics of a task culture, with significant elements of role culture in certain organisational functions. The task culture orientation is evident in Toyota’s project-based approach to product development, cross-functional team structures, and emphasis on problem-solving competence rather than hierarchical position (Sobek and Smalley, 2008). This cultural type aligns well with Toyota’s operational philosophy, which values expertise, collaboration, and results over formal authority.</w:t>
      </w:r>
    </w:p>
    <w:p w14:paraId="10C96438" w14:textId="77777777" w:rsidR="00BE2936" w:rsidRPr="00BE2936" w:rsidRDefault="00BE2936" w:rsidP="00BE2936">
      <w:pPr>
        <w:rPr>
          <w:sz w:val="32"/>
          <w:szCs w:val="32"/>
        </w:rPr>
      </w:pPr>
      <w:r w:rsidRPr="00BE2936">
        <w:rPr>
          <w:sz w:val="32"/>
          <w:szCs w:val="32"/>
        </w:rPr>
        <w:t>However, elements of role culture appear in Toyota’s strong emphasis on standardised work procedures, clear role definitions, and systematic processes that ensure consistency across global operations (Liker, 2004). This combination creates a balanced culture that provides both the flexibility required for innovation and continuous improvement whilst maintaining the stability necessary for reliable, high-quality production. According to Handy (1999), such cultural hybridity can be advantageous when appropriately managed, though it may also create tensions requiring careful leadership attention.</w:t>
      </w:r>
    </w:p>
    <w:p w14:paraId="72C88366" w14:textId="19166AFF" w:rsidR="00797975" w:rsidRPr="00BE2936" w:rsidRDefault="00BE2936">
      <w:pPr>
        <w:rPr>
          <w:sz w:val="32"/>
          <w:szCs w:val="32"/>
        </w:rPr>
      </w:pPr>
      <w:r w:rsidRPr="00BE2936">
        <w:rPr>
          <w:sz w:val="32"/>
          <w:szCs w:val="32"/>
        </w:rPr>
        <w:t>The relative absence of power culture characteristics distinguishes Toyota from many traditional manufacturing organisations and reflects its cultural commitment to distributing authority and expertise throughout the organisation rather than concentrating power at higher hierarchical levels (Spear and Bowen, 1999).</w:t>
      </w:r>
    </w:p>
    <w:p w14:paraId="092CC56C" w14:textId="77777777" w:rsidR="00EF60C2" w:rsidRDefault="00EF60C2">
      <w:pPr>
        <w:rPr>
          <w:b/>
          <w:bCs/>
          <w:sz w:val="32"/>
          <w:szCs w:val="32"/>
        </w:rPr>
      </w:pPr>
    </w:p>
    <w:p w14:paraId="25BE2DD4" w14:textId="77777777" w:rsidR="00626C67" w:rsidRPr="00626C67" w:rsidRDefault="00626C67" w:rsidP="00626C67">
      <w:pPr>
        <w:rPr>
          <w:b/>
          <w:bCs/>
          <w:sz w:val="32"/>
          <w:szCs w:val="32"/>
        </w:rPr>
      </w:pPr>
      <w:r w:rsidRPr="00626C67">
        <w:rPr>
          <w:b/>
          <w:bCs/>
          <w:sz w:val="32"/>
          <w:szCs w:val="32"/>
        </w:rPr>
        <w:t>4. Cultural Adaptation to External Environment</w:t>
      </w:r>
    </w:p>
    <w:p w14:paraId="0BF0E32E" w14:textId="77777777" w:rsidR="00626C67" w:rsidRPr="00626C67" w:rsidRDefault="00626C67" w:rsidP="00626C67">
      <w:pPr>
        <w:rPr>
          <w:sz w:val="32"/>
          <w:szCs w:val="32"/>
          <w:u w:val="single"/>
        </w:rPr>
      </w:pPr>
      <w:r w:rsidRPr="00626C67">
        <w:rPr>
          <w:sz w:val="32"/>
          <w:szCs w:val="32"/>
          <w:u w:val="single"/>
        </w:rPr>
        <w:t>4.1 Leveraging Culture for Environmental Responsiveness</w:t>
      </w:r>
    </w:p>
    <w:p w14:paraId="334801ED" w14:textId="77777777" w:rsidR="00626C67" w:rsidRPr="00626C67" w:rsidRDefault="00626C67" w:rsidP="00626C67">
      <w:pPr>
        <w:rPr>
          <w:sz w:val="32"/>
          <w:szCs w:val="32"/>
        </w:rPr>
      </w:pPr>
      <w:r w:rsidRPr="00626C67">
        <w:rPr>
          <w:sz w:val="32"/>
          <w:szCs w:val="32"/>
        </w:rPr>
        <w:t>Toyota strategically utilises its organisational culture to adapt to dynamic external environmental challenges, demonstrating what Kotter and Heskett (1992) term an “adaptive culture” capable of responding effectively to changing circumstances. The cultural emphasis on continuous improvement and systematic problem-solving provides organisational agility that enables rapid response to environmental shifts including technological disruptions, regulatory changes, and evolving consumer preferences (Liker and Meier, 2006).</w:t>
      </w:r>
    </w:p>
    <w:p w14:paraId="64B0B1F5" w14:textId="6C7EACFF" w:rsidR="00BE2936" w:rsidRDefault="00626C67">
      <w:pPr>
        <w:rPr>
          <w:sz w:val="32"/>
          <w:szCs w:val="32"/>
        </w:rPr>
      </w:pPr>
      <w:r w:rsidRPr="00626C67">
        <w:rPr>
          <w:sz w:val="32"/>
          <w:szCs w:val="32"/>
        </w:rPr>
        <w:t>The recent transition toward electric vehicle (EV) production illustrates this cultural adaptability. Despite initial scepticism about full battery electric vehicles, Toyota has leveraged its culture of data-driven decision-making and long-term thinking to develop a multi-pathway electrification strategy encompassing hybrid, plug-in hybrid, battery electric, and hydrogen fuel cell technologies (Toyota Motor Corporation, 2023). This approach reflects cultural values of thorough analysis, risk management, and avoiding premature commitment to single solutions—characteristics that distinguish Toyota’s strategic approach from competitors pursuing more aggressive but potentially riskier singular technology strategies.</w:t>
      </w:r>
    </w:p>
    <w:p w14:paraId="1F3F93A6" w14:textId="77777777" w:rsidR="00626C67" w:rsidRDefault="00626C67">
      <w:pPr>
        <w:rPr>
          <w:sz w:val="32"/>
          <w:szCs w:val="32"/>
        </w:rPr>
      </w:pPr>
    </w:p>
    <w:p w14:paraId="4D1920E2" w14:textId="77777777" w:rsidR="00B915B7" w:rsidRPr="00B915B7" w:rsidRDefault="00B915B7" w:rsidP="00B915B7">
      <w:pPr>
        <w:rPr>
          <w:sz w:val="32"/>
          <w:szCs w:val="32"/>
          <w:u w:val="single"/>
        </w:rPr>
      </w:pPr>
      <w:r w:rsidRPr="00B915B7">
        <w:rPr>
          <w:sz w:val="32"/>
          <w:szCs w:val="32"/>
          <w:u w:val="single"/>
        </w:rPr>
        <w:t>4.2 Cultural Mechanisms for Environmental Scanning</w:t>
      </w:r>
    </w:p>
    <w:p w14:paraId="580F595D" w14:textId="77777777" w:rsidR="00B915B7" w:rsidRPr="00B915B7" w:rsidRDefault="00B915B7" w:rsidP="00B915B7">
      <w:pPr>
        <w:rPr>
          <w:sz w:val="32"/>
          <w:szCs w:val="32"/>
        </w:rPr>
      </w:pPr>
      <w:r w:rsidRPr="00B915B7">
        <w:rPr>
          <w:sz w:val="32"/>
          <w:szCs w:val="32"/>
        </w:rPr>
        <w:t>Toyota’s culture facilitates environmental adaptation through several embedded mechanisms. The genchi genbutsu principle ensures leadership maintains direct contact with market realities, customer needs, and competitive developments rather than becoming isolated within corporate headquarters (Liker, 2004). This cultural practice enhances environmental scanning effectiveness and reduces the risk of strategic blindness that can afflict large, successful organisations (Cameron and Quinn, 2011).</w:t>
      </w:r>
    </w:p>
    <w:p w14:paraId="36250201" w14:textId="5FE427C4" w:rsidR="00626C67" w:rsidRDefault="00B915B7">
      <w:pPr>
        <w:rPr>
          <w:sz w:val="32"/>
          <w:szCs w:val="32"/>
        </w:rPr>
      </w:pPr>
      <w:r w:rsidRPr="00B915B7">
        <w:rPr>
          <w:sz w:val="32"/>
          <w:szCs w:val="32"/>
        </w:rPr>
        <w:t>Additionally, Toyota’s culture of knowledge creation and sharing, supported by extensive networks of suppliers, dealers, and research partners, provides rich environmental intelligence that informs strategic adaptation (Dyer and Nobeoka, 2000). The company’s emphasis on long-term relationship building creates information channels that transcend formal market research, providing deeper insights into emerging trends and potential disruptions (Liker and Hoseus, 2008). Research by Kotter and Heskett (1992) demonstrates that organisations with cultures emphasising external orientation and adaptability consistently outperform those with more internally focused cultures.</w:t>
      </w:r>
    </w:p>
    <w:p w14:paraId="117B2F2A" w14:textId="77777777" w:rsidR="00B915B7" w:rsidRDefault="00B915B7">
      <w:pPr>
        <w:rPr>
          <w:sz w:val="32"/>
          <w:szCs w:val="32"/>
        </w:rPr>
      </w:pPr>
    </w:p>
    <w:p w14:paraId="109F40E8" w14:textId="77777777" w:rsidR="00DD3F50" w:rsidRPr="00DD3F50" w:rsidRDefault="00DD3F50" w:rsidP="00DD3F50">
      <w:pPr>
        <w:rPr>
          <w:b/>
          <w:bCs/>
          <w:sz w:val="32"/>
          <w:szCs w:val="32"/>
        </w:rPr>
      </w:pPr>
      <w:r w:rsidRPr="00DD3F50">
        <w:rPr>
          <w:b/>
          <w:bCs/>
          <w:sz w:val="32"/>
          <w:szCs w:val="32"/>
        </w:rPr>
        <w:t>5. Organisational Culture as a Potential Barrier</w:t>
      </w:r>
    </w:p>
    <w:p w14:paraId="4889B85B" w14:textId="77777777" w:rsidR="00DD3F50" w:rsidRPr="00DD3F50" w:rsidRDefault="00DD3F50" w:rsidP="00DD3F50">
      <w:pPr>
        <w:rPr>
          <w:sz w:val="32"/>
          <w:szCs w:val="32"/>
          <w:u w:val="single"/>
        </w:rPr>
      </w:pPr>
      <w:r w:rsidRPr="00DD3F50">
        <w:rPr>
          <w:sz w:val="32"/>
          <w:szCs w:val="32"/>
          <w:u w:val="single"/>
        </w:rPr>
        <w:t>5.1 Cultural Strengths Becoming Weaknesses</w:t>
      </w:r>
    </w:p>
    <w:p w14:paraId="66725E1D" w14:textId="77777777" w:rsidR="00DD3F50" w:rsidRPr="00DD3F50" w:rsidRDefault="00DD3F50" w:rsidP="00DD3F50">
      <w:pPr>
        <w:rPr>
          <w:sz w:val="32"/>
          <w:szCs w:val="32"/>
        </w:rPr>
      </w:pPr>
      <w:r w:rsidRPr="00DD3F50">
        <w:rPr>
          <w:sz w:val="32"/>
          <w:szCs w:val="32"/>
        </w:rPr>
        <w:t>Despite its many advantages, Toyota’s organisational culture presents potential barriers to effectiveness in certain contexts. The strong cultural emphasis on consensus-building and nemawashi, whilst ensuring buy-in and reducing implementation resistance, can slow decision-making processes in situations requiring rapid response (Liker and Meier, 2006). In today’s fast-paced automotive industry, particularly regarding technological disruption and digital transformation, this cultural characteristic may disadvantage Toyota relative to more agile competitors or new entrants unburdened by established cultural practices (Schein, 2010).</w:t>
      </w:r>
    </w:p>
    <w:p w14:paraId="7E8A5256" w14:textId="4C915D52" w:rsidR="00B915B7" w:rsidRDefault="00DD3F50">
      <w:pPr>
        <w:rPr>
          <w:sz w:val="32"/>
          <w:szCs w:val="32"/>
        </w:rPr>
      </w:pPr>
      <w:r w:rsidRPr="00DD3F50">
        <w:rPr>
          <w:sz w:val="32"/>
          <w:szCs w:val="32"/>
        </w:rPr>
        <w:t>The 2009-2010 recall crisis partially stemmed from cultural factors, as Toyota’s emphasis on continuous improvement and problem-solving may have contributed to a culture of minimising or rationalising quality issues rather than immediately escalating them (Liker and Ogden, 2011). This example demonstrates how strong cultures can become insular and defensive, particularly when success breeds overconfidence in established practices. According to Cameron and Quinn (2011), this phenomenon represents a common challenge for organisations with historically successful cultures that may become resistant to fundamental change.</w:t>
      </w:r>
    </w:p>
    <w:p w14:paraId="7FF91D07" w14:textId="77777777" w:rsidR="00DD3F50" w:rsidRDefault="00DD3F50">
      <w:pPr>
        <w:rPr>
          <w:sz w:val="32"/>
          <w:szCs w:val="32"/>
        </w:rPr>
      </w:pPr>
    </w:p>
    <w:p w14:paraId="350496AE" w14:textId="77777777" w:rsidR="00B72543" w:rsidRPr="00B72543" w:rsidRDefault="00B72543" w:rsidP="00B72543">
      <w:pPr>
        <w:rPr>
          <w:sz w:val="32"/>
          <w:szCs w:val="32"/>
          <w:u w:val="single"/>
        </w:rPr>
      </w:pPr>
      <w:r w:rsidRPr="00B72543">
        <w:rPr>
          <w:sz w:val="32"/>
          <w:szCs w:val="32"/>
          <w:u w:val="single"/>
        </w:rPr>
        <w:t>5.2 Cultural Barriers to Innovation and Diversity</w:t>
      </w:r>
    </w:p>
    <w:p w14:paraId="0C156B34" w14:textId="77777777" w:rsidR="00B72543" w:rsidRPr="00B72543" w:rsidRDefault="00B72543" w:rsidP="00B72543">
      <w:pPr>
        <w:rPr>
          <w:sz w:val="32"/>
          <w:szCs w:val="32"/>
        </w:rPr>
      </w:pPr>
      <w:r w:rsidRPr="00B72543">
        <w:rPr>
          <w:sz w:val="32"/>
          <w:szCs w:val="32"/>
        </w:rPr>
        <w:t>Toyota’s cultural emphasis on standardisation, systematic processes, and incremental improvement, whilst delivering exceptional operational performance, may inhibit the radical innovation and entrepreneurial risk-taking increasingly necessary in the automotive industry’s transformation toward autonomous and connected vehicles (Christensen, 1997). The cultural reverence for proven methodologies and deep expertise may create resistance to fundamentally different approaches or technologies that lack established track records.</w:t>
      </w:r>
    </w:p>
    <w:p w14:paraId="0F067B60" w14:textId="2CBE6323" w:rsidR="00DD3F50" w:rsidRDefault="00B72543">
      <w:pPr>
        <w:rPr>
          <w:sz w:val="32"/>
          <w:szCs w:val="32"/>
        </w:rPr>
      </w:pPr>
      <w:r w:rsidRPr="00B72543">
        <w:rPr>
          <w:sz w:val="32"/>
          <w:szCs w:val="32"/>
        </w:rPr>
        <w:t>Furthermore, Toyota’s culturally homogeneous Japanese leadership and decision-making structures may present barriers to fully leveraging its diverse global workforce (Hofstede, 2011). Despite operating in numerous countries, key strategic decisions remain concentrated in Japan, potentially limiting the incorporation of diverse perspectives and local market insights that could enhance global competitiveness (Liker and Hoseus, 2008). Research by Mullins and Christy (2016) emphasises that managing cultural diversity effectively requires not only acknowledging differences but actively leveraging them for enhanced organisational capability—an area where Toyota’s strong cultural identity may prove constraining.</w:t>
      </w:r>
    </w:p>
    <w:p w14:paraId="2C8A1B43" w14:textId="77777777" w:rsidR="00B72543" w:rsidRDefault="00B72543">
      <w:pPr>
        <w:rPr>
          <w:sz w:val="32"/>
          <w:szCs w:val="32"/>
        </w:rPr>
      </w:pPr>
    </w:p>
    <w:p w14:paraId="063805C7" w14:textId="77777777" w:rsidR="000B5F91" w:rsidRPr="000B5F91" w:rsidRDefault="000B5F91" w:rsidP="000B5F91">
      <w:pPr>
        <w:rPr>
          <w:b/>
          <w:bCs/>
          <w:sz w:val="32"/>
          <w:szCs w:val="32"/>
        </w:rPr>
      </w:pPr>
      <w:r w:rsidRPr="000B5F91">
        <w:rPr>
          <w:b/>
          <w:bCs/>
          <w:sz w:val="32"/>
          <w:szCs w:val="32"/>
        </w:rPr>
        <w:t>6. Impact on Organisational Performance and Recommendations</w:t>
      </w:r>
    </w:p>
    <w:p w14:paraId="2E4261EF" w14:textId="77777777" w:rsidR="000B5F91" w:rsidRPr="000B5F91" w:rsidRDefault="000B5F91" w:rsidP="000B5F91">
      <w:pPr>
        <w:rPr>
          <w:sz w:val="32"/>
          <w:szCs w:val="32"/>
          <w:u w:val="single"/>
        </w:rPr>
      </w:pPr>
      <w:r w:rsidRPr="000B5F91">
        <w:rPr>
          <w:sz w:val="32"/>
          <w:szCs w:val="32"/>
          <w:u w:val="single"/>
        </w:rPr>
        <w:t>6.1 Performance Impacts of Toyota’s Culture</w:t>
      </w:r>
    </w:p>
    <w:p w14:paraId="43B3E1F8" w14:textId="77777777" w:rsidR="000B5F91" w:rsidRPr="000B5F91" w:rsidRDefault="000B5F91" w:rsidP="000B5F91">
      <w:pPr>
        <w:rPr>
          <w:sz w:val="32"/>
          <w:szCs w:val="32"/>
        </w:rPr>
      </w:pPr>
      <w:r w:rsidRPr="000B5F91">
        <w:rPr>
          <w:sz w:val="32"/>
          <w:szCs w:val="32"/>
        </w:rPr>
        <w:t>Toyota’s organisational culture has demonstrably positive impacts on multiple performance dimensions. The cultural emphasis on quality and continuous improvement has resulted in industry-leading quality ratings, with Toyota consistently ranking among the top automotive brands in reliability and customer satisfaction surveys (J.D. Power, 2023). The culture’s focus on efficiency and waste elimination has delivered superior operational performance, reflected in higher profit margins and return on assets compared to most competitors (Toyota Motor Corporation, 2023).</w:t>
      </w:r>
    </w:p>
    <w:p w14:paraId="66F0C042" w14:textId="77777777" w:rsidR="000B5F91" w:rsidRPr="000B5F91" w:rsidRDefault="000B5F91" w:rsidP="000B5F91">
      <w:pPr>
        <w:rPr>
          <w:sz w:val="32"/>
          <w:szCs w:val="32"/>
        </w:rPr>
      </w:pPr>
      <w:r w:rsidRPr="000B5F91">
        <w:rPr>
          <w:sz w:val="32"/>
          <w:szCs w:val="32"/>
        </w:rPr>
        <w:t>Employee engagement and retention metrics also reflect positive cultural impacts, with Toyota facilities typically experiencing lower turnover and higher employee satisfaction than industry averages (Liker and Hoseus, 2008). This stems from the cultural emphasis on respect for people, investment in employee development, and creation of meaningful work through problem-solving empowerment. Research by Kotter and Heskett (1992) demonstrates strong positive correlations between adaptive organisational cultures and long-term financial performance, supporting the business case for Toyota’s cultural investments.</w:t>
      </w:r>
    </w:p>
    <w:p w14:paraId="687021DA" w14:textId="3D0C83A9" w:rsidR="00B72543" w:rsidRDefault="000B5F91">
      <w:pPr>
        <w:rPr>
          <w:sz w:val="32"/>
          <w:szCs w:val="32"/>
        </w:rPr>
      </w:pPr>
      <w:r w:rsidRPr="000B5F91">
        <w:rPr>
          <w:sz w:val="32"/>
          <w:szCs w:val="32"/>
        </w:rPr>
        <w:t>However, recent performance challenges, including slower response to electrification trends and difficulties competing in software and digital services, suggest cultural factors may be constraining performance in emerging competitive dimensions (Toyota Motor Corporation, 2023). Market capitalisation comparisons with Tesla and other new entrants indicate investor concerns about Toyota’s ability to thrive in the industry’s transformed future state, potentially reflecting cultural barriers to radical innovation.</w:t>
      </w:r>
    </w:p>
    <w:p w14:paraId="0AE9E672" w14:textId="77777777" w:rsidR="000B5F91" w:rsidRDefault="000B5F91">
      <w:pPr>
        <w:rPr>
          <w:sz w:val="32"/>
          <w:szCs w:val="32"/>
        </w:rPr>
      </w:pPr>
    </w:p>
    <w:p w14:paraId="4D929D06" w14:textId="77777777" w:rsidR="00AF0FFB" w:rsidRPr="00D96DB7" w:rsidRDefault="00AF0FFB" w:rsidP="00AF0FFB">
      <w:pPr>
        <w:rPr>
          <w:b/>
          <w:bCs/>
          <w:sz w:val="32"/>
          <w:szCs w:val="32"/>
        </w:rPr>
      </w:pPr>
      <w:r w:rsidRPr="00D96DB7">
        <w:rPr>
          <w:b/>
          <w:bCs/>
          <w:sz w:val="32"/>
          <w:szCs w:val="32"/>
        </w:rPr>
        <w:t>6.2 Recommendations for Cultural Enhancement</w:t>
      </w:r>
    </w:p>
    <w:p w14:paraId="0C9ECE31" w14:textId="77777777" w:rsidR="00AF0FFB" w:rsidRPr="00D96DB7" w:rsidRDefault="00AF0FFB" w:rsidP="00AF0FFB">
      <w:pPr>
        <w:rPr>
          <w:sz w:val="32"/>
          <w:szCs w:val="32"/>
          <w:u w:val="single"/>
        </w:rPr>
      </w:pPr>
      <w:r w:rsidRPr="00D96DB7">
        <w:rPr>
          <w:sz w:val="32"/>
          <w:szCs w:val="32"/>
          <w:u w:val="single"/>
        </w:rPr>
        <w:t>Recommendation 1: Cultivate Ambidextrous Culture</w:t>
      </w:r>
    </w:p>
    <w:p w14:paraId="3DC7BC1C" w14:textId="4358ED91" w:rsidR="000B5F91" w:rsidRDefault="00AF0FFB">
      <w:pPr>
        <w:rPr>
          <w:sz w:val="32"/>
          <w:szCs w:val="32"/>
        </w:rPr>
      </w:pPr>
      <w:r w:rsidRPr="00AF0FFB">
        <w:rPr>
          <w:sz w:val="32"/>
          <w:szCs w:val="32"/>
        </w:rPr>
        <w:t>Toyota should consciously develop what O’Reilly and Tushman (2013) term “organisational ambidexterity”—the ability to simultaneously exploit existing capabilities through incremental improvement whilst exploring radically new approaches. This requires creating protected spaces within the organisation where different cultural norms favouring rapid experimentation, acceptance of failure, and entrepreneurial risk-taking can coexist with traditional Toyota culture. The company’s recent establishment of separate business units for software development and new mobility services represents steps in this direction but requires sustained cultural support to succeed.</w:t>
      </w:r>
    </w:p>
    <w:p w14:paraId="4D36A7D9" w14:textId="77777777" w:rsidR="00D96DB7" w:rsidRDefault="00D96DB7">
      <w:pPr>
        <w:rPr>
          <w:sz w:val="32"/>
          <w:szCs w:val="32"/>
        </w:rPr>
      </w:pPr>
    </w:p>
    <w:p w14:paraId="134650E4" w14:textId="77777777" w:rsidR="00E27108" w:rsidRPr="00E27108" w:rsidRDefault="00E27108" w:rsidP="00E27108">
      <w:pPr>
        <w:rPr>
          <w:sz w:val="32"/>
          <w:szCs w:val="32"/>
          <w:u w:val="single"/>
        </w:rPr>
      </w:pPr>
      <w:r w:rsidRPr="00E27108">
        <w:rPr>
          <w:sz w:val="32"/>
          <w:szCs w:val="32"/>
          <w:u w:val="single"/>
        </w:rPr>
        <w:t>Recommendation 2: Enhance Cultural Diversity in Leadership</w:t>
      </w:r>
    </w:p>
    <w:p w14:paraId="0B99E4B7" w14:textId="77777777" w:rsidR="00E27108" w:rsidRPr="00E27108" w:rsidRDefault="00E27108" w:rsidP="00E27108">
      <w:pPr>
        <w:rPr>
          <w:sz w:val="32"/>
          <w:szCs w:val="32"/>
        </w:rPr>
      </w:pPr>
      <w:r w:rsidRPr="00E27108">
        <w:rPr>
          <w:sz w:val="32"/>
          <w:szCs w:val="32"/>
        </w:rPr>
        <w:t>Toyota should accelerate the diversification of its senior leadership team, both in terms of nationality and functional background, to better reflect its global operations and leverage diverse perspectives in strategic decision-making (Mullins and Christy, 2016). This recommendation extends beyond demographic representation to include genuine integration of diverse viewpoints into cultural norms and decision processes. Establishing regional strategy centres with genuine authority and ensuring non-Japanese executives participate meaningfully in nemawashi processes would demonstrate commitment to cultural evolution.</w:t>
      </w:r>
    </w:p>
    <w:p w14:paraId="4BA09A18" w14:textId="77777777" w:rsidR="00E27108" w:rsidRDefault="00E27108" w:rsidP="00E27108">
      <w:pPr>
        <w:rPr>
          <w:sz w:val="32"/>
          <w:szCs w:val="32"/>
          <w:u w:val="single"/>
        </w:rPr>
      </w:pPr>
    </w:p>
    <w:p w14:paraId="29E80890" w14:textId="5F4B6558" w:rsidR="00E27108" w:rsidRPr="00E27108" w:rsidRDefault="00E27108" w:rsidP="00E27108">
      <w:pPr>
        <w:rPr>
          <w:sz w:val="32"/>
          <w:szCs w:val="32"/>
          <w:u w:val="single"/>
        </w:rPr>
      </w:pPr>
      <w:r w:rsidRPr="00E27108">
        <w:rPr>
          <w:sz w:val="32"/>
          <w:szCs w:val="32"/>
          <w:u w:val="single"/>
        </w:rPr>
        <w:t>Recommendation 3: Adapt Decision-Making Velocity</w:t>
      </w:r>
    </w:p>
    <w:p w14:paraId="459D4C1C" w14:textId="77777777" w:rsidR="00E27108" w:rsidRPr="00E27108" w:rsidRDefault="00E27108" w:rsidP="00E27108">
      <w:pPr>
        <w:rPr>
          <w:sz w:val="32"/>
          <w:szCs w:val="32"/>
        </w:rPr>
      </w:pPr>
      <w:r w:rsidRPr="00E27108">
        <w:rPr>
          <w:sz w:val="32"/>
          <w:szCs w:val="32"/>
        </w:rPr>
        <w:t>Whilst preserving valuable cultural elements of consensus-building and thorough analysis, Toyota should develop differentiated decision-making approaches based on decision characteristics (Liker and Meier, 2006). Strategic decisions with long-term implications appropriately warrant extensive nemawashi, but tactical and operational decisions in rapidly evolving domains should employ accelerated processes. Creating explicit cultural permission for “appropriate speed” decision-making, rather than uniform application of traditional processes, would enhance organisational agility without abandoning cultural strengths.</w:t>
      </w:r>
    </w:p>
    <w:p w14:paraId="29D110D1" w14:textId="77777777" w:rsidR="00E27108" w:rsidRDefault="00E27108" w:rsidP="00E27108">
      <w:pPr>
        <w:rPr>
          <w:sz w:val="32"/>
          <w:szCs w:val="32"/>
          <w:u w:val="single"/>
        </w:rPr>
      </w:pPr>
    </w:p>
    <w:p w14:paraId="3E7DB92B" w14:textId="6A7BC8BE" w:rsidR="00E27108" w:rsidRPr="00E27108" w:rsidRDefault="00E27108" w:rsidP="00E27108">
      <w:pPr>
        <w:rPr>
          <w:sz w:val="32"/>
          <w:szCs w:val="32"/>
          <w:u w:val="single"/>
        </w:rPr>
      </w:pPr>
      <w:r w:rsidRPr="00E27108">
        <w:rPr>
          <w:sz w:val="32"/>
          <w:szCs w:val="32"/>
          <w:u w:val="single"/>
        </w:rPr>
        <w:t>Recommendation 4: Strengthen External Cultural Orientation</w:t>
      </w:r>
    </w:p>
    <w:p w14:paraId="4A25AD82" w14:textId="78358F25" w:rsidR="00D96DB7" w:rsidRDefault="00E27108">
      <w:pPr>
        <w:rPr>
          <w:sz w:val="32"/>
          <w:szCs w:val="32"/>
        </w:rPr>
      </w:pPr>
      <w:r w:rsidRPr="00E27108">
        <w:rPr>
          <w:sz w:val="32"/>
          <w:szCs w:val="32"/>
        </w:rPr>
        <w:t>Toyota should enhance cultural mechanisms for external engagement, particularly with technology companies, startups, and non-automotive industries from which disruptive innovations may emerge (Cameron and Quinn, 2011). This requires cultural openness to “not invented here” solutions and willingness to learn from organisations with fundamentally different cultural approaches. Expanded partnership strategies, corporate venture investments, and cultural exchange programmes would support this cultural evolution.</w:t>
      </w:r>
    </w:p>
    <w:p w14:paraId="58916E11" w14:textId="77777777" w:rsidR="004F5C9F" w:rsidRDefault="004F5C9F">
      <w:pPr>
        <w:rPr>
          <w:sz w:val="32"/>
          <w:szCs w:val="32"/>
        </w:rPr>
      </w:pPr>
    </w:p>
    <w:p w14:paraId="3417C3A7" w14:textId="77777777" w:rsidR="004F5C9F" w:rsidRDefault="004F5C9F">
      <w:pPr>
        <w:rPr>
          <w:sz w:val="32"/>
          <w:szCs w:val="32"/>
        </w:rPr>
      </w:pPr>
    </w:p>
    <w:p w14:paraId="7F00CDAF" w14:textId="77777777" w:rsidR="004F5C9F" w:rsidRPr="004F5C9F" w:rsidRDefault="004F5C9F" w:rsidP="004F5C9F">
      <w:pPr>
        <w:rPr>
          <w:b/>
          <w:bCs/>
          <w:sz w:val="32"/>
          <w:szCs w:val="32"/>
        </w:rPr>
      </w:pPr>
      <w:r w:rsidRPr="004F5C9F">
        <w:rPr>
          <w:b/>
          <w:bCs/>
          <w:sz w:val="32"/>
          <w:szCs w:val="32"/>
        </w:rPr>
        <w:t>7. Conclusion</w:t>
      </w:r>
    </w:p>
    <w:p w14:paraId="5CDF9D0C" w14:textId="77777777" w:rsidR="004F5C9F" w:rsidRPr="004F5C9F" w:rsidRDefault="004F5C9F" w:rsidP="004F5C9F">
      <w:pPr>
        <w:rPr>
          <w:sz w:val="32"/>
          <w:szCs w:val="32"/>
        </w:rPr>
      </w:pPr>
      <w:r w:rsidRPr="004F5C9F">
        <w:rPr>
          <w:sz w:val="32"/>
          <w:szCs w:val="32"/>
        </w:rPr>
        <w:t>This analysis demonstrates that Toyota’s organisational culture represents both a significant competitive advantage and potential constraint on future success. The company’s culture, rooted in continuous improvement and respect for people, has shaped organisational structures and decision-making processes that deliver exceptional operational performance, quality, and employee engagement. Application of Schein’s, Hofstede’s, and Handy’s frameworks reveals a complex, hybrid culture that effectively blends Japanese national cultural elements with distinctive organisational values.</w:t>
      </w:r>
    </w:p>
    <w:p w14:paraId="0998B38C" w14:textId="77777777" w:rsidR="004F5C9F" w:rsidRPr="004F5C9F" w:rsidRDefault="004F5C9F" w:rsidP="004F5C9F">
      <w:pPr>
        <w:rPr>
          <w:sz w:val="32"/>
          <w:szCs w:val="32"/>
        </w:rPr>
      </w:pPr>
      <w:r w:rsidRPr="004F5C9F">
        <w:rPr>
          <w:sz w:val="32"/>
          <w:szCs w:val="32"/>
        </w:rPr>
        <w:t>Toyota has demonstrated impressive cultural adaptability in responding to external environmental challenges, leveraging cultural mechanisms for environmental scanning and strategic response. However, cultural characteristics that previously drove success may increasingly present barriers to effectiveness, particularly regarding decision-making velocity, radical innovation, and full utilisation of global diversity. The automotive industry’s profound transformation toward electrification, autonomy, and digital services demands cultural evolution to complement Toyota’s traditional strengths.</w:t>
      </w:r>
    </w:p>
    <w:p w14:paraId="060C848A" w14:textId="422CC1B3" w:rsidR="004F5C9F" w:rsidRDefault="004F5C9F">
      <w:pPr>
        <w:rPr>
          <w:sz w:val="32"/>
          <w:szCs w:val="32"/>
        </w:rPr>
      </w:pPr>
      <w:r w:rsidRPr="004F5C9F">
        <w:rPr>
          <w:sz w:val="32"/>
          <w:szCs w:val="32"/>
        </w:rPr>
        <w:t>The recommendations provided emphasise developing cultural ambidexterity, enhancing leadership diversity, adapting decision-making approaches, and strengthening external orientation. These cultural enhancements would position Toyota to sustain its performance advantages whilst developing capabilities necessary for future competitive success. Ultimately, Toyota’s experience illustrates the dynamic nature of organisational culture: what worked historically may require thoughtful evolution to remain effective in fundamentally changed circumstances, whilst preserving core cultural values that provide enduring identity and competitive advantage.</w:t>
      </w:r>
    </w:p>
    <w:p w14:paraId="595BAB5B" w14:textId="77777777" w:rsidR="004F5C9F" w:rsidRDefault="004F5C9F">
      <w:pPr>
        <w:rPr>
          <w:sz w:val="32"/>
          <w:szCs w:val="32"/>
        </w:rPr>
      </w:pPr>
    </w:p>
    <w:p w14:paraId="4F34C3CB" w14:textId="77777777" w:rsidR="004F5C9F" w:rsidRDefault="004F5C9F">
      <w:pPr>
        <w:rPr>
          <w:sz w:val="32"/>
          <w:szCs w:val="32"/>
        </w:rPr>
      </w:pPr>
    </w:p>
    <w:p w14:paraId="00C65E43" w14:textId="77777777" w:rsidR="00C51D20" w:rsidRPr="00C51D20" w:rsidRDefault="00C51D20" w:rsidP="00C51D20">
      <w:pPr>
        <w:rPr>
          <w:b/>
          <w:bCs/>
          <w:sz w:val="32"/>
          <w:szCs w:val="32"/>
        </w:rPr>
      </w:pPr>
      <w:r w:rsidRPr="00C51D20">
        <w:rPr>
          <w:b/>
          <w:bCs/>
          <w:sz w:val="32"/>
          <w:szCs w:val="32"/>
        </w:rPr>
        <w:t>References</w:t>
      </w:r>
    </w:p>
    <w:p w14:paraId="551AEBC2" w14:textId="77777777" w:rsidR="00C51D20" w:rsidRPr="00C51D20" w:rsidRDefault="00C51D20" w:rsidP="00C51D20">
      <w:pPr>
        <w:rPr>
          <w:sz w:val="32"/>
          <w:szCs w:val="32"/>
        </w:rPr>
      </w:pPr>
      <w:r w:rsidRPr="00C51D20">
        <w:rPr>
          <w:sz w:val="32"/>
          <w:szCs w:val="32"/>
        </w:rPr>
        <w:t>Cameron, K.S. and Quinn, R.E. (2011) Diagnosing and Changing Organizational Culture: Based on the Competing Values Framework. 3rd edn. San Francisco: Jossey-Bass.</w:t>
      </w:r>
    </w:p>
    <w:p w14:paraId="04D34CE5" w14:textId="77777777" w:rsidR="00C51D20" w:rsidRPr="00C51D20" w:rsidRDefault="00C51D20" w:rsidP="00C51D20">
      <w:pPr>
        <w:rPr>
          <w:sz w:val="32"/>
          <w:szCs w:val="32"/>
        </w:rPr>
      </w:pPr>
      <w:r w:rsidRPr="00C51D20">
        <w:rPr>
          <w:sz w:val="32"/>
          <w:szCs w:val="32"/>
        </w:rPr>
        <w:t>Christensen, C.M. (1997) The Innovator’s Dilemma: When New Technologies Cause Great Firms to Fail. Boston: Harvard Business School Press.</w:t>
      </w:r>
    </w:p>
    <w:p w14:paraId="39399CD9" w14:textId="77777777" w:rsidR="00C51D20" w:rsidRPr="00C51D20" w:rsidRDefault="00C51D20" w:rsidP="00C51D20">
      <w:pPr>
        <w:rPr>
          <w:sz w:val="32"/>
          <w:szCs w:val="32"/>
        </w:rPr>
      </w:pPr>
      <w:r w:rsidRPr="00C51D20">
        <w:rPr>
          <w:sz w:val="32"/>
          <w:szCs w:val="32"/>
        </w:rPr>
        <w:t>Dyer, J.H. and Nobeoka, K. (2000) ‘Creating and managing a high-performance knowledge-sharing network: The Toyota case’, Strategic Management Journal, 21(3), pp. 345-367.</w:t>
      </w:r>
    </w:p>
    <w:p w14:paraId="7242F863" w14:textId="77777777" w:rsidR="00C51D20" w:rsidRPr="00C51D20" w:rsidRDefault="00C51D20" w:rsidP="00C51D20">
      <w:pPr>
        <w:rPr>
          <w:sz w:val="32"/>
          <w:szCs w:val="32"/>
        </w:rPr>
      </w:pPr>
      <w:r w:rsidRPr="00C51D20">
        <w:rPr>
          <w:sz w:val="32"/>
          <w:szCs w:val="32"/>
        </w:rPr>
        <w:t>Handy, C. (1999) Understanding Organizations. 4th edn. London: Penguin Books.</w:t>
      </w:r>
    </w:p>
    <w:p w14:paraId="0E3FD9B7" w14:textId="77777777" w:rsidR="00C51D20" w:rsidRPr="00C51D20" w:rsidRDefault="00C51D20" w:rsidP="00C51D20">
      <w:pPr>
        <w:rPr>
          <w:sz w:val="32"/>
          <w:szCs w:val="32"/>
        </w:rPr>
      </w:pPr>
      <w:r w:rsidRPr="00C51D20">
        <w:rPr>
          <w:sz w:val="32"/>
          <w:szCs w:val="32"/>
        </w:rPr>
        <w:t>Hofstede, G. (2011) ‘Dimensionalizing cultures: The Hofstede model in context’, Online Readings in Psychology and Culture, 2(1), pp. 1-26.</w:t>
      </w:r>
    </w:p>
    <w:p w14:paraId="428FFC99" w14:textId="77777777" w:rsidR="00C51D20" w:rsidRPr="00C51D20" w:rsidRDefault="00C51D20" w:rsidP="00C51D20">
      <w:pPr>
        <w:rPr>
          <w:sz w:val="32"/>
          <w:szCs w:val="32"/>
        </w:rPr>
      </w:pPr>
      <w:r w:rsidRPr="00C51D20">
        <w:rPr>
          <w:sz w:val="32"/>
          <w:szCs w:val="32"/>
        </w:rPr>
        <w:t>J.D. Power (2023) 2023 U.S. Vehicle Dependability Study. Available at: https://www.jdpower.com (Accessed: 20 October 2025).</w:t>
      </w:r>
    </w:p>
    <w:p w14:paraId="28DA5F7C" w14:textId="77777777" w:rsidR="00C51D20" w:rsidRPr="00C51D20" w:rsidRDefault="00C51D20" w:rsidP="00C51D20">
      <w:pPr>
        <w:rPr>
          <w:sz w:val="32"/>
          <w:szCs w:val="32"/>
        </w:rPr>
      </w:pPr>
      <w:r w:rsidRPr="00C51D20">
        <w:rPr>
          <w:sz w:val="32"/>
          <w:szCs w:val="32"/>
        </w:rPr>
        <w:t>Kotter, J.P. and Heskett, J.L. (1992) Corporate Culture and Performance. New York: Free Press.</w:t>
      </w:r>
    </w:p>
    <w:p w14:paraId="5C8DF315" w14:textId="77777777" w:rsidR="00C51D20" w:rsidRPr="00C51D20" w:rsidRDefault="00C51D20" w:rsidP="00C51D20">
      <w:pPr>
        <w:rPr>
          <w:sz w:val="32"/>
          <w:szCs w:val="32"/>
        </w:rPr>
      </w:pPr>
      <w:r w:rsidRPr="00C51D20">
        <w:rPr>
          <w:sz w:val="32"/>
          <w:szCs w:val="32"/>
        </w:rPr>
        <w:t>Liker, J.K. (2004) The Toyota Way: 14 Management Principles from the World’s Greatest Manufacturer. New York: McGraw-Hill.</w:t>
      </w:r>
    </w:p>
    <w:p w14:paraId="4CB36111" w14:textId="77777777" w:rsidR="00C51D20" w:rsidRPr="00C51D20" w:rsidRDefault="00C51D20" w:rsidP="00C51D20">
      <w:pPr>
        <w:rPr>
          <w:sz w:val="32"/>
          <w:szCs w:val="32"/>
        </w:rPr>
      </w:pPr>
      <w:r w:rsidRPr="00C51D20">
        <w:rPr>
          <w:sz w:val="32"/>
          <w:szCs w:val="32"/>
        </w:rPr>
        <w:t>Liker, J.K. and Hoseus, M. (2008) Toyota Culture: The Heart and Soul of the Toyota Way. New York: McGraw-Hill.</w:t>
      </w:r>
    </w:p>
    <w:p w14:paraId="189FAD5C" w14:textId="77777777" w:rsidR="00C51D20" w:rsidRPr="00C51D20" w:rsidRDefault="00C51D20" w:rsidP="00C51D20">
      <w:pPr>
        <w:rPr>
          <w:sz w:val="32"/>
          <w:szCs w:val="32"/>
        </w:rPr>
      </w:pPr>
      <w:r w:rsidRPr="00C51D20">
        <w:rPr>
          <w:sz w:val="32"/>
          <w:szCs w:val="32"/>
        </w:rPr>
        <w:t>Liker, J.K. and Meier, D. (2006) The Toyota Way Fieldbook. New York: McGraw-Hill.</w:t>
      </w:r>
    </w:p>
    <w:p w14:paraId="40CA5047" w14:textId="77777777" w:rsidR="00C51D20" w:rsidRPr="00C51D20" w:rsidRDefault="00C51D20" w:rsidP="00C51D20">
      <w:pPr>
        <w:rPr>
          <w:sz w:val="32"/>
          <w:szCs w:val="32"/>
        </w:rPr>
      </w:pPr>
      <w:r w:rsidRPr="00C51D20">
        <w:rPr>
          <w:sz w:val="32"/>
          <w:szCs w:val="32"/>
        </w:rPr>
        <w:t>Liker, J.K. and Ogden, T.N. (2011) Toyota Under Fire: Lessons for Turning Crisis into Opportunity. New York: McGraw-Hill.</w:t>
      </w:r>
    </w:p>
    <w:p w14:paraId="2C7693ED" w14:textId="77777777" w:rsidR="00C51D20" w:rsidRPr="00C51D20" w:rsidRDefault="00C51D20" w:rsidP="00C51D20">
      <w:pPr>
        <w:rPr>
          <w:sz w:val="32"/>
          <w:szCs w:val="32"/>
        </w:rPr>
      </w:pPr>
      <w:r w:rsidRPr="00C51D20">
        <w:rPr>
          <w:sz w:val="32"/>
          <w:szCs w:val="32"/>
        </w:rPr>
        <w:t>Mullins, L.J. and Christy, G. (2016) Management &amp; Organisational Behaviour. 11th edn. Harlow: Pearson Education Limited.</w:t>
      </w:r>
    </w:p>
    <w:p w14:paraId="5C15C6A9" w14:textId="77777777" w:rsidR="00C51D20" w:rsidRPr="00C51D20" w:rsidRDefault="00C51D20" w:rsidP="00C51D20">
      <w:pPr>
        <w:rPr>
          <w:sz w:val="32"/>
          <w:szCs w:val="32"/>
        </w:rPr>
      </w:pPr>
      <w:r w:rsidRPr="00C51D20">
        <w:rPr>
          <w:sz w:val="32"/>
          <w:szCs w:val="32"/>
        </w:rPr>
        <w:t>O’Reilly, C.A. and Tushman, M.L. (2013) ‘Organizational ambidexterity: Past, present, and future’, Academy of Management Perspectives, 27(4), pp. 324-338.</w:t>
      </w:r>
    </w:p>
    <w:p w14:paraId="4A7319E2" w14:textId="77777777" w:rsidR="00C51D20" w:rsidRPr="00C51D20" w:rsidRDefault="00C51D20" w:rsidP="00C51D20">
      <w:pPr>
        <w:rPr>
          <w:sz w:val="32"/>
          <w:szCs w:val="32"/>
        </w:rPr>
      </w:pPr>
      <w:r w:rsidRPr="00C51D20">
        <w:rPr>
          <w:sz w:val="32"/>
          <w:szCs w:val="32"/>
        </w:rPr>
        <w:t>Schein, E.H. (2010) Organizational Culture and Leadership. 4th edn. San Francisco: Jossey-Bass.</w:t>
      </w:r>
    </w:p>
    <w:p w14:paraId="3CB4E0CC" w14:textId="77777777" w:rsidR="00C51D20" w:rsidRPr="00C51D20" w:rsidRDefault="00C51D20" w:rsidP="00C51D20">
      <w:pPr>
        <w:rPr>
          <w:sz w:val="32"/>
          <w:szCs w:val="32"/>
        </w:rPr>
      </w:pPr>
      <w:r w:rsidRPr="00C51D20">
        <w:rPr>
          <w:sz w:val="32"/>
          <w:szCs w:val="32"/>
        </w:rPr>
        <w:t>Sobek, D.K. and Smalley, A. (2008) Understanding A3 Thinking: A Critical Component of Toyota’s PDCA Management System. Boca Raton: CRC Press.</w:t>
      </w:r>
    </w:p>
    <w:p w14:paraId="0220C8F5" w14:textId="77777777" w:rsidR="00C51D20" w:rsidRPr="00C51D20" w:rsidRDefault="00C51D20" w:rsidP="00C51D20">
      <w:pPr>
        <w:rPr>
          <w:sz w:val="32"/>
          <w:szCs w:val="32"/>
        </w:rPr>
      </w:pPr>
      <w:r w:rsidRPr="00C51D20">
        <w:rPr>
          <w:sz w:val="32"/>
          <w:szCs w:val="32"/>
        </w:rPr>
        <w:t>Spear, S. and Bowen, H.K. (1999) ‘Decoding the DNA of the Toyota Production System’, Harvard Business Review, 77(5), pp. 96-106.</w:t>
      </w:r>
    </w:p>
    <w:p w14:paraId="07947722" w14:textId="3ECA001F" w:rsidR="004F5C9F" w:rsidRPr="00626C67" w:rsidRDefault="00C51D20">
      <w:pPr>
        <w:rPr>
          <w:sz w:val="32"/>
          <w:szCs w:val="32"/>
        </w:rPr>
      </w:pPr>
      <w:r w:rsidRPr="00C51D20">
        <w:rPr>
          <w:sz w:val="32"/>
          <w:szCs w:val="32"/>
        </w:rPr>
        <w:t>Toyota Motor Corporation (2023) Annual Report 2023. Available at: https://www.toyota-global.com (Accessed: 20 October 2025).</w:t>
      </w:r>
    </w:p>
    <w:p w14:paraId="1A760005" w14:textId="77777777" w:rsidR="00EF60C2" w:rsidRPr="00EF60C2" w:rsidRDefault="00EF60C2">
      <w:pPr>
        <w:rPr>
          <w:sz w:val="26"/>
          <w:szCs w:val="26"/>
        </w:rPr>
      </w:pPr>
    </w:p>
    <w:sectPr w:rsidR="00EF60C2" w:rsidRPr="00EF6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0C2"/>
    <w:rsid w:val="000440DC"/>
    <w:rsid w:val="00062764"/>
    <w:rsid w:val="000B5F91"/>
    <w:rsid w:val="004A38AC"/>
    <w:rsid w:val="004F5C9F"/>
    <w:rsid w:val="005060B0"/>
    <w:rsid w:val="00582C8E"/>
    <w:rsid w:val="00626C67"/>
    <w:rsid w:val="006376DB"/>
    <w:rsid w:val="006A0F25"/>
    <w:rsid w:val="006D1382"/>
    <w:rsid w:val="0074343E"/>
    <w:rsid w:val="00797975"/>
    <w:rsid w:val="0080096A"/>
    <w:rsid w:val="008828CE"/>
    <w:rsid w:val="0092676E"/>
    <w:rsid w:val="00A11920"/>
    <w:rsid w:val="00A32A82"/>
    <w:rsid w:val="00A41A08"/>
    <w:rsid w:val="00A66304"/>
    <w:rsid w:val="00AE13A7"/>
    <w:rsid w:val="00AF0FFB"/>
    <w:rsid w:val="00B72543"/>
    <w:rsid w:val="00B915B7"/>
    <w:rsid w:val="00BE2936"/>
    <w:rsid w:val="00C51D20"/>
    <w:rsid w:val="00D07525"/>
    <w:rsid w:val="00D96DB7"/>
    <w:rsid w:val="00DD3F50"/>
    <w:rsid w:val="00E27108"/>
    <w:rsid w:val="00E52A53"/>
    <w:rsid w:val="00E84CCE"/>
    <w:rsid w:val="00EF60C2"/>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294DE01"/>
  <w15:chartTrackingRefBased/>
  <w15:docId w15:val="{394B5AA7-A6BE-4241-A637-EAD606420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0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0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0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0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0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0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0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0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0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0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0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0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0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0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0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0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0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0C2"/>
    <w:rPr>
      <w:rFonts w:eastAsiaTheme="majorEastAsia" w:cstheme="majorBidi"/>
      <w:color w:val="272727" w:themeColor="text1" w:themeTint="D8"/>
    </w:rPr>
  </w:style>
  <w:style w:type="paragraph" w:styleId="Title">
    <w:name w:val="Title"/>
    <w:basedOn w:val="Normal"/>
    <w:next w:val="Normal"/>
    <w:link w:val="TitleChar"/>
    <w:uiPriority w:val="10"/>
    <w:qFormat/>
    <w:rsid w:val="00EF60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0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0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0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0C2"/>
    <w:pPr>
      <w:spacing w:before="160"/>
      <w:jc w:val="center"/>
    </w:pPr>
    <w:rPr>
      <w:i/>
      <w:iCs/>
      <w:color w:val="404040" w:themeColor="text1" w:themeTint="BF"/>
    </w:rPr>
  </w:style>
  <w:style w:type="character" w:customStyle="1" w:styleId="QuoteChar">
    <w:name w:val="Quote Char"/>
    <w:basedOn w:val="DefaultParagraphFont"/>
    <w:link w:val="Quote"/>
    <w:uiPriority w:val="29"/>
    <w:rsid w:val="00EF60C2"/>
    <w:rPr>
      <w:i/>
      <w:iCs/>
      <w:color w:val="404040" w:themeColor="text1" w:themeTint="BF"/>
    </w:rPr>
  </w:style>
  <w:style w:type="paragraph" w:styleId="ListParagraph">
    <w:name w:val="List Paragraph"/>
    <w:basedOn w:val="Normal"/>
    <w:uiPriority w:val="34"/>
    <w:qFormat/>
    <w:rsid w:val="00EF60C2"/>
    <w:pPr>
      <w:ind w:left="720"/>
      <w:contextualSpacing/>
    </w:pPr>
  </w:style>
  <w:style w:type="character" w:styleId="IntenseEmphasis">
    <w:name w:val="Intense Emphasis"/>
    <w:basedOn w:val="DefaultParagraphFont"/>
    <w:uiPriority w:val="21"/>
    <w:qFormat/>
    <w:rsid w:val="00EF60C2"/>
    <w:rPr>
      <w:i/>
      <w:iCs/>
      <w:color w:val="0F4761" w:themeColor="accent1" w:themeShade="BF"/>
    </w:rPr>
  </w:style>
  <w:style w:type="paragraph" w:styleId="IntenseQuote">
    <w:name w:val="Intense Quote"/>
    <w:basedOn w:val="Normal"/>
    <w:next w:val="Normal"/>
    <w:link w:val="IntenseQuoteChar"/>
    <w:uiPriority w:val="30"/>
    <w:qFormat/>
    <w:rsid w:val="00EF60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0C2"/>
    <w:rPr>
      <w:i/>
      <w:iCs/>
      <w:color w:val="0F4761" w:themeColor="accent1" w:themeShade="BF"/>
    </w:rPr>
  </w:style>
  <w:style w:type="character" w:styleId="IntenseReference">
    <w:name w:val="Intense Reference"/>
    <w:basedOn w:val="DefaultParagraphFont"/>
    <w:uiPriority w:val="32"/>
    <w:qFormat/>
    <w:rsid w:val="00EF60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2916</Words>
  <Characters>20827</Characters>
  <Application>Microsoft Office Word</Application>
  <DocSecurity>0</DocSecurity>
  <Lines>452</Lines>
  <Paragraphs>101</Paragraphs>
  <ScaleCrop>false</ScaleCrop>
  <Company/>
  <LinksUpToDate>false</LinksUpToDate>
  <CharactersWithSpaces>23642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Vaduva (2229646)</dc:creator>
  <cp:keywords/>
  <dc:description/>
  <cp:lastModifiedBy>Laurentiu Vaduva (2229646)</cp:lastModifiedBy>
  <cp:revision>4</cp:revision>
  <dcterms:created xsi:type="dcterms:W3CDTF">2025-10-27T12:20:00Z</dcterms:created>
  <dcterms:modified xsi:type="dcterms:W3CDTF">2025-10-27T12:21:00Z</dcterms:modified>
</cp:coreProperties>
</file>