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B4F1E3" w14:textId="77777777" w:rsidR="00556B28" w:rsidRPr="00556B28" w:rsidRDefault="00556B28" w:rsidP="00556B28">
      <w:pPr>
        <w:jc w:val="center"/>
        <w:rPr>
          <w:rFonts w:ascii="Arial" w:hAnsi="Arial" w:cs="Arial"/>
          <w:b/>
          <w:bCs/>
          <w:sz w:val="36"/>
          <w:szCs w:val="36"/>
          <w:u w:val="single"/>
          <w:lang w:val="en-GB"/>
        </w:rPr>
      </w:pPr>
      <w:r w:rsidRPr="00556B28">
        <w:rPr>
          <w:rFonts w:ascii="Arial" w:hAnsi="Arial" w:cs="Arial"/>
          <w:b/>
          <w:bCs/>
          <w:sz w:val="36"/>
          <w:szCs w:val="36"/>
          <w:u w:val="single"/>
          <w:lang w:val="en-GB"/>
        </w:rPr>
        <w:t>BSc Health and Social Care</w:t>
      </w:r>
    </w:p>
    <w:p w14:paraId="72F76151" w14:textId="77777777" w:rsidR="00556B28" w:rsidRPr="00556B28" w:rsidRDefault="00556B28" w:rsidP="00556B28">
      <w:pPr>
        <w:jc w:val="left"/>
        <w:rPr>
          <w:rFonts w:ascii="Arial" w:hAnsi="Arial" w:cs="Arial"/>
          <w:b/>
          <w:bCs/>
          <w:sz w:val="28"/>
          <w:szCs w:val="24"/>
          <w:u w:val="single"/>
          <w:lang w:val="en-GB"/>
        </w:rPr>
      </w:pPr>
    </w:p>
    <w:p w14:paraId="430895E3" w14:textId="77777777" w:rsidR="00556B28" w:rsidRPr="00556B28" w:rsidRDefault="00556B28" w:rsidP="00556B28">
      <w:pPr>
        <w:jc w:val="left"/>
        <w:rPr>
          <w:rFonts w:ascii="Arial" w:hAnsi="Arial" w:cs="Arial"/>
          <w:b/>
          <w:bCs/>
          <w:lang w:val="en-GB"/>
        </w:rPr>
      </w:pPr>
    </w:p>
    <w:p w14:paraId="3B6AF5B7" w14:textId="77777777" w:rsidR="00556B28" w:rsidRPr="00556B28" w:rsidRDefault="00556B28" w:rsidP="00556B28">
      <w:pPr>
        <w:jc w:val="left"/>
        <w:rPr>
          <w:rFonts w:ascii="Arial" w:hAnsi="Arial" w:cs="Arial"/>
          <w:lang w:val="en-GB"/>
        </w:rPr>
      </w:pPr>
      <w:r w:rsidRPr="00556B28">
        <w:rPr>
          <w:rFonts w:ascii="Arial" w:hAnsi="Arial" w:cs="Arial"/>
          <w:b/>
          <w:bCs/>
          <w:lang w:val="en-GB"/>
        </w:rPr>
        <w:t>Student Name:</w:t>
      </w:r>
      <w:r w:rsidRPr="00556B28">
        <w:rPr>
          <w:rFonts w:ascii="Arial" w:hAnsi="Arial" w:cs="Arial"/>
          <w:lang w:val="en-GB"/>
        </w:rPr>
        <w:t xml:space="preserve"> Leanne Fahy </w:t>
      </w:r>
    </w:p>
    <w:p w14:paraId="11613591" w14:textId="77777777" w:rsidR="00556B28" w:rsidRPr="00556B28" w:rsidRDefault="00556B28" w:rsidP="00556B28">
      <w:pPr>
        <w:jc w:val="left"/>
        <w:rPr>
          <w:rFonts w:ascii="Arial" w:hAnsi="Arial" w:cs="Arial"/>
          <w:lang w:val="en-GB"/>
        </w:rPr>
      </w:pPr>
      <w:r w:rsidRPr="00556B28">
        <w:rPr>
          <w:rFonts w:ascii="Arial" w:hAnsi="Arial" w:cs="Arial"/>
          <w:b/>
          <w:bCs/>
          <w:lang w:val="en-GB"/>
        </w:rPr>
        <w:t>Student Number:</w:t>
      </w:r>
      <w:r w:rsidRPr="00556B28">
        <w:rPr>
          <w:rFonts w:ascii="Arial" w:hAnsi="Arial" w:cs="Arial"/>
          <w:lang w:val="en-GB"/>
        </w:rPr>
        <w:t xml:space="preserve"> 2425000 </w:t>
      </w:r>
    </w:p>
    <w:p w14:paraId="5950A51C" w14:textId="3329D32F" w:rsidR="00556B28" w:rsidRPr="00556B28" w:rsidRDefault="00556B28" w:rsidP="00556B28">
      <w:pPr>
        <w:jc w:val="left"/>
        <w:rPr>
          <w:rFonts w:ascii="Arial" w:hAnsi="Arial" w:cs="Arial"/>
          <w:lang w:val="en-GB"/>
        </w:rPr>
      </w:pPr>
      <w:r w:rsidRPr="00556B28">
        <w:rPr>
          <w:rFonts w:ascii="Arial" w:hAnsi="Arial" w:cs="Arial"/>
          <w:b/>
          <w:bCs/>
          <w:lang w:val="en-GB"/>
        </w:rPr>
        <w:t>Modul</w:t>
      </w:r>
      <w:r w:rsidRPr="00556B28">
        <w:rPr>
          <w:rFonts w:ascii="Arial" w:hAnsi="Arial" w:cs="Arial"/>
          <w:b/>
          <w:bCs/>
          <w:lang w:val="en-GB"/>
        </w:rPr>
        <w:t>e</w:t>
      </w:r>
      <w:r w:rsidRPr="00556B28">
        <w:rPr>
          <w:rFonts w:ascii="Arial" w:hAnsi="Arial" w:cs="Arial"/>
          <w:b/>
          <w:bCs/>
          <w:lang w:val="en-GB"/>
        </w:rPr>
        <w:t>:</w:t>
      </w:r>
      <w:r w:rsidRPr="00556B28">
        <w:rPr>
          <w:rFonts w:ascii="Arial" w:hAnsi="Arial" w:cs="Arial"/>
          <w:lang w:val="en-GB"/>
        </w:rPr>
        <w:t xml:space="preserve"> </w:t>
      </w:r>
      <w:r w:rsidRPr="00556B28">
        <w:rPr>
          <w:rFonts w:ascii="Arial" w:hAnsi="Arial" w:cs="Arial"/>
        </w:rPr>
        <w:t xml:space="preserve">Protecting and Supporting Families in Health and </w:t>
      </w:r>
      <w:r w:rsidRPr="00556B28">
        <w:rPr>
          <w:rFonts w:ascii="Arial" w:hAnsi="Arial" w:cs="Arial"/>
        </w:rPr>
        <w:t xml:space="preserve">Social </w:t>
      </w:r>
      <w:r w:rsidRPr="00556B28">
        <w:rPr>
          <w:rFonts w:ascii="Arial" w:hAnsi="Arial" w:cs="Arial"/>
        </w:rPr>
        <w:t>Care</w:t>
      </w:r>
    </w:p>
    <w:p w14:paraId="05DB0E2C" w14:textId="181856E0" w:rsidR="00556B28" w:rsidRPr="00556B28" w:rsidRDefault="00556B28" w:rsidP="00556B28">
      <w:pPr>
        <w:jc w:val="left"/>
        <w:rPr>
          <w:rFonts w:ascii="Arial" w:hAnsi="Arial" w:cs="Arial"/>
          <w:lang w:val="en-GB"/>
        </w:rPr>
      </w:pPr>
      <w:r w:rsidRPr="00556B28">
        <w:rPr>
          <w:rFonts w:ascii="Arial" w:hAnsi="Arial" w:cs="Arial"/>
          <w:b/>
          <w:bCs/>
          <w:lang w:val="en-GB"/>
        </w:rPr>
        <w:t>Module Code:</w:t>
      </w:r>
      <w:r w:rsidRPr="00556B28">
        <w:rPr>
          <w:rFonts w:ascii="Arial" w:hAnsi="Arial" w:cs="Arial"/>
          <w:lang w:val="en-GB"/>
        </w:rPr>
        <w:t xml:space="preserve"> BMHP50</w:t>
      </w:r>
      <w:r w:rsidRPr="00556B28">
        <w:rPr>
          <w:rFonts w:ascii="Arial" w:hAnsi="Arial" w:cs="Arial"/>
          <w:lang w:val="en-GB"/>
        </w:rPr>
        <w:t>21</w:t>
      </w:r>
    </w:p>
    <w:p w14:paraId="3FBB7025" w14:textId="41D8F75D" w:rsidR="00556B28" w:rsidRPr="00556B28" w:rsidRDefault="00556B28" w:rsidP="00556B28">
      <w:pPr>
        <w:jc w:val="left"/>
        <w:rPr>
          <w:rFonts w:ascii="Arial" w:hAnsi="Arial" w:cs="Arial"/>
          <w:lang w:val="en-GB"/>
        </w:rPr>
      </w:pPr>
      <w:r w:rsidRPr="00556B28">
        <w:rPr>
          <w:rFonts w:ascii="Arial" w:hAnsi="Arial" w:cs="Arial"/>
          <w:b/>
          <w:bCs/>
          <w:lang w:val="en-GB"/>
        </w:rPr>
        <w:t>Assignment Title:</w:t>
      </w:r>
      <w:r w:rsidRPr="00556B28">
        <w:rPr>
          <w:rFonts w:ascii="Arial" w:hAnsi="Arial" w:cs="Arial"/>
          <w:lang w:val="en-GB"/>
        </w:rPr>
        <w:t xml:space="preserve"> Component </w:t>
      </w:r>
      <w:r w:rsidRPr="00556B28">
        <w:rPr>
          <w:rFonts w:ascii="Arial" w:hAnsi="Arial" w:cs="Arial"/>
          <w:lang w:val="en-GB"/>
        </w:rPr>
        <w:t>1:</w:t>
      </w:r>
      <w:r w:rsidRPr="00556B28">
        <w:rPr>
          <w:rFonts w:ascii="Arial" w:hAnsi="Arial" w:cs="Arial"/>
          <w:lang w:val="en-GB"/>
        </w:rPr>
        <w:t xml:space="preserve"> </w:t>
      </w:r>
      <w:r w:rsidRPr="00556B28">
        <w:rPr>
          <w:rFonts w:ascii="Arial" w:hAnsi="Arial" w:cs="Arial"/>
          <w:lang w:val="en-GB"/>
        </w:rPr>
        <w:t>Presentation (Round the Table Discussion)</w:t>
      </w:r>
    </w:p>
    <w:p w14:paraId="0300114F" w14:textId="433ADCDB" w:rsidR="00420BEF" w:rsidRDefault="00556B28" w:rsidP="00556B28">
      <w:pPr>
        <w:jc w:val="left"/>
        <w:rPr>
          <w:rFonts w:ascii="Arial" w:hAnsi="Arial" w:cs="Arial"/>
        </w:rPr>
      </w:pPr>
      <w:r w:rsidRPr="00556B28">
        <w:rPr>
          <w:rFonts w:ascii="Arial" w:hAnsi="Arial" w:cs="Arial"/>
          <w:b/>
          <w:bCs/>
          <w:lang w:val="en-GB"/>
        </w:rPr>
        <w:t>Lecturer:</w:t>
      </w:r>
      <w:r w:rsidRPr="00556B28">
        <w:rPr>
          <w:rFonts w:ascii="Arial" w:hAnsi="Arial" w:cs="Arial"/>
          <w:lang w:val="en-GB"/>
        </w:rPr>
        <w:t xml:space="preserve"> </w:t>
      </w:r>
      <w:r w:rsidRPr="00556B28">
        <w:rPr>
          <w:rFonts w:ascii="Arial" w:hAnsi="Arial" w:cs="Arial"/>
        </w:rPr>
        <w:t xml:space="preserve">Precious </w:t>
      </w:r>
      <w:proofErr w:type="spellStart"/>
      <w:r w:rsidRPr="00556B28">
        <w:rPr>
          <w:rFonts w:ascii="Arial" w:hAnsi="Arial" w:cs="Arial"/>
        </w:rPr>
        <w:t>Igbinigie</w:t>
      </w:r>
      <w:proofErr w:type="spellEnd"/>
    </w:p>
    <w:p w14:paraId="2D3F5498" w14:textId="3B7DC9A0" w:rsidR="00420BEF" w:rsidRPr="00420BEF" w:rsidRDefault="00420BEF" w:rsidP="00556B28">
      <w:pPr>
        <w:jc w:val="left"/>
        <w:rPr>
          <w:rFonts w:ascii="Arial" w:hAnsi="Arial" w:cs="Arial"/>
          <w:b/>
          <w:bCs/>
          <w:lang w:val="en-GB"/>
        </w:rPr>
      </w:pPr>
      <w:r w:rsidRPr="00420BEF">
        <w:rPr>
          <w:rFonts w:ascii="Arial" w:hAnsi="Arial" w:cs="Arial"/>
          <w:b/>
          <w:bCs/>
        </w:rPr>
        <w:t>Group 4</w:t>
      </w:r>
    </w:p>
    <w:p w14:paraId="115892BD" w14:textId="77777777" w:rsidR="00556B28" w:rsidRPr="00556B28" w:rsidRDefault="00556B28" w:rsidP="00556B28">
      <w:pPr>
        <w:jc w:val="left"/>
        <w:rPr>
          <w:rFonts w:ascii="Arial" w:hAnsi="Arial" w:cs="Arial"/>
          <w:b/>
          <w:bCs/>
          <w:sz w:val="28"/>
          <w:szCs w:val="24"/>
        </w:rPr>
      </w:pPr>
    </w:p>
    <w:p w14:paraId="0234693E" w14:textId="77777777" w:rsidR="00556B28" w:rsidRPr="00556B28" w:rsidRDefault="00556B28" w:rsidP="00556B28">
      <w:pPr>
        <w:jc w:val="left"/>
        <w:rPr>
          <w:rFonts w:ascii="Arial" w:hAnsi="Arial" w:cs="Arial"/>
          <w:b/>
          <w:bCs/>
          <w:sz w:val="28"/>
          <w:szCs w:val="24"/>
        </w:rPr>
      </w:pPr>
    </w:p>
    <w:p w14:paraId="6A79960C" w14:textId="77777777" w:rsidR="00EA318D" w:rsidRPr="00556B28" w:rsidRDefault="00EA318D" w:rsidP="00556B28">
      <w:pPr>
        <w:pStyle w:val="Heading1"/>
        <w:sectPr w:rsidR="00EA318D" w:rsidRPr="00556B28" w:rsidSect="00F36E5D">
          <w:footerReference w:type="default" r:id="rId9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4CFFC12" w14:textId="0F98BF51" w:rsidR="00492D41" w:rsidRPr="00556B28" w:rsidRDefault="00492D41" w:rsidP="00556B28">
      <w:pPr>
        <w:pStyle w:val="Heading1"/>
      </w:pPr>
      <w:r w:rsidRPr="00556B28">
        <w:lastRenderedPageBreak/>
        <w:t xml:space="preserve">Reference </w:t>
      </w:r>
      <w:r w:rsidR="00556B28" w:rsidRPr="00556B28">
        <w:t>List</w:t>
      </w:r>
    </w:p>
    <w:p w14:paraId="5B01E7D5" w14:textId="77777777" w:rsidR="00556B28" w:rsidRPr="00556B28" w:rsidRDefault="00556B28" w:rsidP="00556B28">
      <w:pPr>
        <w:rPr>
          <w:rFonts w:ascii="Arial" w:hAnsi="Arial" w:cs="Arial"/>
          <w:lang w:val="en-GB" w:eastAsia="en-GB"/>
        </w:rPr>
      </w:pPr>
    </w:p>
    <w:p w14:paraId="3D892A1A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Almomani, E., Sullivan, M.J., Saadeh, O., Mustafa, E., Pattison, N. and </w:t>
      </w:r>
      <w:proofErr w:type="spellStart"/>
      <w:r w:rsidRPr="004A2690">
        <w:rPr>
          <w:rFonts w:ascii="Arial" w:hAnsi="Arial" w:cs="Arial"/>
          <w:sz w:val="22"/>
          <w:szCs w:val="22"/>
        </w:rPr>
        <w:t>Alinier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, G. (2023). Co-design: a guided reflective learning conversation model for simulation-based education. </w:t>
      </w:r>
      <w:r w:rsidRPr="004A2690">
        <w:rPr>
          <w:rFonts w:ascii="Arial" w:hAnsi="Arial" w:cs="Arial"/>
          <w:i/>
          <w:iCs/>
          <w:sz w:val="22"/>
          <w:szCs w:val="22"/>
        </w:rPr>
        <w:t>International Journal of Healthcare Simulation</w:t>
      </w:r>
      <w:r w:rsidRPr="004A2690">
        <w:rPr>
          <w:rFonts w:ascii="Arial" w:hAnsi="Arial" w:cs="Arial"/>
          <w:sz w:val="22"/>
          <w:szCs w:val="22"/>
        </w:rPr>
        <w:t>.</w:t>
      </w:r>
    </w:p>
    <w:p w14:paraId="522103D5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Cameron, G., </w:t>
      </w:r>
      <w:proofErr w:type="spellStart"/>
      <w:r w:rsidRPr="004A2690">
        <w:rPr>
          <w:rFonts w:ascii="Arial" w:hAnsi="Arial" w:cs="Arial"/>
          <w:sz w:val="22"/>
          <w:szCs w:val="22"/>
        </w:rPr>
        <w:t>Vanderwoerd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, J. and Peirson, L. (2024). </w:t>
      </w:r>
      <w:r w:rsidRPr="004A2690">
        <w:rPr>
          <w:rFonts w:ascii="Arial" w:hAnsi="Arial" w:cs="Arial"/>
          <w:i/>
          <w:iCs/>
          <w:sz w:val="22"/>
          <w:szCs w:val="22"/>
        </w:rPr>
        <w:t>Protecting Children and Supporting Families</w:t>
      </w:r>
      <w:r w:rsidRPr="004A2690">
        <w:rPr>
          <w:rFonts w:ascii="Arial" w:hAnsi="Arial" w:cs="Arial"/>
          <w:sz w:val="22"/>
          <w:szCs w:val="22"/>
        </w:rPr>
        <w:t>. 13th ed. Transaction Publishers.</w:t>
      </w:r>
    </w:p>
    <w:p w14:paraId="579CDACB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Canavan, J., Devaney, C., McGregor, C. and Shaw, A. (2023). </w:t>
      </w:r>
      <w:r w:rsidRPr="004A2690">
        <w:rPr>
          <w:rFonts w:ascii="Arial" w:hAnsi="Arial" w:cs="Arial"/>
          <w:i/>
          <w:iCs/>
          <w:sz w:val="22"/>
          <w:szCs w:val="22"/>
        </w:rPr>
        <w:t>Understanding System Change in Child Protection and Welfare</w:t>
      </w:r>
      <w:r w:rsidRPr="004A2690">
        <w:rPr>
          <w:rFonts w:ascii="Arial" w:hAnsi="Arial" w:cs="Arial"/>
          <w:sz w:val="22"/>
          <w:szCs w:val="22"/>
        </w:rPr>
        <w:t>. Milton: Taylor &amp; Francis Group.</w:t>
      </w:r>
    </w:p>
    <w:p w14:paraId="37828479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Gardner, R. (2023). </w:t>
      </w:r>
      <w:r w:rsidRPr="004A2690">
        <w:rPr>
          <w:rFonts w:ascii="Arial" w:hAnsi="Arial" w:cs="Arial"/>
          <w:i/>
          <w:iCs/>
          <w:sz w:val="22"/>
          <w:szCs w:val="22"/>
        </w:rPr>
        <w:t>Supporting Families</w:t>
      </w:r>
      <w:r w:rsidRPr="004A2690">
        <w:rPr>
          <w:rFonts w:ascii="Arial" w:hAnsi="Arial" w:cs="Arial"/>
          <w:sz w:val="22"/>
          <w:szCs w:val="22"/>
        </w:rPr>
        <w:t>. John Wiley &amp; Sons.</w:t>
      </w:r>
    </w:p>
    <w:p w14:paraId="2520F0EC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proofErr w:type="spellStart"/>
      <w:r w:rsidRPr="004A2690">
        <w:rPr>
          <w:rFonts w:ascii="Arial" w:hAnsi="Arial" w:cs="Arial"/>
          <w:sz w:val="22"/>
          <w:szCs w:val="22"/>
        </w:rPr>
        <w:t>Lymbery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, M. and Millward, A. (2024). Community Care in Practice. </w:t>
      </w:r>
      <w:r w:rsidRPr="004A2690">
        <w:rPr>
          <w:rFonts w:ascii="Arial" w:hAnsi="Arial" w:cs="Arial"/>
          <w:i/>
          <w:iCs/>
          <w:sz w:val="22"/>
          <w:szCs w:val="22"/>
        </w:rPr>
        <w:t>Social Work in Health Care</w:t>
      </w:r>
      <w:r w:rsidRPr="004A2690">
        <w:rPr>
          <w:rFonts w:ascii="Arial" w:hAnsi="Arial" w:cs="Arial"/>
          <w:sz w:val="22"/>
          <w:szCs w:val="22"/>
        </w:rPr>
        <w:t>, 34(3-4), pp.241–259.</w:t>
      </w:r>
    </w:p>
    <w:p w14:paraId="7BC754D7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Mankiewicz, P.D. (2024). Reflective practice on inpatient mental health wards (2/2): evaluation of CBT-integrated reflective learning process. </w:t>
      </w:r>
      <w:r w:rsidRPr="004A2690">
        <w:rPr>
          <w:rFonts w:ascii="Arial" w:hAnsi="Arial" w:cs="Arial"/>
          <w:i/>
          <w:iCs/>
          <w:sz w:val="22"/>
          <w:szCs w:val="22"/>
        </w:rPr>
        <w:t>British Journal of Healthcare Assistants</w:t>
      </w:r>
      <w:r w:rsidRPr="004A2690">
        <w:rPr>
          <w:rFonts w:ascii="Arial" w:hAnsi="Arial" w:cs="Arial"/>
          <w:sz w:val="22"/>
          <w:szCs w:val="22"/>
        </w:rPr>
        <w:t>, 8(7), pp.346–351.</w:t>
      </w:r>
    </w:p>
    <w:p w14:paraId="290EA468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NSPCC Learning (2020). </w:t>
      </w:r>
      <w:r w:rsidRPr="004A2690">
        <w:rPr>
          <w:rFonts w:ascii="Arial" w:hAnsi="Arial" w:cs="Arial"/>
          <w:i/>
          <w:iCs/>
          <w:sz w:val="22"/>
          <w:szCs w:val="22"/>
        </w:rPr>
        <w:t>National case review repository</w:t>
      </w:r>
      <w:r w:rsidRPr="004A2690">
        <w:rPr>
          <w:rFonts w:ascii="Arial" w:hAnsi="Arial" w:cs="Arial"/>
          <w:sz w:val="22"/>
          <w:szCs w:val="22"/>
        </w:rPr>
        <w:t>. [online] NSPCC Learning. Available at: https://learning.nspcc.org.uk/case-reviews/national-case-review-repository.</w:t>
      </w:r>
    </w:p>
    <w:p w14:paraId="31C5FDA1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 w:rsidRPr="004A2690">
        <w:rPr>
          <w:rFonts w:ascii="Arial" w:hAnsi="Arial" w:cs="Arial"/>
          <w:sz w:val="22"/>
          <w:szCs w:val="22"/>
        </w:rPr>
        <w:t xml:space="preserve">O’Byrne, L. (2022). Developing the Reflective Healthcare Team Tony </w:t>
      </w:r>
      <w:proofErr w:type="spellStart"/>
      <w:r w:rsidRPr="004A2690">
        <w:rPr>
          <w:rFonts w:ascii="Arial" w:hAnsi="Arial" w:cs="Arial"/>
          <w:sz w:val="22"/>
          <w:szCs w:val="22"/>
        </w:rPr>
        <w:t>Ghaye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 Developing the Reflective Healthcare Team. </w:t>
      </w:r>
      <w:r w:rsidRPr="004A2690">
        <w:rPr>
          <w:rFonts w:ascii="Arial" w:hAnsi="Arial" w:cs="Arial"/>
          <w:i/>
          <w:iCs/>
          <w:sz w:val="22"/>
          <w:szCs w:val="22"/>
        </w:rPr>
        <w:t>Learning Disability Practice</w:t>
      </w:r>
      <w:r w:rsidRPr="004A2690">
        <w:rPr>
          <w:rFonts w:ascii="Arial" w:hAnsi="Arial" w:cs="Arial"/>
          <w:sz w:val="22"/>
          <w:szCs w:val="22"/>
        </w:rPr>
        <w:t>, 10(6), pp.24–25.</w:t>
      </w:r>
    </w:p>
    <w:p w14:paraId="139FC6C8" w14:textId="77777777" w:rsidR="00E22BF4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proofErr w:type="spellStart"/>
      <w:r w:rsidRPr="004A2690">
        <w:rPr>
          <w:rFonts w:ascii="Arial" w:hAnsi="Arial" w:cs="Arial"/>
          <w:sz w:val="22"/>
          <w:szCs w:val="22"/>
        </w:rPr>
        <w:t>Oelofsen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, N. (2024). Developing practical reflective skills (1/2): personal learning. </w:t>
      </w:r>
      <w:r w:rsidRPr="004A2690">
        <w:rPr>
          <w:rFonts w:ascii="Arial" w:hAnsi="Arial" w:cs="Arial"/>
          <w:i/>
          <w:iCs/>
          <w:sz w:val="22"/>
          <w:szCs w:val="22"/>
        </w:rPr>
        <w:t>British Journal of Healthcare Assistants</w:t>
      </w:r>
      <w:r w:rsidRPr="004A2690">
        <w:rPr>
          <w:rFonts w:ascii="Arial" w:hAnsi="Arial" w:cs="Arial"/>
          <w:sz w:val="22"/>
          <w:szCs w:val="22"/>
        </w:rPr>
        <w:t>, 6(6), pp.294–297.</w:t>
      </w:r>
    </w:p>
    <w:p w14:paraId="164222A5" w14:textId="7A795777" w:rsidR="00223723" w:rsidRPr="004A2690" w:rsidRDefault="00E22BF4" w:rsidP="00556B28">
      <w:pPr>
        <w:pStyle w:val="NormalWeb"/>
        <w:spacing w:before="0" w:beforeAutospacing="0" w:after="24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proofErr w:type="spellStart"/>
      <w:r w:rsidRPr="004A2690">
        <w:rPr>
          <w:rFonts w:ascii="Arial" w:hAnsi="Arial" w:cs="Arial"/>
          <w:sz w:val="22"/>
          <w:szCs w:val="22"/>
        </w:rPr>
        <w:t>Zunzunegui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, M., </w:t>
      </w:r>
      <w:proofErr w:type="spellStart"/>
      <w:r w:rsidRPr="004A2690">
        <w:rPr>
          <w:rFonts w:ascii="Arial" w:hAnsi="Arial" w:cs="Arial"/>
          <w:sz w:val="22"/>
          <w:szCs w:val="22"/>
        </w:rPr>
        <w:t>Béland</w:t>
      </w:r>
      <w:proofErr w:type="spellEnd"/>
      <w:r w:rsidRPr="004A2690">
        <w:rPr>
          <w:rFonts w:ascii="Arial" w:hAnsi="Arial" w:cs="Arial"/>
          <w:sz w:val="22"/>
          <w:szCs w:val="22"/>
        </w:rPr>
        <w:t xml:space="preserve">, F. and Otero, A. (2024). Support from children, living arrangements, self-rated health. </w:t>
      </w:r>
      <w:r w:rsidRPr="004A2690">
        <w:rPr>
          <w:rFonts w:ascii="Arial" w:hAnsi="Arial" w:cs="Arial"/>
          <w:i/>
          <w:iCs/>
          <w:sz w:val="22"/>
          <w:szCs w:val="22"/>
        </w:rPr>
        <w:t>International Journal of Epidemiology</w:t>
      </w:r>
      <w:r w:rsidRPr="004A2690">
        <w:rPr>
          <w:rFonts w:ascii="Arial" w:hAnsi="Arial" w:cs="Arial"/>
          <w:sz w:val="22"/>
          <w:szCs w:val="22"/>
        </w:rPr>
        <w:t>, 30(5), pp.1090–1099.</w:t>
      </w:r>
    </w:p>
    <w:sectPr w:rsidR="00223723" w:rsidRPr="004A2690" w:rsidSect="00EA318D">
      <w:footerReference w:type="default" r:id="rId1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14D28F" w14:textId="77777777" w:rsidR="00C27D2D" w:rsidRDefault="00C27D2D" w:rsidP="00EA318D">
      <w:pPr>
        <w:spacing w:after="0" w:line="240" w:lineRule="auto"/>
      </w:pPr>
      <w:r>
        <w:separator/>
      </w:r>
    </w:p>
  </w:endnote>
  <w:endnote w:type="continuationSeparator" w:id="0">
    <w:p w14:paraId="6F3EAA13" w14:textId="77777777" w:rsidR="00C27D2D" w:rsidRDefault="00C27D2D" w:rsidP="00EA31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90946391"/>
      <w:docPartObj>
        <w:docPartGallery w:val="Page Numbers (Bottom of Page)"/>
        <w:docPartUnique/>
      </w:docPartObj>
    </w:sdtPr>
    <w:sdtContent>
      <w:p w14:paraId="5B53FF2A" w14:textId="42D2EC15" w:rsidR="004A2690" w:rsidRDefault="004A2690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10B36A8C" w14:textId="77777777" w:rsidR="00EA318D" w:rsidRDefault="00EA31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A5DA1D" w14:textId="77777777" w:rsidR="00EA318D" w:rsidRDefault="00EA31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C431BB" w14:textId="77777777" w:rsidR="00C27D2D" w:rsidRDefault="00C27D2D" w:rsidP="00EA318D">
      <w:pPr>
        <w:spacing w:after="0" w:line="240" w:lineRule="auto"/>
      </w:pPr>
      <w:r>
        <w:separator/>
      </w:r>
    </w:p>
  </w:footnote>
  <w:footnote w:type="continuationSeparator" w:id="0">
    <w:p w14:paraId="46F2E70E" w14:textId="77777777" w:rsidR="00C27D2D" w:rsidRDefault="00C27D2D" w:rsidP="00EA31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rUwtDSyNDK1NLa0NDJT0lEKTi0uzszPAykwqQUA5TKEoywAAAA="/>
  </w:docVars>
  <w:rsids>
    <w:rsidRoot w:val="00373214"/>
    <w:rsid w:val="000032CB"/>
    <w:rsid w:val="000D4F88"/>
    <w:rsid w:val="000E6553"/>
    <w:rsid w:val="00101E58"/>
    <w:rsid w:val="00120B91"/>
    <w:rsid w:val="00123D71"/>
    <w:rsid w:val="00131B53"/>
    <w:rsid w:val="00164E71"/>
    <w:rsid w:val="00195A00"/>
    <w:rsid w:val="001B3929"/>
    <w:rsid w:val="001C2926"/>
    <w:rsid w:val="001F585E"/>
    <w:rsid w:val="00223723"/>
    <w:rsid w:val="002A6998"/>
    <w:rsid w:val="002C158B"/>
    <w:rsid w:val="002E4ABA"/>
    <w:rsid w:val="00373214"/>
    <w:rsid w:val="003B7E72"/>
    <w:rsid w:val="003E7488"/>
    <w:rsid w:val="00413229"/>
    <w:rsid w:val="004163E1"/>
    <w:rsid w:val="00420BEF"/>
    <w:rsid w:val="00422A3B"/>
    <w:rsid w:val="004421C2"/>
    <w:rsid w:val="00460EF6"/>
    <w:rsid w:val="00492D41"/>
    <w:rsid w:val="004A2690"/>
    <w:rsid w:val="004A5266"/>
    <w:rsid w:val="004E351E"/>
    <w:rsid w:val="004E418C"/>
    <w:rsid w:val="0053137B"/>
    <w:rsid w:val="00550B7E"/>
    <w:rsid w:val="00556B28"/>
    <w:rsid w:val="00594D38"/>
    <w:rsid w:val="005A1EE6"/>
    <w:rsid w:val="005B75FF"/>
    <w:rsid w:val="005F3DAE"/>
    <w:rsid w:val="0064341E"/>
    <w:rsid w:val="00665E24"/>
    <w:rsid w:val="006C376A"/>
    <w:rsid w:val="006D2556"/>
    <w:rsid w:val="00704B5C"/>
    <w:rsid w:val="00712F71"/>
    <w:rsid w:val="00726F5D"/>
    <w:rsid w:val="007A6CCB"/>
    <w:rsid w:val="00805DB5"/>
    <w:rsid w:val="00820B56"/>
    <w:rsid w:val="0083245C"/>
    <w:rsid w:val="00870E8B"/>
    <w:rsid w:val="00884513"/>
    <w:rsid w:val="008A167D"/>
    <w:rsid w:val="008C3EEC"/>
    <w:rsid w:val="008E4D28"/>
    <w:rsid w:val="008F2AD4"/>
    <w:rsid w:val="008F6F73"/>
    <w:rsid w:val="0092636F"/>
    <w:rsid w:val="00975446"/>
    <w:rsid w:val="009A5D9F"/>
    <w:rsid w:val="009E1D93"/>
    <w:rsid w:val="00A17C0B"/>
    <w:rsid w:val="00A2289A"/>
    <w:rsid w:val="00A27B4B"/>
    <w:rsid w:val="00A74178"/>
    <w:rsid w:val="00AC5A71"/>
    <w:rsid w:val="00B02F94"/>
    <w:rsid w:val="00B140A5"/>
    <w:rsid w:val="00B816CC"/>
    <w:rsid w:val="00C27D2D"/>
    <w:rsid w:val="00C36F87"/>
    <w:rsid w:val="00C437C4"/>
    <w:rsid w:val="00C615E9"/>
    <w:rsid w:val="00C929E6"/>
    <w:rsid w:val="00C930EC"/>
    <w:rsid w:val="00CA3A3E"/>
    <w:rsid w:val="00CC7B12"/>
    <w:rsid w:val="00D175E4"/>
    <w:rsid w:val="00D42584"/>
    <w:rsid w:val="00D84277"/>
    <w:rsid w:val="00D85612"/>
    <w:rsid w:val="00DF0AEA"/>
    <w:rsid w:val="00E03A9F"/>
    <w:rsid w:val="00E17DE1"/>
    <w:rsid w:val="00E22BF4"/>
    <w:rsid w:val="00E77C82"/>
    <w:rsid w:val="00EA318D"/>
    <w:rsid w:val="00EB1BF0"/>
    <w:rsid w:val="00ED050B"/>
    <w:rsid w:val="00EE1C10"/>
    <w:rsid w:val="00F054BC"/>
    <w:rsid w:val="00F058A0"/>
    <w:rsid w:val="00F36E5D"/>
    <w:rsid w:val="00FC3B58"/>
    <w:rsid w:val="00FE142F"/>
    <w:rsid w:val="00FE5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647CE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Arial MT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4178"/>
    <w:pPr>
      <w:widowControl w:val="0"/>
      <w:autoSpaceDE w:val="0"/>
      <w:autoSpaceDN w:val="0"/>
      <w:spacing w:after="120" w:line="360" w:lineRule="auto"/>
      <w:jc w:val="both"/>
    </w:pPr>
    <w:rPr>
      <w:rFonts w:ascii="Times New Roman" w:hAnsi="Times New Roman" w:cs="Arial MT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56B28"/>
    <w:pPr>
      <w:keepNext/>
      <w:keepLines/>
      <w:jc w:val="center"/>
      <w:outlineLvl w:val="0"/>
    </w:pPr>
    <w:rPr>
      <w:rFonts w:ascii="Arial" w:eastAsia="Times New Roman" w:hAnsi="Arial" w:cs="Arial"/>
      <w:b/>
      <w:bCs/>
      <w:sz w:val="32"/>
      <w:szCs w:val="32"/>
      <w:u w:val="single"/>
      <w:lang w:val="en-GB"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A5D9F"/>
    <w:pPr>
      <w:keepNext/>
      <w:keepLines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9A5D9F"/>
    <w:pPr>
      <w:keepNext/>
      <w:keepLines/>
      <w:outlineLvl w:val="2"/>
    </w:pPr>
    <w:rPr>
      <w:rFonts w:eastAsiaTheme="majorEastAsia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21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321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321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321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321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321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6B28"/>
    <w:rPr>
      <w:rFonts w:ascii="Arial" w:eastAsia="Times New Roman" w:hAnsi="Arial" w:cs="Arial"/>
      <w:b/>
      <w:bCs/>
      <w:kern w:val="0"/>
      <w:sz w:val="32"/>
      <w:szCs w:val="32"/>
      <w:u w:val="single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9A5D9F"/>
    <w:rPr>
      <w:rFonts w:ascii="Times New Roman" w:eastAsiaTheme="majorEastAsia" w:hAnsi="Times New Roman" w:cstheme="majorBidi"/>
      <w:color w:val="2F5496" w:themeColor="accent1" w:themeShade="BF"/>
      <w:kern w:val="0"/>
      <w:sz w:val="26"/>
      <w:szCs w:val="2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9A5D9F"/>
    <w:rPr>
      <w:rFonts w:ascii="Times New Roman" w:eastAsiaTheme="majorEastAsia" w:hAnsi="Times New Roman" w:cstheme="majorBidi"/>
      <w:color w:val="1F3763" w:themeColor="accent1" w:themeShade="7F"/>
      <w:kern w:val="0"/>
      <w:sz w:val="24"/>
      <w:szCs w:val="24"/>
      <w14:ligatures w14:val="none"/>
    </w:rPr>
  </w:style>
  <w:style w:type="paragraph" w:styleId="TOCHeading">
    <w:name w:val="TOC Heading"/>
    <w:basedOn w:val="Heading1"/>
    <w:next w:val="Normal"/>
    <w:autoRedefine/>
    <w:uiPriority w:val="39"/>
    <w:unhideWhenUsed/>
    <w:qFormat/>
    <w:rsid w:val="00E17DE1"/>
    <w:pPr>
      <w:spacing w:before="240"/>
      <w:outlineLvl w:val="9"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373214"/>
    <w:rPr>
      <w:rFonts w:eastAsiaTheme="majorEastAsia" w:cstheme="majorBidi"/>
      <w:i/>
      <w:iCs/>
      <w:color w:val="2F5496" w:themeColor="accent1" w:themeShade="BF"/>
      <w:kern w:val="0"/>
      <w:lang w:val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3214"/>
    <w:rPr>
      <w:rFonts w:eastAsiaTheme="majorEastAsia" w:cstheme="majorBidi"/>
      <w:color w:val="2F5496" w:themeColor="accent1" w:themeShade="BF"/>
      <w:kern w:val="0"/>
      <w:lang w:val="en-US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3214"/>
    <w:rPr>
      <w:rFonts w:eastAsiaTheme="majorEastAsia" w:cstheme="majorBidi"/>
      <w:i/>
      <w:iCs/>
      <w:color w:val="595959" w:themeColor="text1" w:themeTint="A6"/>
      <w:kern w:val="0"/>
      <w:lang w:val="en-US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3214"/>
    <w:rPr>
      <w:rFonts w:eastAsiaTheme="majorEastAsia" w:cstheme="majorBidi"/>
      <w:color w:val="595959" w:themeColor="text1" w:themeTint="A6"/>
      <w:kern w:val="0"/>
      <w:lang w:val="en-US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3214"/>
    <w:rPr>
      <w:rFonts w:eastAsiaTheme="majorEastAsia" w:cstheme="majorBidi"/>
      <w:i/>
      <w:iCs/>
      <w:color w:val="272727" w:themeColor="text1" w:themeTint="D8"/>
      <w:kern w:val="0"/>
      <w:lang w:val="en-US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3214"/>
    <w:rPr>
      <w:rFonts w:eastAsiaTheme="majorEastAsia" w:cstheme="majorBidi"/>
      <w:color w:val="272727" w:themeColor="text1" w:themeTint="D8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3732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3214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214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3214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en-US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37321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3214"/>
    <w:rPr>
      <w:rFonts w:ascii="Times New Roman" w:hAnsi="Times New Roman" w:cs="Arial MT"/>
      <w:i/>
      <w:iCs/>
      <w:color w:val="404040" w:themeColor="text1" w:themeTint="BF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3732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321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21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214"/>
    <w:rPr>
      <w:rFonts w:ascii="Times New Roman" w:hAnsi="Times New Roman" w:cs="Arial MT"/>
      <w:i/>
      <w:iCs/>
      <w:color w:val="2F5496" w:themeColor="accent1" w:themeShade="BF"/>
      <w:kern w:val="0"/>
      <w:lang w:val="en-US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373214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492D41"/>
    <w:pPr>
      <w:widowControl/>
      <w:autoSpaceDE/>
      <w:autoSpaceDN/>
      <w:spacing w:before="100" w:beforeAutospacing="1" w:after="100" w:afterAutospacing="1" w:line="240" w:lineRule="auto"/>
      <w:jc w:val="left"/>
    </w:pPr>
    <w:rPr>
      <w:rFonts w:eastAsia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EA31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318D"/>
    <w:rPr>
      <w:rFonts w:ascii="Times New Roman" w:hAnsi="Times New Roman" w:cs="Arial MT"/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A31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318D"/>
    <w:rPr>
      <w:rFonts w:ascii="Times New Roman" w:hAnsi="Times New Roman" w:cs="Arial MT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36bcbc1d193204df80cea883c825a3d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7d9a05679199cd6ce73655ee223b74b3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3DD538A2-87AF-4AFD-A72C-A54DE901EF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0A03FA3-713A-4436-B4D1-3148809879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D2B3271-5C14-4500-9A72-533618CFE39D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275</Words>
  <Characters>1570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2026-06-19T17:26:00Z</dcterms:created>
  <dcterms:modified xsi:type="dcterms:W3CDTF">2026-06-19T17:28:00Z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