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color w:val="666666"/>
          <w:sz w:val="28"/>
          <w:szCs w:val="28"/>
          <w:rtl w:val="0"/>
        </w:rPr>
        <w:t xml:space="preserve">Kelsey Hale - 1900948</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before="0" w:line="360" w:lineRule="auto"/>
        <w:rPr>
          <w:color w:val="666666"/>
          <w:sz w:val="28"/>
          <w:szCs w:val="28"/>
        </w:rPr>
      </w:pPr>
      <w:r w:rsidDel="00000000" w:rsidR="00000000" w:rsidRPr="00000000">
        <w:rPr>
          <w:rtl w:val="0"/>
        </w:rPr>
      </w:r>
    </w:p>
    <w:p w:rsidR="00000000" w:rsidDel="00000000" w:rsidP="00000000" w:rsidRDefault="00000000" w:rsidRPr="00000000" w14:paraId="00000008">
      <w:pPr>
        <w:pStyle w:val="Title"/>
        <w:pBdr>
          <w:top w:space="0" w:sz="0" w:val="nil"/>
          <w:left w:space="0" w:sz="0" w:val="nil"/>
          <w:bottom w:space="0" w:sz="0" w:val="nil"/>
          <w:right w:space="0" w:sz="0" w:val="nil"/>
          <w:between w:space="0" w:sz="0" w:val="nil"/>
        </w:pBdr>
        <w:shd w:fill="auto" w:val="clear"/>
        <w:spacing w:line="360" w:lineRule="auto"/>
        <w:ind w:left="0" w:firstLine="0"/>
        <w:jc w:val="center"/>
        <w:rPr>
          <w:rFonts w:ascii="Open Sans" w:cs="Open Sans" w:eastAsia="Open Sans" w:hAnsi="Open Sans"/>
          <w:sz w:val="48"/>
          <w:szCs w:val="48"/>
        </w:rPr>
      </w:pPr>
      <w:bookmarkStart w:colFirst="0" w:colLast="0" w:name="_mbjsiz6n6jlo" w:id="0"/>
      <w:bookmarkEnd w:id="0"/>
      <w:r w:rsidDel="00000000" w:rsidR="00000000" w:rsidRPr="00000000">
        <w:rPr>
          <w:rFonts w:ascii="Open Sans" w:cs="Open Sans" w:eastAsia="Open Sans" w:hAnsi="Open Sans"/>
          <w:sz w:val="48"/>
          <w:szCs w:val="48"/>
          <w:rtl w:val="0"/>
        </w:rPr>
        <w:t xml:space="preserve">Management Report</w:t>
      </w:r>
      <w:r w:rsidDel="00000000" w:rsidR="00000000" w:rsidRPr="00000000">
        <w:rPr>
          <w:rtl w:val="0"/>
        </w:rPr>
      </w:r>
    </w:p>
    <w:p w:rsidR="00000000" w:rsidDel="00000000" w:rsidP="00000000" w:rsidRDefault="00000000" w:rsidRPr="00000000" w14:paraId="00000009">
      <w:pPr>
        <w:pStyle w:val="Subtitle"/>
        <w:pBdr>
          <w:top w:space="0" w:sz="0" w:val="nil"/>
          <w:left w:space="0" w:sz="0" w:val="nil"/>
          <w:bottom w:space="0" w:sz="0" w:val="nil"/>
          <w:right w:space="0" w:sz="0" w:val="nil"/>
          <w:between w:space="0" w:sz="0" w:val="nil"/>
        </w:pBdr>
        <w:shd w:fill="auto" w:val="clear"/>
        <w:spacing w:line="360" w:lineRule="auto"/>
        <w:jc w:val="center"/>
        <w:rPr>
          <w:rFonts w:ascii="Open Sans" w:cs="Open Sans" w:eastAsia="Open Sans" w:hAnsi="Open Sans"/>
          <w:sz w:val="48"/>
          <w:szCs w:val="48"/>
        </w:rPr>
      </w:pPr>
      <w:bookmarkStart w:colFirst="0" w:colLast="0" w:name="_vb8p0lepu9vn" w:id="1"/>
      <w:bookmarkEnd w:id="1"/>
      <w:r w:rsidDel="00000000" w:rsidR="00000000" w:rsidRPr="00000000">
        <w:rPr>
          <w:rFonts w:ascii="Open Sans" w:cs="Open Sans" w:eastAsia="Open Sans" w:hAnsi="Open Sans"/>
          <w:color w:val="000000"/>
          <w:sz w:val="48"/>
          <w:szCs w:val="48"/>
          <w:rtl w:val="0"/>
        </w:rPr>
        <w:t xml:space="preserve">Evaluate the legislation regarding the age of criminal liability and discuss whether 10 years is the correct age?</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0" w:before="60" w:line="360" w:lineRule="auto"/>
        <w:rPr/>
      </w:pPr>
      <w:r w:rsidDel="00000000" w:rsidR="00000000" w:rsidRPr="00000000">
        <w:rPr>
          <w:rtl w:val="0"/>
        </w:rPr>
      </w:r>
    </w:p>
    <w:p w:rsidR="00000000" w:rsidDel="00000000" w:rsidP="00000000" w:rsidRDefault="00000000" w:rsidRPr="00000000" w14:paraId="0000000B">
      <w:pPr>
        <w:spacing w:line="360" w:lineRule="auto"/>
        <w:rPr>
          <w:sz w:val="24"/>
          <w:szCs w:val="24"/>
        </w:rPr>
      </w:pPr>
      <w:r w:rsidDel="00000000" w:rsidR="00000000" w:rsidRPr="00000000">
        <w:rPr>
          <w:rtl w:val="0"/>
        </w:rPr>
      </w:r>
    </w:p>
    <w:p w:rsidR="00000000" w:rsidDel="00000000" w:rsidP="00000000" w:rsidRDefault="00000000" w:rsidRPr="00000000" w14:paraId="0000000C">
      <w:pPr>
        <w:spacing w:line="360" w:lineRule="auto"/>
        <w:rPr>
          <w:sz w:val="24"/>
          <w:szCs w:val="24"/>
        </w:rPr>
      </w:pPr>
      <w:r w:rsidDel="00000000" w:rsidR="00000000" w:rsidRPr="00000000">
        <w:rPr>
          <w:rtl w:val="0"/>
        </w:rPr>
      </w:r>
    </w:p>
    <w:p w:rsidR="00000000" w:rsidDel="00000000" w:rsidP="00000000" w:rsidRDefault="00000000" w:rsidRPr="00000000" w14:paraId="0000000D">
      <w:pPr>
        <w:spacing w:line="360" w:lineRule="auto"/>
        <w:rPr>
          <w:sz w:val="24"/>
          <w:szCs w:val="24"/>
        </w:rPr>
      </w:pPr>
      <w:r w:rsidDel="00000000" w:rsidR="00000000" w:rsidRPr="00000000">
        <w:rPr>
          <w:rtl w:val="0"/>
        </w:rPr>
      </w:r>
    </w:p>
    <w:p w:rsidR="00000000" w:rsidDel="00000000" w:rsidP="00000000" w:rsidRDefault="00000000" w:rsidRPr="00000000" w14:paraId="0000000E">
      <w:pPr>
        <w:spacing w:line="360" w:lineRule="auto"/>
        <w:rPr>
          <w:sz w:val="24"/>
          <w:szCs w:val="24"/>
        </w:rPr>
      </w:pPr>
      <w:r w:rsidDel="00000000" w:rsidR="00000000" w:rsidRPr="00000000">
        <w:rPr>
          <w:rtl w:val="0"/>
        </w:rPr>
      </w:r>
    </w:p>
    <w:p w:rsidR="00000000" w:rsidDel="00000000" w:rsidP="00000000" w:rsidRDefault="00000000" w:rsidRPr="00000000" w14:paraId="0000000F">
      <w:pPr>
        <w:spacing w:line="360" w:lineRule="auto"/>
        <w:rPr>
          <w:sz w:val="24"/>
          <w:szCs w:val="24"/>
        </w:rPr>
      </w:pPr>
      <w:r w:rsidDel="00000000" w:rsidR="00000000" w:rsidRPr="00000000">
        <w:rPr>
          <w:rtl w:val="0"/>
        </w:rPr>
      </w:r>
    </w:p>
    <w:p w:rsidR="00000000" w:rsidDel="00000000" w:rsidP="00000000" w:rsidRDefault="00000000" w:rsidRPr="00000000" w14:paraId="00000010">
      <w:pPr>
        <w:spacing w:line="360" w:lineRule="auto"/>
        <w:rPr>
          <w:sz w:val="24"/>
          <w:szCs w:val="24"/>
        </w:rPr>
      </w:pPr>
      <w:r w:rsidDel="00000000" w:rsidR="00000000" w:rsidRPr="00000000">
        <w:rPr>
          <w:rtl w:val="0"/>
        </w:rPr>
      </w:r>
    </w:p>
    <w:p w:rsidR="00000000" w:rsidDel="00000000" w:rsidP="00000000" w:rsidRDefault="00000000" w:rsidRPr="00000000" w14:paraId="00000011">
      <w:pPr>
        <w:spacing w:line="360" w:lineRule="auto"/>
        <w:rPr>
          <w:sz w:val="24"/>
          <w:szCs w:val="24"/>
        </w:rPr>
      </w:pPr>
      <w:r w:rsidDel="00000000" w:rsidR="00000000" w:rsidRPr="00000000">
        <w:rPr>
          <w:rtl w:val="0"/>
        </w:rPr>
      </w:r>
    </w:p>
    <w:p w:rsidR="00000000" w:rsidDel="00000000" w:rsidP="00000000" w:rsidRDefault="00000000" w:rsidRPr="00000000" w14:paraId="00000012">
      <w:pPr>
        <w:spacing w:line="36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sz w:val="24"/>
          <w:szCs w:val="24"/>
          <w:rtl w:val="0"/>
        </w:rPr>
        <w:t xml:space="preserve">The aim of this report was to conclude whether the criminal liability age of 10 years is the correct age. There has been a wide range of opinions through discussion when it comes to the matter of criminal liability at the age of 10 years. Some have disagreed when it comes to the law and have given their opinions concluding that if a child aged 10 is convicted it can be “damaging towards the future and development of a child”. Then on the other hand others have agreed that the law is situated at the correct age down to the purpose of punishment being there when it is needed and also the child being able to learn and to be helped by groups such as the Youth Offending Team, which they are there to also help the families of the youth offenders. </w:t>
      </w:r>
    </w:p>
    <w:p w:rsidR="00000000" w:rsidDel="00000000" w:rsidP="00000000" w:rsidRDefault="00000000" w:rsidRPr="00000000" w14:paraId="00000014">
      <w:pPr>
        <w:spacing w:line="480" w:lineRule="auto"/>
        <w:rPr>
          <w:b w:val="1"/>
          <w:sz w:val="24"/>
          <w:szCs w:val="24"/>
        </w:rPr>
      </w:pPr>
      <w:r w:rsidDel="00000000" w:rsidR="00000000" w:rsidRPr="00000000">
        <w:rPr>
          <w:sz w:val="24"/>
          <w:szCs w:val="24"/>
          <w:rtl w:val="0"/>
        </w:rPr>
        <w:t xml:space="preserve">The current responsible age for criminal liability in Wales and England is aged 10 and is officially the youngest age of criminal liability throughout Europe and can be seen as extremely low by international standards. The law was established in 1963 by the Young Persons Act. In the year of 1963, when the act was brought in the law raised the age from 8 to then the current 10 years old.</w:t>
      </w: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sz w:val="24"/>
          <w:szCs w:val="24"/>
          <w:rtl w:val="0"/>
        </w:rPr>
        <w:t xml:space="preserve">Even though the age is young, crimes at this age still occur. As you can see in the graph below crime under the age of 18 has fallen almost in the range of 200,000 offences and 2000 children since the year of 2008. This is an extremely good progress and can be down to the fact that young children are strongly being made aware of the punishments and possible crime within their local area. This can be done through talks in school or to the minors parent/guardian educating them.</w:t>
      </w:r>
      <w:r w:rsidDel="00000000" w:rsidR="00000000" w:rsidRPr="00000000">
        <w:rPr>
          <w:rtl w:val="0"/>
        </w:rPr>
      </w:r>
    </w:p>
    <w:p w:rsidR="00000000" w:rsidDel="00000000" w:rsidP="00000000" w:rsidRDefault="00000000" w:rsidRPr="00000000" w14:paraId="00000016">
      <w:pPr>
        <w:spacing w:line="480" w:lineRule="auto"/>
        <w:ind w:firstLine="0"/>
        <w:rPr>
          <w:b w:val="1"/>
          <w:sz w:val="24"/>
          <w:szCs w:val="24"/>
        </w:rPr>
      </w:pPr>
      <w:r w:rsidDel="00000000" w:rsidR="00000000" w:rsidRPr="00000000">
        <w:rPr>
          <w:b w:val="1"/>
          <w:sz w:val="24"/>
          <w:szCs w:val="24"/>
        </w:rPr>
        <w:drawing>
          <wp:inline distB="114300" distT="114300" distL="114300" distR="114300">
            <wp:extent cx="2796088" cy="2316162"/>
            <wp:effectExtent b="0" l="0" r="0" t="0"/>
            <wp:docPr id="3" name="image2.png"/>
            <a:graphic>
              <a:graphicData uri="http://schemas.openxmlformats.org/drawingml/2006/picture">
                <pic:pic>
                  <pic:nvPicPr>
                    <pic:cNvPr id="0" name="image2.png"/>
                    <pic:cNvPicPr preferRelativeResize="0"/>
                  </pic:nvPicPr>
                  <pic:blipFill>
                    <a:blip r:embed="rId6"/>
                    <a:srcRect b="21292" l="23397" r="49930" t="35897"/>
                    <a:stretch>
                      <a:fillRect/>
                    </a:stretch>
                  </pic:blipFill>
                  <pic:spPr>
                    <a:xfrm>
                      <a:off x="0" y="0"/>
                      <a:ext cx="2796088" cy="231616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480" w:lineRule="auto"/>
        <w:ind w:firstLine="0"/>
        <w:rPr>
          <w:sz w:val="24"/>
          <w:szCs w:val="24"/>
        </w:rPr>
      </w:pPr>
      <w:r w:rsidDel="00000000" w:rsidR="00000000" w:rsidRPr="00000000">
        <w:rPr>
          <w:sz w:val="24"/>
          <w:szCs w:val="24"/>
          <w:rtl w:val="0"/>
        </w:rPr>
        <w:t xml:space="preserve">According to the Prison Reform Trust, ‘at the end of May 2018 there were 894 children in custody, 47 children were aged 14 or younger’. So this then suggests that 95% of the children in custody are over the age of 14 and there is a very small amount of convictions (5%) given under the age of 14 down to 10 years old, making very little demand. </w:t>
      </w:r>
    </w:p>
    <w:p w:rsidR="00000000" w:rsidDel="00000000" w:rsidP="00000000" w:rsidRDefault="00000000" w:rsidRPr="00000000" w14:paraId="00000018">
      <w:pPr>
        <w:spacing w:line="480" w:lineRule="auto"/>
        <w:ind w:firstLine="0"/>
        <w:rPr>
          <w:sz w:val="24"/>
          <w:szCs w:val="24"/>
        </w:rPr>
      </w:pPr>
      <w:r w:rsidDel="00000000" w:rsidR="00000000" w:rsidRPr="00000000">
        <w:rPr>
          <w:sz w:val="24"/>
          <w:szCs w:val="24"/>
          <w:rtl w:val="0"/>
        </w:rPr>
        <w:t xml:space="preserve">When it comes to facilities for children to utilise within their time of the sentence they seem to be very limited and not at the correct standards, the Prison Reform Trust also states that ‘time spent in education and training in young offender institutions remains limited. Last year children spent less than 14 hours a week on average in education’. This is an extremely negative side when it comes to giving children a criminal liability at a young age, they miss out on school due to being in an institution and only receive on average 14 hours per week on their education. If the age was raised, younger children would still have to opportunity to be in school where they would get a total of 25 hours in education not including their breaks, states Long. R, Parliament UK. This can have an effect when it comes to the minor being released as they could possibly be behind in the education system.</w:t>
      </w:r>
    </w:p>
    <w:p w:rsidR="00000000" w:rsidDel="00000000" w:rsidP="00000000" w:rsidRDefault="00000000" w:rsidRPr="00000000" w14:paraId="00000019">
      <w:pPr>
        <w:spacing w:line="480" w:lineRule="auto"/>
        <w:ind w:firstLine="0"/>
        <w:rPr>
          <w:sz w:val="24"/>
          <w:szCs w:val="24"/>
        </w:rPr>
      </w:pPr>
      <w:r w:rsidDel="00000000" w:rsidR="00000000" w:rsidRPr="00000000">
        <w:rPr>
          <w:sz w:val="24"/>
          <w:szCs w:val="24"/>
          <w:rtl w:val="0"/>
        </w:rPr>
        <w:t xml:space="preserve">When children are situated in an institution it is the youth justice systems job to prevent such minors to offend again, to do this they introduce the children to the Youth Offending Team (YOT).</w:t>
      </w:r>
    </w:p>
    <w:p w:rsidR="00000000" w:rsidDel="00000000" w:rsidP="00000000" w:rsidRDefault="00000000" w:rsidRPr="00000000" w14:paraId="0000001A">
      <w:pPr>
        <w:spacing w:line="480" w:lineRule="auto"/>
        <w:ind w:firstLine="0"/>
        <w:rPr>
          <w:sz w:val="24"/>
          <w:szCs w:val="24"/>
        </w:rPr>
      </w:pPr>
      <w:r w:rsidDel="00000000" w:rsidR="00000000" w:rsidRPr="00000000">
        <w:rPr>
          <w:sz w:val="24"/>
          <w:szCs w:val="24"/>
          <w:rtl w:val="0"/>
        </w:rPr>
        <w:t xml:space="preserve">The youth offending teams are apart of the local council. The YOT is put into place to help and supervise minors throughout the process of arrest, court, the institutions and even when they are released to have supervision at home with the minor and their families. They also look into the background of a child to help them keep away from other crimes during their time at the institution and for their time after their period of being in an institution.  </w:t>
      </w:r>
    </w:p>
    <w:p w:rsidR="00000000" w:rsidDel="00000000" w:rsidP="00000000" w:rsidRDefault="00000000" w:rsidRPr="00000000" w14:paraId="0000001B">
      <w:pPr>
        <w:spacing w:line="480" w:lineRule="auto"/>
        <w:ind w:firstLine="0"/>
        <w:rPr>
          <w:sz w:val="24"/>
          <w:szCs w:val="24"/>
        </w:rPr>
      </w:pPr>
      <w:r w:rsidDel="00000000" w:rsidR="00000000" w:rsidRPr="00000000">
        <w:rPr>
          <w:sz w:val="24"/>
          <w:szCs w:val="24"/>
          <w:rtl w:val="0"/>
        </w:rPr>
        <w:t xml:space="preserve">This is usually a very helpful strategy when it comes to supervising minors in an institution as it can make them feel supported.</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sz w:val="24"/>
          <w:szCs w:val="24"/>
          <w:rtl w:val="0"/>
        </w:rPr>
        <w:t xml:space="preserve">In conclusion there are large amounts of factors to show that in some cases the current age of 10 years old is too young to be placed into an institution. These factors would be that the majority of the youngest ages that crimes committed are on average at the age of 14. So society then argues that 14 years old should be the age of criminal liability. Another factor to suggest that it should be raised, is that the education given through out their time spent in an institution is not at a level of where a child in a normal school environment would be at, as the hours spent in education at an institution are very limited.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sz w:val="24"/>
          <w:szCs w:val="24"/>
          <w:rtl w:val="0"/>
        </w:rPr>
        <w:t xml:space="preserve">In opinion of Allen. R he suggests that there should be more funding to help with talks in schools from the YOT, to be able to prevent such crimes at a young age. The YOT are currently doing extremely well when giving support to youth offenders but needed to be funded more for when it comes to educating children to prevent them from entering the system. </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0" w:firstLine="0"/>
        <w:rPr>
          <w:b w:val="1"/>
          <w:sz w:val="28"/>
          <w:szCs w:val="28"/>
          <w:u w:val="singl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0" w:firstLine="0"/>
        <w:rPr>
          <w:b w:val="1"/>
          <w:sz w:val="28"/>
          <w:szCs w:val="28"/>
          <w:u w:val="singl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ind w:left="0" w:firstLine="0"/>
        <w:rPr>
          <w:b w:val="1"/>
          <w:sz w:val="28"/>
          <w:szCs w:val="28"/>
          <w:u w:val="single"/>
        </w:rPr>
      </w:pPr>
      <w:r w:rsidDel="00000000" w:rsidR="00000000" w:rsidRPr="00000000">
        <w:rPr>
          <w:b w:val="1"/>
          <w:sz w:val="28"/>
          <w:szCs w:val="28"/>
          <w:u w:val="single"/>
          <w:rtl w:val="0"/>
        </w:rPr>
        <w:t xml:space="preserve">References: </w:t>
        <w:tab/>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Bulman. M, (2019), </w:t>
      </w:r>
      <w:r w:rsidDel="00000000" w:rsidR="00000000" w:rsidRPr="00000000">
        <w:rPr>
          <w:i w:val="1"/>
          <w:sz w:val="24"/>
          <w:szCs w:val="24"/>
          <w:rtl w:val="0"/>
        </w:rPr>
        <w:t xml:space="preserve">Age of criminal responsibility in England and Wales ‘too low’</w:t>
      </w:r>
      <w:r w:rsidDel="00000000" w:rsidR="00000000" w:rsidRPr="00000000">
        <w:rPr>
          <w:sz w:val="24"/>
          <w:szCs w:val="24"/>
          <w:rtl w:val="0"/>
        </w:rPr>
        <w:t xml:space="preserve">, </w:t>
      </w:r>
      <w:r w:rsidDel="00000000" w:rsidR="00000000" w:rsidRPr="00000000">
        <w:rPr>
          <w:sz w:val="24"/>
          <w:szCs w:val="24"/>
          <w:rtl w:val="0"/>
        </w:rPr>
        <w:t xml:space="preserve">The Independent.</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Long. R, (2019), </w:t>
      </w:r>
      <w:r w:rsidDel="00000000" w:rsidR="00000000" w:rsidRPr="00000000">
        <w:rPr>
          <w:i w:val="1"/>
          <w:sz w:val="24"/>
          <w:szCs w:val="24"/>
          <w:rtl w:val="0"/>
        </w:rPr>
        <w:t xml:space="preserve">The School Day and Year (England), </w:t>
      </w:r>
      <w:r w:rsidDel="00000000" w:rsidR="00000000" w:rsidRPr="00000000">
        <w:rPr>
          <w:sz w:val="24"/>
          <w:szCs w:val="24"/>
          <w:rtl w:val="0"/>
        </w:rPr>
        <w:t xml:space="preserve">House of Commons Library, p.7.</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Bromley Briefings Summer: (2018), </w:t>
      </w:r>
      <w:r w:rsidDel="00000000" w:rsidR="00000000" w:rsidRPr="00000000">
        <w:rPr>
          <w:i w:val="1"/>
          <w:sz w:val="24"/>
          <w:szCs w:val="24"/>
          <w:rtl w:val="0"/>
        </w:rPr>
        <w:t xml:space="preserve">Prison the Facts</w:t>
      </w:r>
      <w:r w:rsidDel="00000000" w:rsidR="00000000" w:rsidRPr="00000000">
        <w:rPr>
          <w:sz w:val="24"/>
          <w:szCs w:val="24"/>
          <w:rtl w:val="0"/>
        </w:rPr>
        <w:t xml:space="preserve">, Prison Reform Trust, p.13.</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Bromley Briefings Summer: (2018), </w:t>
      </w:r>
      <w:r w:rsidDel="00000000" w:rsidR="00000000" w:rsidRPr="00000000">
        <w:rPr>
          <w:i w:val="1"/>
          <w:sz w:val="24"/>
          <w:szCs w:val="24"/>
          <w:rtl w:val="0"/>
        </w:rPr>
        <w:t xml:space="preserve">Prison the Facts</w:t>
      </w:r>
      <w:r w:rsidDel="00000000" w:rsidR="00000000" w:rsidRPr="00000000">
        <w:rPr>
          <w:sz w:val="24"/>
          <w:szCs w:val="24"/>
          <w:rtl w:val="0"/>
        </w:rPr>
        <w:t xml:space="preserve">, Prison Reform Trust, p.12.</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McGuinness. T, (2015), </w:t>
      </w:r>
      <w:r w:rsidDel="00000000" w:rsidR="00000000" w:rsidRPr="00000000">
        <w:rPr>
          <w:i w:val="1"/>
          <w:sz w:val="24"/>
          <w:szCs w:val="24"/>
          <w:rtl w:val="0"/>
        </w:rPr>
        <w:t xml:space="preserve">The age of Criminal Responsibility</w:t>
      </w:r>
      <w:r w:rsidDel="00000000" w:rsidR="00000000" w:rsidRPr="00000000">
        <w:rPr>
          <w:sz w:val="24"/>
          <w:szCs w:val="24"/>
          <w:rtl w:val="0"/>
        </w:rPr>
        <w:t xml:space="preserve">, House of Commons Library, p.4.</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Crime, Justice and the Law, </w:t>
      </w:r>
      <w:r w:rsidDel="00000000" w:rsidR="00000000" w:rsidRPr="00000000">
        <w:rPr>
          <w:i w:val="1"/>
          <w:sz w:val="24"/>
          <w:szCs w:val="24"/>
          <w:rtl w:val="0"/>
        </w:rPr>
        <w:t xml:space="preserve">Youth Offending Teams</w:t>
      </w:r>
      <w:r w:rsidDel="00000000" w:rsidR="00000000" w:rsidRPr="00000000">
        <w:rPr>
          <w:sz w:val="24"/>
          <w:szCs w:val="24"/>
          <w:rtl w:val="0"/>
        </w:rPr>
        <w:t xml:space="preserve">, GOV.UK.</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ind w:left="0" w:firstLine="0"/>
        <w:rPr>
          <w:sz w:val="24"/>
          <w:szCs w:val="24"/>
        </w:rPr>
      </w:pPr>
      <w:r w:rsidDel="00000000" w:rsidR="00000000" w:rsidRPr="00000000">
        <w:rPr>
          <w:sz w:val="24"/>
          <w:szCs w:val="24"/>
          <w:rtl w:val="0"/>
        </w:rPr>
        <w:t xml:space="preserve">Crime, Justice and the Law, </w:t>
      </w:r>
      <w:r w:rsidDel="00000000" w:rsidR="00000000" w:rsidRPr="00000000">
        <w:rPr>
          <w:i w:val="1"/>
          <w:sz w:val="24"/>
          <w:szCs w:val="24"/>
          <w:rtl w:val="0"/>
        </w:rPr>
        <w:t xml:space="preserve">Youth Crime Prevention Programmes</w:t>
      </w:r>
      <w:r w:rsidDel="00000000" w:rsidR="00000000" w:rsidRPr="00000000">
        <w:rPr>
          <w:sz w:val="24"/>
          <w:szCs w:val="24"/>
          <w:rtl w:val="0"/>
        </w:rPr>
        <w:t xml:space="preserve">, GOV.UK.</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color w:val="212529"/>
          <w:sz w:val="24"/>
          <w:szCs w:val="24"/>
          <w:highlight w:val="white"/>
          <w:rtl w:val="0"/>
        </w:rPr>
        <w:t xml:space="preserve">House of Commons Justice Committee, (2013), </w:t>
      </w:r>
      <w:r w:rsidDel="00000000" w:rsidR="00000000" w:rsidRPr="00000000">
        <w:rPr>
          <w:i w:val="1"/>
          <w:color w:val="212529"/>
          <w:sz w:val="24"/>
          <w:szCs w:val="24"/>
          <w:highlight w:val="white"/>
          <w:rtl w:val="0"/>
        </w:rPr>
        <w:t xml:space="preserve">Youth Justice</w:t>
      </w:r>
      <w:r w:rsidDel="00000000" w:rsidR="00000000" w:rsidRPr="00000000">
        <w:rPr>
          <w:color w:val="212529"/>
          <w:sz w:val="24"/>
          <w:szCs w:val="24"/>
          <w:highlight w:val="white"/>
          <w:rtl w:val="0"/>
        </w:rPr>
        <w:t xml:space="preserve">, p.13.</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color w:val="212529"/>
          <w:sz w:val="24"/>
          <w:szCs w:val="24"/>
          <w:highlight w:val="white"/>
          <w:rtl w:val="0"/>
        </w:rPr>
        <w:t xml:space="preserve">Allen. R, </w:t>
      </w:r>
      <w:r w:rsidDel="00000000" w:rsidR="00000000" w:rsidRPr="00000000">
        <w:rPr>
          <w:i w:val="1"/>
          <w:color w:val="212529"/>
          <w:sz w:val="24"/>
          <w:szCs w:val="24"/>
          <w:highlight w:val="white"/>
          <w:rtl w:val="0"/>
        </w:rPr>
        <w:t xml:space="preserve">‘There Must be Some Way of Dealing with Kids’: Young Offenders, Public Attitudes and Policy Change’</w:t>
      </w:r>
      <w:r w:rsidDel="00000000" w:rsidR="00000000" w:rsidRPr="00000000">
        <w:rPr>
          <w:color w:val="212529"/>
          <w:sz w:val="24"/>
          <w:szCs w:val="24"/>
          <w:highlight w:val="white"/>
          <w:rtl w:val="0"/>
        </w:rPr>
        <w:t xml:space="preserve">, p.9.</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color w:val="212529"/>
          <w:sz w:val="24"/>
          <w:szCs w:val="24"/>
          <w:highlight w:val="white"/>
          <w:rtl w:val="0"/>
        </w:rPr>
        <w:t xml:space="preserve">Wishart. H, (2016), </w:t>
      </w:r>
      <w:r w:rsidDel="00000000" w:rsidR="00000000" w:rsidRPr="00000000">
        <w:rPr>
          <w:i w:val="1"/>
          <w:color w:val="212529"/>
          <w:sz w:val="24"/>
          <w:szCs w:val="24"/>
          <w:highlight w:val="white"/>
          <w:rtl w:val="0"/>
        </w:rPr>
        <w:t xml:space="preserve">Young Minds, Old Legal Problems: Can Neuroscience fill the Void?</w:t>
      </w:r>
      <w:r w:rsidDel="00000000" w:rsidR="00000000" w:rsidRPr="00000000">
        <w:rPr>
          <w:color w:val="212529"/>
          <w:sz w:val="24"/>
          <w:szCs w:val="24"/>
          <w:highlight w:val="white"/>
          <w:rtl w:val="0"/>
        </w:rPr>
        <w:t xml:space="preserve">, European Journal of Current Legal Issues. </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ind w:left="0" w:firstLine="0"/>
        <w:rPr>
          <w:color w:val="212529"/>
          <w:sz w:val="24"/>
          <w:szCs w:val="24"/>
          <w:highlight w:val="white"/>
        </w:rPr>
      </w:pPr>
      <w:r w:rsidDel="00000000" w:rsidR="00000000" w:rsidRPr="00000000">
        <w:rPr>
          <w:rtl w:val="0"/>
        </w:rPr>
      </w:r>
    </w:p>
    <w:sectPr>
      <w:headerReference r:id="rId7" w:type="default"/>
      <w:headerReference r:id="rId8" w:type="first"/>
      <w:footerReference r:id="rId9" w:type="first"/>
      <w:footerReference r:id="rId10" w:type="default"/>
      <w:pgSz w:h="15840" w:w="12240"/>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drawing>
        <wp:inline distB="114300" distT="114300" distL="114300" distR="114300">
          <wp:extent cx="5943600" cy="25400"/>
          <wp:effectExtent b="0" l="0" r="0" t="0"/>
          <wp:docPr descr="horizontal line" id="1" name="image4.png"/>
          <a:graphic>
            <a:graphicData uri="http://schemas.openxmlformats.org/drawingml/2006/picture">
              <pic:pic>
                <pic:nvPicPr>
                  <pic:cNvPr descr="horizontal line" id="0" name="image4.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25400"/>
          <wp:effectExtent b="0" l="0" r="0" t="0"/>
          <wp:docPr descr="horizontal line" id="2"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pStyle w:val="Subtitle"/>
      <w:pBdr>
        <w:top w:space="0" w:sz="0" w:val="nil"/>
        <w:left w:space="0" w:sz="0" w:val="nil"/>
        <w:bottom w:space="0" w:sz="0" w:val="nil"/>
        <w:right w:space="0" w:sz="0" w:val="nil"/>
        <w:between w:space="0" w:sz="0" w:val="nil"/>
      </w:pBdr>
      <w:shd w:fill="auto" w:val="clear"/>
      <w:spacing w:before="0" w:lineRule="auto"/>
      <w:rPr/>
    </w:pPr>
    <w:bookmarkStart w:colFirst="0" w:colLast="0" w:name="_w494w0yg8rg0" w:id="3"/>
    <w:bookmarkEnd w:id="3"/>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Style w:val="Subtitle"/>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2"/>
    <w:bookmarkEnd w:id="2"/>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drawing>
        <wp:inline distB="114300" distT="114300" distL="114300" distR="114300">
          <wp:extent cx="5943600" cy="25400"/>
          <wp:effectExtent b="0" l="0" r="0" 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254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Rule="auto"/>
    </w:pPr>
    <w:rPr>
      <w:b w:val="1"/>
      <w:sz w:val="32"/>
      <w:szCs w:val="32"/>
    </w:rPr>
  </w:style>
  <w:style w:type="paragraph" w:styleId="Heading2">
    <w:name w:val="heading 2"/>
    <w:basedOn w:val="Normal"/>
    <w:next w:val="Normal"/>
    <w:pPr>
      <w:spacing w:after="0" w:before="480" w:line="240" w:lineRule="auto"/>
      <w:ind w:right="1785"/>
    </w:pPr>
    <w:rPr>
      <w:b w:val="1"/>
      <w:sz w:val="26"/>
      <w:szCs w:val="26"/>
    </w:rPr>
  </w:style>
  <w:style w:type="paragraph" w:styleId="Heading3">
    <w:name w:val="heading 3"/>
    <w:basedOn w:val="Normal"/>
    <w:next w:val="Normal"/>
    <w:pPr/>
    <w:rPr>
      <w:b w:val="1"/>
      <w:color w:val="8c7252"/>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