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160543695"/>
        <w:docPartObj>
          <w:docPartGallery w:val="Cover Pages"/>
          <w:docPartUnique/>
        </w:docPartObj>
      </w:sdtPr>
      <w:sdtEndPr>
        <w:rPr>
          <w:rFonts w:asciiTheme="minorBidi" w:eastAsiaTheme="minorHAnsi" w:hAnsiTheme="minorBidi"/>
          <w:b/>
          <w:bCs/>
          <w:color w:val="auto"/>
          <w:kern w:val="2"/>
          <w:sz w:val="32"/>
          <w:szCs w:val="32"/>
          <w:u w:val="single"/>
          <w:lang w:val="en-GB" w:eastAsia="en-US"/>
          <w14:ligatures w14:val="standardContextual"/>
        </w:rPr>
      </w:sdtEndPr>
      <w:sdtContent>
        <w:p w14:paraId="50DD7012" w14:textId="55538DC7" w:rsidR="001C0B22" w:rsidRDefault="001C0B22">
          <w:pPr>
            <w:pStyle w:val="NoSpacing"/>
            <w:spacing w:before="1540" w:after="240"/>
            <w:jc w:val="center"/>
            <w:rPr>
              <w:color w:val="156082" w:themeColor="accent1"/>
            </w:rPr>
          </w:pPr>
        </w:p>
        <w:sdt>
          <w:sdtPr>
            <w:rPr>
              <w:rFonts w:asciiTheme="majorHAnsi" w:eastAsiaTheme="majorEastAsia" w:hAnsiTheme="majorHAnsi" w:cstheme="majorBidi"/>
              <w:caps/>
              <w:color w:val="156082" w:themeColor="accent1"/>
              <w:sz w:val="72"/>
              <w:szCs w:val="72"/>
            </w:rPr>
            <w:alias w:val="Title"/>
            <w:tag w:val=""/>
            <w:id w:val="1735040861"/>
            <w:placeholder>
              <w:docPart w:val="C567FE850F13F84F97974FA6A4C82C1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213A21" w14:textId="1438156F" w:rsidR="001C0B22" w:rsidRDefault="001C0B2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mODULE TITLE: LCHS4003 INTRODUCTION TO HEALTH AND SOCIAL CARE</w:t>
              </w:r>
            </w:p>
          </w:sdtContent>
        </w:sdt>
        <w:sdt>
          <w:sdtPr>
            <w:rPr>
              <w:color w:val="156082" w:themeColor="accent1"/>
              <w:sz w:val="28"/>
              <w:szCs w:val="28"/>
            </w:rPr>
            <w:alias w:val="Subtitle"/>
            <w:tag w:val=""/>
            <w:id w:val="328029620"/>
            <w:placeholder>
              <w:docPart w:val="28D0B8141C7A2745A1CC7D6C3ED6EA74"/>
            </w:placeholder>
            <w:dataBinding w:prefixMappings="xmlns:ns0='http://purl.org/dc/elements/1.1/' xmlns:ns1='http://schemas.openxmlformats.org/package/2006/metadata/core-properties' " w:xpath="/ns1:coreProperties[1]/ns0:subject[1]" w:storeItemID="{6C3C8BC8-F283-45AE-878A-BAB7291924A1}"/>
            <w:text/>
          </w:sdtPr>
          <w:sdtContent>
            <w:p w14:paraId="47BFEACA" w14:textId="602FB8E7" w:rsidR="001C0B22" w:rsidRDefault="001C0B22">
              <w:pPr>
                <w:pStyle w:val="NoSpacing"/>
                <w:jc w:val="center"/>
                <w:rPr>
                  <w:color w:val="156082" w:themeColor="accent1"/>
                  <w:sz w:val="28"/>
                  <w:szCs w:val="28"/>
                </w:rPr>
              </w:pPr>
              <w:r>
                <w:rPr>
                  <w:color w:val="156082" w:themeColor="accent1"/>
                  <w:sz w:val="28"/>
                  <w:szCs w:val="28"/>
                </w:rPr>
                <w:t xml:space="preserve">ASSESMENT TITLE: WRITTEN ASSIGNMENT </w:t>
              </w:r>
            </w:p>
          </w:sdtContent>
        </w:sdt>
        <w:p w14:paraId="289F2951" w14:textId="77A5DEAE" w:rsidR="001C0B22" w:rsidRDefault="001C0B22" w:rsidP="001C0B22">
          <w:pPr>
            <w:pStyle w:val="NoSpacing"/>
            <w:spacing w:before="480"/>
            <w:rPr>
              <w:color w:val="156082" w:themeColor="accent1"/>
            </w:rPr>
          </w:pPr>
          <w:r>
            <w:rPr>
              <w:color w:val="156082" w:themeColor="accent1"/>
            </w:rPr>
            <w:t xml:space="preserve">                                         STUDENT </w:t>
          </w:r>
          <w:proofErr w:type="gramStart"/>
          <w:r>
            <w:rPr>
              <w:color w:val="156082" w:themeColor="accent1"/>
            </w:rPr>
            <w:t>NAME :</w:t>
          </w:r>
          <w:proofErr w:type="gramEnd"/>
          <w:r>
            <w:rPr>
              <w:color w:val="156082" w:themeColor="accent1"/>
            </w:rPr>
            <w:t xml:space="preserve"> EMMANUEL OPPONG </w:t>
          </w:r>
          <w:r>
            <w:rPr>
              <w:color w:val="156082" w:themeColor="accent1"/>
            </w:rPr>
            <w:br/>
            <w:t xml:space="preserve">                                         STUDENT NUMBER: 2435925</w:t>
          </w:r>
          <w:r>
            <w:rPr>
              <w:color w:val="156082" w:themeColor="accent1"/>
            </w:rPr>
            <w:br/>
            <w:t xml:space="preserve">                                         DATE: 26/03/2026</w:t>
          </w:r>
        </w:p>
        <w:p w14:paraId="3D44010B" w14:textId="77777777" w:rsidR="001C0B22" w:rsidRDefault="001C0B22" w:rsidP="001C0B22">
          <w:pPr>
            <w:pStyle w:val="NoSpacing"/>
            <w:spacing w:before="480"/>
            <w:rPr>
              <w:color w:val="156082" w:themeColor="accent1"/>
            </w:rPr>
          </w:pPr>
        </w:p>
        <w:p w14:paraId="22E5E101" w14:textId="77777777" w:rsidR="001C0B22" w:rsidRDefault="001C0B22" w:rsidP="001C0B22">
          <w:pPr>
            <w:pStyle w:val="NoSpacing"/>
            <w:spacing w:before="480"/>
            <w:rPr>
              <w:color w:val="156082" w:themeColor="accent1"/>
            </w:rPr>
          </w:pPr>
        </w:p>
        <w:p w14:paraId="57182034" w14:textId="77777777" w:rsidR="001C0B22" w:rsidRDefault="001C0B22" w:rsidP="001C0B22">
          <w:pPr>
            <w:pStyle w:val="NoSpacing"/>
            <w:spacing w:before="480"/>
            <w:rPr>
              <w:color w:val="156082" w:themeColor="accent1"/>
            </w:rPr>
          </w:pPr>
        </w:p>
        <w:p w14:paraId="143E03D9" w14:textId="77777777" w:rsidR="001C0B22" w:rsidRDefault="001C0B22" w:rsidP="001C0B22">
          <w:pPr>
            <w:pStyle w:val="NoSpacing"/>
            <w:spacing w:before="480"/>
            <w:rPr>
              <w:color w:val="156082" w:themeColor="accent1"/>
            </w:rPr>
          </w:pPr>
        </w:p>
        <w:p w14:paraId="1DDC776C" w14:textId="77777777" w:rsidR="001C0B22" w:rsidRDefault="001C0B22" w:rsidP="001C0B22">
          <w:pPr>
            <w:pStyle w:val="NoSpacing"/>
            <w:spacing w:before="480"/>
            <w:rPr>
              <w:color w:val="156082" w:themeColor="accent1"/>
            </w:rPr>
          </w:pPr>
        </w:p>
        <w:p w14:paraId="3DDE9883" w14:textId="77777777" w:rsidR="001C0B22" w:rsidRDefault="001C0B22" w:rsidP="001C0B22">
          <w:pPr>
            <w:pStyle w:val="NoSpacing"/>
            <w:spacing w:before="480"/>
            <w:rPr>
              <w:color w:val="156082" w:themeColor="accent1"/>
            </w:rPr>
          </w:pPr>
        </w:p>
        <w:p w14:paraId="1AD00D22" w14:textId="77777777" w:rsidR="001C0B22" w:rsidRDefault="001C0B22" w:rsidP="001C0B22">
          <w:pPr>
            <w:pStyle w:val="NoSpacing"/>
            <w:spacing w:before="480"/>
            <w:rPr>
              <w:color w:val="156082" w:themeColor="accent1"/>
            </w:rPr>
          </w:pPr>
        </w:p>
        <w:p w14:paraId="7313D882" w14:textId="77777777" w:rsidR="001C0B22" w:rsidRDefault="001C0B22" w:rsidP="001C0B22">
          <w:pPr>
            <w:pStyle w:val="NoSpacing"/>
            <w:spacing w:before="480"/>
            <w:rPr>
              <w:color w:val="156082" w:themeColor="accent1"/>
            </w:rPr>
          </w:pPr>
        </w:p>
        <w:p w14:paraId="5A419204" w14:textId="4E764D79" w:rsidR="001C0B22" w:rsidRDefault="001C0B22">
          <w:pPr>
            <w:rPr>
              <w:rFonts w:asciiTheme="minorBidi" w:hAnsiTheme="minorBidi"/>
              <w:b/>
              <w:bCs/>
              <w:sz w:val="32"/>
              <w:szCs w:val="32"/>
              <w:u w:val="single"/>
            </w:rPr>
          </w:pPr>
        </w:p>
      </w:sdtContent>
    </w:sdt>
    <w:p w14:paraId="4910F67A" w14:textId="61C1936C" w:rsidR="00857D3D" w:rsidRPr="00785BF3" w:rsidRDefault="00785BF3" w:rsidP="00785BF3">
      <w:pPr>
        <w:jc w:val="center"/>
        <w:rPr>
          <w:rFonts w:asciiTheme="minorBidi" w:hAnsiTheme="minorBidi"/>
          <w:b/>
          <w:bCs/>
          <w:sz w:val="32"/>
          <w:szCs w:val="32"/>
          <w:u w:val="single"/>
        </w:rPr>
      </w:pPr>
      <w:r>
        <w:rPr>
          <w:rFonts w:asciiTheme="minorBidi" w:hAnsiTheme="minorBidi"/>
          <w:b/>
          <w:bCs/>
          <w:sz w:val="32"/>
          <w:szCs w:val="32"/>
          <w:u w:val="single"/>
        </w:rPr>
        <w:t>CASE STUDY FOR MR AHMED</w:t>
      </w:r>
    </w:p>
    <w:p w14:paraId="489E57CA" w14:textId="77777777" w:rsidR="00CF3BE9" w:rsidRPr="0072417F" w:rsidRDefault="00CF3BE9">
      <w:pPr>
        <w:rPr>
          <w:rFonts w:asciiTheme="minorBidi" w:hAnsiTheme="minorBidi"/>
          <w:sz w:val="22"/>
          <w:szCs w:val="22"/>
        </w:rPr>
      </w:pPr>
    </w:p>
    <w:p w14:paraId="57B4F5E0" w14:textId="7DDA7236" w:rsidR="006F78BC" w:rsidRPr="006F78BC" w:rsidRDefault="006F78BC" w:rsidP="006F78BC">
      <w:pPr>
        <w:spacing w:line="360" w:lineRule="auto"/>
        <w:rPr>
          <w:rFonts w:asciiTheme="minorBidi" w:hAnsiTheme="minorBidi"/>
          <w:sz w:val="22"/>
          <w:szCs w:val="22"/>
        </w:rPr>
      </w:pPr>
      <w:r w:rsidRPr="006F78BC">
        <w:rPr>
          <w:rFonts w:asciiTheme="minorBidi" w:hAnsiTheme="minorBidi"/>
          <w:sz w:val="22"/>
          <w:szCs w:val="22"/>
        </w:rPr>
        <w:t>Delivering safe and effective care for individuals with complex needs requires coordinated, person-centred support from multiple health and social care professionals. This report examines the case of Mr Ahmed, a 68-year-old man recovering from a stroke who now depends on a multidisciplinary team</w:t>
      </w:r>
      <w:r w:rsidRPr="0072417F">
        <w:rPr>
          <w:rFonts w:asciiTheme="minorBidi" w:hAnsiTheme="minorBidi"/>
          <w:sz w:val="22"/>
          <w:szCs w:val="22"/>
        </w:rPr>
        <w:t xml:space="preserve"> </w:t>
      </w:r>
      <w:r w:rsidRPr="006F78BC">
        <w:rPr>
          <w:rFonts w:asciiTheme="minorBidi" w:hAnsiTheme="minorBidi"/>
          <w:sz w:val="22"/>
          <w:szCs w:val="22"/>
        </w:rPr>
        <w:t>including his GP, district nurse, speech and language therapist, and domiciliary care workers</w:t>
      </w:r>
      <w:r w:rsidRPr="0072417F">
        <w:rPr>
          <w:rFonts w:asciiTheme="minorBidi" w:hAnsiTheme="minorBidi"/>
          <w:sz w:val="22"/>
          <w:szCs w:val="22"/>
        </w:rPr>
        <w:t xml:space="preserve">, </w:t>
      </w:r>
      <w:r w:rsidRPr="006F78BC">
        <w:rPr>
          <w:rFonts w:asciiTheme="minorBidi" w:hAnsiTheme="minorBidi"/>
          <w:sz w:val="22"/>
          <w:szCs w:val="22"/>
        </w:rPr>
        <w:t xml:space="preserve">for medical management and daily support. Communication challenges are also present, as </w:t>
      </w:r>
      <w:r w:rsidRPr="0072417F">
        <w:rPr>
          <w:rFonts w:asciiTheme="minorBidi" w:hAnsiTheme="minorBidi"/>
          <w:sz w:val="22"/>
          <w:szCs w:val="22"/>
        </w:rPr>
        <w:t>Mr.</w:t>
      </w:r>
      <w:r w:rsidRPr="006F78BC">
        <w:rPr>
          <w:rFonts w:asciiTheme="minorBidi" w:hAnsiTheme="minorBidi"/>
          <w:sz w:val="22"/>
          <w:szCs w:val="22"/>
        </w:rPr>
        <w:t xml:space="preserve"> Ahmed’s first language is </w:t>
      </w:r>
      <w:proofErr w:type="gramStart"/>
      <w:r w:rsidRPr="006F78BC">
        <w:rPr>
          <w:rFonts w:asciiTheme="minorBidi" w:hAnsiTheme="minorBidi"/>
          <w:sz w:val="22"/>
          <w:szCs w:val="22"/>
        </w:rPr>
        <w:t>Bengali</w:t>
      </w:r>
      <w:proofErr w:type="gramEnd"/>
      <w:r w:rsidRPr="006F78BC">
        <w:rPr>
          <w:rFonts w:asciiTheme="minorBidi" w:hAnsiTheme="minorBidi"/>
          <w:sz w:val="22"/>
          <w:szCs w:val="22"/>
        </w:rPr>
        <w:t xml:space="preserve"> and he relies heavily on his wife to communicate with professionals.</w:t>
      </w:r>
    </w:p>
    <w:p w14:paraId="54496433" w14:textId="77777777" w:rsidR="006F78BC" w:rsidRPr="006F78BC" w:rsidRDefault="006F78BC" w:rsidP="006F78BC">
      <w:pPr>
        <w:spacing w:line="360" w:lineRule="auto"/>
        <w:rPr>
          <w:rFonts w:asciiTheme="minorBidi" w:hAnsiTheme="minorBidi"/>
          <w:sz w:val="22"/>
          <w:szCs w:val="22"/>
        </w:rPr>
      </w:pPr>
      <w:r w:rsidRPr="006F78BC">
        <w:rPr>
          <w:rFonts w:asciiTheme="minorBidi" w:hAnsiTheme="minorBidi"/>
          <w:sz w:val="22"/>
          <w:szCs w:val="22"/>
        </w:rPr>
        <w:t xml:space="preserve">A recent missed home visit, which led to delayed medication administration, highlights </w:t>
      </w:r>
      <w:proofErr w:type="gramStart"/>
      <w:r w:rsidRPr="006F78BC">
        <w:rPr>
          <w:rFonts w:asciiTheme="minorBidi" w:hAnsiTheme="minorBidi"/>
          <w:sz w:val="22"/>
          <w:szCs w:val="22"/>
        </w:rPr>
        <w:t>concerns</w:t>
      </w:r>
      <w:proofErr w:type="gramEnd"/>
      <w:r w:rsidRPr="006F78BC">
        <w:rPr>
          <w:rFonts w:asciiTheme="minorBidi" w:hAnsiTheme="minorBidi"/>
          <w:sz w:val="22"/>
          <w:szCs w:val="22"/>
        </w:rPr>
        <w:t xml:space="preserve"> about communication, administrative processes, and continuity of care. This incident emphasises the importance of effective teamwork, clear documentation, and professional accountability to maintain patient safety.</w:t>
      </w:r>
    </w:p>
    <w:p w14:paraId="1E95D07F" w14:textId="4CF3EDC9" w:rsidR="006F78BC" w:rsidRPr="006F78BC" w:rsidRDefault="006F78BC" w:rsidP="006F78BC">
      <w:pPr>
        <w:spacing w:line="360" w:lineRule="auto"/>
        <w:rPr>
          <w:rFonts w:asciiTheme="minorBidi" w:hAnsiTheme="minorBidi"/>
          <w:sz w:val="22"/>
          <w:szCs w:val="22"/>
        </w:rPr>
      </w:pPr>
      <w:r w:rsidRPr="006F78BC">
        <w:rPr>
          <w:rFonts w:asciiTheme="minorBidi" w:hAnsiTheme="minorBidi"/>
          <w:sz w:val="22"/>
          <w:szCs w:val="22"/>
        </w:rPr>
        <w:t xml:space="preserve">The report will explore key aspects of </w:t>
      </w:r>
      <w:r w:rsidRPr="0072417F">
        <w:rPr>
          <w:rFonts w:asciiTheme="minorBidi" w:hAnsiTheme="minorBidi"/>
          <w:sz w:val="22"/>
          <w:szCs w:val="22"/>
        </w:rPr>
        <w:t>Mr.</w:t>
      </w:r>
      <w:r w:rsidRPr="006F78BC">
        <w:rPr>
          <w:rFonts w:asciiTheme="minorBidi" w:hAnsiTheme="minorBidi"/>
          <w:sz w:val="22"/>
          <w:szCs w:val="22"/>
        </w:rPr>
        <w:t xml:space="preserve"> Ahmed’s care, including effective communication with the service user and family, the role of administrative skills and record keeping, and the importance of collaborative working among professionals. Relevant legislation, policies, and best-practice guidance will be considered to demonstrate how high-quality care can be delivered in community settings.</w:t>
      </w:r>
    </w:p>
    <w:p w14:paraId="28D3B100" w14:textId="77777777" w:rsidR="006F78BC" w:rsidRPr="0072417F" w:rsidRDefault="006F78BC" w:rsidP="00023106">
      <w:pPr>
        <w:spacing w:line="360" w:lineRule="auto"/>
        <w:rPr>
          <w:rFonts w:asciiTheme="minorBidi" w:hAnsiTheme="minorBidi"/>
          <w:sz w:val="22"/>
          <w:szCs w:val="22"/>
        </w:rPr>
      </w:pPr>
    </w:p>
    <w:p w14:paraId="16E53004" w14:textId="46B822EA"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Effective communication is fundamental in ensuring safe and person-centred care, particularly for individuals with complex health needs such as </w:t>
      </w:r>
      <w:r w:rsidR="006F78BC" w:rsidRPr="0072417F">
        <w:rPr>
          <w:rFonts w:asciiTheme="minorBidi" w:hAnsiTheme="minorBidi"/>
          <w:sz w:val="22"/>
          <w:szCs w:val="22"/>
        </w:rPr>
        <w:t>Mr.</w:t>
      </w:r>
      <w:r w:rsidRPr="00023106">
        <w:rPr>
          <w:rFonts w:asciiTheme="minorBidi" w:hAnsiTheme="minorBidi"/>
          <w:sz w:val="22"/>
          <w:szCs w:val="22"/>
        </w:rPr>
        <w:t xml:space="preserve"> Ahmed. Following his stroke, </w:t>
      </w:r>
      <w:r w:rsidR="006F78BC" w:rsidRPr="0072417F">
        <w:rPr>
          <w:rFonts w:asciiTheme="minorBidi" w:hAnsiTheme="minorBidi"/>
          <w:sz w:val="22"/>
          <w:szCs w:val="22"/>
        </w:rPr>
        <w:t>Mr.</w:t>
      </w:r>
      <w:r w:rsidRPr="00023106">
        <w:rPr>
          <w:rFonts w:asciiTheme="minorBidi" w:hAnsiTheme="minorBidi"/>
          <w:sz w:val="22"/>
          <w:szCs w:val="22"/>
        </w:rPr>
        <w:t xml:space="preserve"> Ahmed requires coordinated support from a multidisciplinary team that includes domiciliary carers, a general practitioner (GP), district nurses, and a speech and language therapist. Clear and effective communication between healthcare professionals, </w:t>
      </w:r>
      <w:r w:rsidR="006F78BC" w:rsidRPr="0072417F">
        <w:rPr>
          <w:rFonts w:asciiTheme="minorBidi" w:hAnsiTheme="minorBidi"/>
          <w:sz w:val="22"/>
          <w:szCs w:val="22"/>
        </w:rPr>
        <w:t>Mr.</w:t>
      </w:r>
      <w:r w:rsidRPr="00023106">
        <w:rPr>
          <w:rFonts w:asciiTheme="minorBidi" w:hAnsiTheme="minorBidi"/>
          <w:sz w:val="22"/>
          <w:szCs w:val="22"/>
        </w:rPr>
        <w:t xml:space="preserve"> Ahmed, and his family is essential to ensure that care is delivered safely and consistently. In this case, the missed home visit that resulted in delayed medication administration highlights how breakdowns in communication can negatively affect patient safety and continuity of care (NHS England, 2019).</w:t>
      </w:r>
    </w:p>
    <w:p w14:paraId="716FC3AB" w14:textId="504C2B34"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A key aspect of communication in </w:t>
      </w:r>
      <w:r w:rsidR="006F78BC" w:rsidRPr="0072417F">
        <w:rPr>
          <w:rFonts w:asciiTheme="minorBidi" w:hAnsiTheme="minorBidi"/>
          <w:sz w:val="22"/>
          <w:szCs w:val="22"/>
        </w:rPr>
        <w:t>Mr.</w:t>
      </w:r>
      <w:r w:rsidRPr="00023106">
        <w:rPr>
          <w:rFonts w:asciiTheme="minorBidi" w:hAnsiTheme="minorBidi"/>
          <w:sz w:val="22"/>
          <w:szCs w:val="22"/>
        </w:rPr>
        <w:t xml:space="preserve"> Ahmed’s care is recognising and addressing language barriers. </w:t>
      </w:r>
      <w:r w:rsidR="006F78BC" w:rsidRPr="0072417F">
        <w:rPr>
          <w:rFonts w:asciiTheme="minorBidi" w:hAnsiTheme="minorBidi"/>
          <w:sz w:val="22"/>
          <w:szCs w:val="22"/>
        </w:rPr>
        <w:t>Mr.</w:t>
      </w:r>
      <w:r w:rsidRPr="00023106">
        <w:rPr>
          <w:rFonts w:asciiTheme="minorBidi" w:hAnsiTheme="minorBidi"/>
          <w:sz w:val="22"/>
          <w:szCs w:val="22"/>
        </w:rPr>
        <w:t xml:space="preserve"> Ahmed’s first language is Bengali</w:t>
      </w:r>
      <w:r w:rsidR="006F78BC" w:rsidRPr="0072417F">
        <w:rPr>
          <w:rFonts w:asciiTheme="minorBidi" w:hAnsiTheme="minorBidi"/>
          <w:sz w:val="22"/>
          <w:szCs w:val="22"/>
        </w:rPr>
        <w:t>,</w:t>
      </w:r>
      <w:r w:rsidRPr="00023106">
        <w:rPr>
          <w:rFonts w:asciiTheme="minorBidi" w:hAnsiTheme="minorBidi"/>
          <w:sz w:val="22"/>
          <w:szCs w:val="22"/>
        </w:rPr>
        <w:t xml:space="preserve"> and he has </w:t>
      </w:r>
      <w:r w:rsidR="006F78BC" w:rsidRPr="0072417F">
        <w:rPr>
          <w:rFonts w:asciiTheme="minorBidi" w:hAnsiTheme="minorBidi"/>
          <w:sz w:val="22"/>
          <w:szCs w:val="22"/>
        </w:rPr>
        <w:t xml:space="preserve">a </w:t>
      </w:r>
      <w:r w:rsidRPr="00023106">
        <w:rPr>
          <w:rFonts w:asciiTheme="minorBidi" w:hAnsiTheme="minorBidi"/>
          <w:sz w:val="22"/>
          <w:szCs w:val="22"/>
        </w:rPr>
        <w:t xml:space="preserve">limited understanding of English, particularly when complex medical information is involved. According to the Equality Act 2010, healthcare providers must ensure that services are accessible and free from discrimination. Language differences can be associated with the protected characteristic of race, which includes nationality and ethnic origin. Healthcare organisations therefore have a legal duty to make reasonable adjustments to ensure that individuals can access services </w:t>
      </w:r>
      <w:r w:rsidRPr="00023106">
        <w:rPr>
          <w:rFonts w:asciiTheme="minorBidi" w:hAnsiTheme="minorBidi"/>
          <w:sz w:val="22"/>
          <w:szCs w:val="22"/>
        </w:rPr>
        <w:lastRenderedPageBreak/>
        <w:t>and understand the care they receive (Equality Act, 2010). This may include providing professional interpreters, translated materials, or visual aids to assist understanding. While Mr Ahmed’s wife speaks fluent English and often communicates with healthcare professionals on his behalf, it remains important that Mr Ahmed himself is involved in decisions about his care to maintain autonomy and dignity.</w:t>
      </w:r>
    </w:p>
    <w:p w14:paraId="67B27C7E" w14:textId="44415B55"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Effective communication also requires healthcare professionals to adapt their communication style to meet </w:t>
      </w:r>
      <w:r w:rsidR="006F78BC" w:rsidRPr="0072417F">
        <w:rPr>
          <w:rFonts w:asciiTheme="minorBidi" w:hAnsiTheme="minorBidi"/>
          <w:sz w:val="22"/>
          <w:szCs w:val="22"/>
        </w:rPr>
        <w:t>Mr.</w:t>
      </w:r>
      <w:r w:rsidRPr="00023106">
        <w:rPr>
          <w:rFonts w:asciiTheme="minorBidi" w:hAnsiTheme="minorBidi"/>
          <w:sz w:val="22"/>
          <w:szCs w:val="22"/>
        </w:rPr>
        <w:t xml:space="preserve"> Ahmed’s needs. This can include using clear and simple language, avoiding complex medical terminology, and checking understanding through techniques such as asking the patient to repeat key information. Non-verbal communication</w:t>
      </w:r>
      <w:r w:rsidR="006F78BC" w:rsidRPr="0072417F">
        <w:rPr>
          <w:rFonts w:asciiTheme="minorBidi" w:hAnsiTheme="minorBidi"/>
          <w:sz w:val="22"/>
          <w:szCs w:val="22"/>
        </w:rPr>
        <w:t>,</w:t>
      </w:r>
      <w:r w:rsidRPr="00023106">
        <w:rPr>
          <w:rFonts w:asciiTheme="minorBidi" w:hAnsiTheme="minorBidi"/>
          <w:sz w:val="22"/>
          <w:szCs w:val="22"/>
        </w:rPr>
        <w:t xml:space="preserve"> such as eye contact, gestures, and appropriate body language</w:t>
      </w:r>
      <w:r w:rsidR="006F78BC" w:rsidRPr="0072417F">
        <w:rPr>
          <w:rFonts w:asciiTheme="minorBidi" w:hAnsiTheme="minorBidi"/>
          <w:sz w:val="22"/>
          <w:szCs w:val="22"/>
        </w:rPr>
        <w:t>,</w:t>
      </w:r>
      <w:r w:rsidRPr="00023106">
        <w:rPr>
          <w:rFonts w:asciiTheme="minorBidi" w:hAnsiTheme="minorBidi"/>
          <w:sz w:val="22"/>
          <w:szCs w:val="22"/>
        </w:rPr>
        <w:t xml:space="preserve"> can also support understanding and help build trust between the patient and healthcare providers (Arnold and Boggs, 2020).</w:t>
      </w:r>
    </w:p>
    <w:p w14:paraId="455ED3E7" w14:textId="6FF13D69"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To support effective communication between healthcare professionals, structured communication tools such as the SBAR model (Situation, Background, Assessment, Recommendation) can be used. SBAR helps ensure that important information is communicated clearly and efficiently within multidisciplinary teams. For example, if a care worker identifies that </w:t>
      </w:r>
      <w:r w:rsidR="006F78BC" w:rsidRPr="0072417F">
        <w:rPr>
          <w:rFonts w:asciiTheme="minorBidi" w:hAnsiTheme="minorBidi"/>
          <w:sz w:val="22"/>
          <w:szCs w:val="22"/>
        </w:rPr>
        <w:t>Mr.</w:t>
      </w:r>
      <w:r w:rsidRPr="00023106">
        <w:rPr>
          <w:rFonts w:asciiTheme="minorBidi" w:hAnsiTheme="minorBidi"/>
          <w:sz w:val="22"/>
          <w:szCs w:val="22"/>
        </w:rPr>
        <w:t xml:space="preserve"> Ahmed missed his medication due to a missed home visit, they can use SBAR to report the issue. The “Situation” would describe the missed visit, the “Background” would outline </w:t>
      </w:r>
      <w:r w:rsidR="006F78BC" w:rsidRPr="0072417F">
        <w:rPr>
          <w:rFonts w:asciiTheme="minorBidi" w:hAnsiTheme="minorBidi"/>
          <w:sz w:val="22"/>
          <w:szCs w:val="22"/>
        </w:rPr>
        <w:t>Mr.</w:t>
      </w:r>
      <w:r w:rsidRPr="00023106">
        <w:rPr>
          <w:rFonts w:asciiTheme="minorBidi" w:hAnsiTheme="minorBidi"/>
          <w:sz w:val="22"/>
          <w:szCs w:val="22"/>
        </w:rPr>
        <w:t xml:space="preserve"> Ahmed’s recent stroke and medication needs, the “Assessment” would identify any potential risks, and the “Recommendation” would suggest appropriate actions, such as reviewing care schedules or ensuring medication administration is completed promptly (Haig, Sutton</w:t>
      </w:r>
      <w:r w:rsidR="006F78BC" w:rsidRPr="0072417F">
        <w:rPr>
          <w:rFonts w:asciiTheme="minorBidi" w:hAnsiTheme="minorBidi"/>
          <w:sz w:val="22"/>
          <w:szCs w:val="22"/>
        </w:rPr>
        <w:t>,</w:t>
      </w:r>
      <w:r w:rsidRPr="00023106">
        <w:rPr>
          <w:rFonts w:asciiTheme="minorBidi" w:hAnsiTheme="minorBidi"/>
          <w:sz w:val="22"/>
          <w:szCs w:val="22"/>
        </w:rPr>
        <w:t xml:space="preserve"> and Whittington, 2006).</w:t>
      </w:r>
    </w:p>
    <w:p w14:paraId="7C7CC082" w14:textId="51880154" w:rsidR="00023106" w:rsidRPr="0072417F" w:rsidRDefault="00023106" w:rsidP="00023106">
      <w:pPr>
        <w:spacing w:line="360" w:lineRule="auto"/>
        <w:rPr>
          <w:rFonts w:asciiTheme="minorBidi" w:hAnsiTheme="minorBidi"/>
          <w:sz w:val="22"/>
          <w:szCs w:val="22"/>
        </w:rPr>
      </w:pPr>
      <w:r w:rsidRPr="0072417F">
        <w:rPr>
          <w:rFonts w:asciiTheme="minorBidi" w:hAnsiTheme="minorBidi"/>
          <w:sz w:val="22"/>
          <w:szCs w:val="22"/>
        </w:rPr>
        <w:t xml:space="preserve"> Good administrative skills are essential in health and social care to ensure safe, coordinated, and effective delivery of services. Within the context of Mr Ahmed’s care, strong administrative practices are particularly important due to the involvement of multiple professionals, including domiciliary carers, a general practitioner (GP), a district nurse, and a speech and language therapist. Accurate administration supports communication between professionals, ensures continuity of care, and helps prevent errors such as missed visits or delayed medication. The recent incident where </w:t>
      </w:r>
      <w:r w:rsidR="003F79FD" w:rsidRPr="0072417F">
        <w:rPr>
          <w:rFonts w:asciiTheme="minorBidi" w:hAnsiTheme="minorBidi"/>
          <w:sz w:val="22"/>
          <w:szCs w:val="22"/>
        </w:rPr>
        <w:t>Mr.</w:t>
      </w:r>
      <w:r w:rsidRPr="0072417F">
        <w:rPr>
          <w:rFonts w:asciiTheme="minorBidi" w:hAnsiTheme="minorBidi"/>
          <w:sz w:val="22"/>
          <w:szCs w:val="22"/>
        </w:rPr>
        <w:t xml:space="preserve"> Ahmed did not receive his prescribed medication due to a missed care visit demonstrates how poor administrative processes can negatively affect patient safety and </w:t>
      </w:r>
      <w:r w:rsidR="003F79FD" w:rsidRPr="0072417F">
        <w:rPr>
          <w:rFonts w:asciiTheme="minorBidi" w:hAnsiTheme="minorBidi"/>
          <w:sz w:val="22"/>
          <w:szCs w:val="22"/>
        </w:rPr>
        <w:t>well-being</w:t>
      </w:r>
      <w:r w:rsidRPr="0072417F">
        <w:rPr>
          <w:rFonts w:asciiTheme="minorBidi" w:hAnsiTheme="minorBidi"/>
          <w:sz w:val="22"/>
          <w:szCs w:val="22"/>
        </w:rPr>
        <w:t>.</w:t>
      </w:r>
    </w:p>
    <w:p w14:paraId="58F22C11" w14:textId="3C83EE2A"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One of the most important administrative responsibilities in health and social care is accurate </w:t>
      </w:r>
      <w:r w:rsidR="003F79FD" w:rsidRPr="0072417F">
        <w:rPr>
          <w:rFonts w:asciiTheme="minorBidi" w:hAnsiTheme="minorBidi"/>
          <w:sz w:val="22"/>
          <w:szCs w:val="22"/>
        </w:rPr>
        <w:t>record-keeping</w:t>
      </w:r>
      <w:r w:rsidRPr="00023106">
        <w:rPr>
          <w:rFonts w:asciiTheme="minorBidi" w:hAnsiTheme="minorBidi"/>
          <w:sz w:val="22"/>
          <w:szCs w:val="22"/>
        </w:rPr>
        <w:t xml:space="preserve">. Healthcare records provide a detailed account of a patient’s medical history, treatment plans, medication schedules, and care needs. For </w:t>
      </w:r>
      <w:r w:rsidR="003F79FD" w:rsidRPr="0072417F">
        <w:rPr>
          <w:rFonts w:asciiTheme="minorBidi" w:hAnsiTheme="minorBidi"/>
          <w:sz w:val="22"/>
          <w:szCs w:val="22"/>
        </w:rPr>
        <w:t>Mr.</w:t>
      </w:r>
      <w:r w:rsidRPr="00023106">
        <w:rPr>
          <w:rFonts w:asciiTheme="minorBidi" w:hAnsiTheme="minorBidi"/>
          <w:sz w:val="22"/>
          <w:szCs w:val="22"/>
        </w:rPr>
        <w:t xml:space="preserve"> Ahmed, clear documentation ensures that all members of the multidisciplinary team are aware of his </w:t>
      </w:r>
      <w:r w:rsidRPr="00023106">
        <w:rPr>
          <w:rFonts w:asciiTheme="minorBidi" w:hAnsiTheme="minorBidi"/>
          <w:sz w:val="22"/>
          <w:szCs w:val="22"/>
        </w:rPr>
        <w:lastRenderedPageBreak/>
        <w:t>condition following his stroke, his medication requirements, and any ongoing therapy or monitoring. Records also allow professionals to track changes in his health, review treatment effectiveness, and identify potential risks. According to the Nursing and Midwifery Council (NMC</w:t>
      </w:r>
      <w:r w:rsidRPr="00023106">
        <w:rPr>
          <w:rFonts w:asciiTheme="minorBidi" w:hAnsiTheme="minorBidi"/>
          <w:b/>
          <w:bCs/>
          <w:sz w:val="22"/>
          <w:szCs w:val="22"/>
        </w:rPr>
        <w:t>)</w:t>
      </w:r>
      <w:r w:rsidRPr="00023106">
        <w:rPr>
          <w:rFonts w:asciiTheme="minorBidi" w:hAnsiTheme="minorBidi"/>
          <w:sz w:val="22"/>
          <w:szCs w:val="22"/>
        </w:rPr>
        <w:t xml:space="preserve"> and broader healthcare guidance, records must be clear, accurate, factual, and completed as soon as possible after care has been delivered (NMC, 2018). Proper documentation also supports accountability, enabling healthcare providers to demonstrate that appropriate care has been delivered.</w:t>
      </w:r>
    </w:p>
    <w:p w14:paraId="5D91774B" w14:textId="77777777"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In addition to accuracy, record keeping must comply with legal frameworks governing data protection. The </w:t>
      </w:r>
      <w:r w:rsidRPr="00023106">
        <w:rPr>
          <w:rFonts w:asciiTheme="minorBidi" w:hAnsiTheme="minorBidi"/>
          <w:b/>
          <w:bCs/>
          <w:sz w:val="22"/>
          <w:szCs w:val="22"/>
        </w:rPr>
        <w:t>Data Protection Act 2018</w:t>
      </w:r>
      <w:r w:rsidRPr="00023106">
        <w:rPr>
          <w:rFonts w:asciiTheme="minorBidi" w:hAnsiTheme="minorBidi"/>
          <w:sz w:val="22"/>
          <w:szCs w:val="22"/>
        </w:rPr>
        <w:t xml:space="preserve">, which works alongside the UK General Data Protection Regulation (UK GDPR), sets out rules for how personal and sensitive data should be collected, stored, and shared. Health information is considered a form of </w:t>
      </w:r>
      <w:r w:rsidRPr="00023106">
        <w:rPr>
          <w:rFonts w:asciiTheme="minorBidi" w:hAnsiTheme="minorBidi"/>
          <w:b/>
          <w:bCs/>
          <w:sz w:val="22"/>
          <w:szCs w:val="22"/>
        </w:rPr>
        <w:t>special category data</w:t>
      </w:r>
      <w:r w:rsidRPr="00023106">
        <w:rPr>
          <w:rFonts w:asciiTheme="minorBidi" w:hAnsiTheme="minorBidi"/>
          <w:sz w:val="22"/>
          <w:szCs w:val="22"/>
        </w:rPr>
        <w:t>, meaning it requires a higher level of protection due to its sensitive nature (Information Commissioner’s Office, 2023). In Mr Ahmed’s case, administrative staff and healthcare professionals must ensure that his personal information, medical records, and care plans are stored securely and only shared with authorised professionals directly involved in his care.</w:t>
      </w:r>
    </w:p>
    <w:p w14:paraId="309A6066" w14:textId="2616E7E0"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The Data Protection Act 2018 also emphasises several key principles, including lawfulness, fairness, transparency, accuracy, and confidentiality. This means that </w:t>
      </w:r>
      <w:r w:rsidR="003F79FD" w:rsidRPr="0072417F">
        <w:rPr>
          <w:rFonts w:asciiTheme="minorBidi" w:hAnsiTheme="minorBidi"/>
          <w:sz w:val="22"/>
          <w:szCs w:val="22"/>
        </w:rPr>
        <w:t>Mr.</w:t>
      </w:r>
      <w:r w:rsidRPr="00023106">
        <w:rPr>
          <w:rFonts w:asciiTheme="minorBidi" w:hAnsiTheme="minorBidi"/>
          <w:sz w:val="22"/>
          <w:szCs w:val="22"/>
        </w:rPr>
        <w:t xml:space="preserve"> Ahmed’s information should only be used for legitimate healthcare purposes, kept up to date, and protected from unauthorised access. For example, electronic health records must be </w:t>
      </w:r>
      <w:r w:rsidR="003F79FD" w:rsidRPr="0072417F">
        <w:rPr>
          <w:rFonts w:asciiTheme="minorBidi" w:hAnsiTheme="minorBidi"/>
          <w:sz w:val="22"/>
          <w:szCs w:val="22"/>
        </w:rPr>
        <w:t>password-protected</w:t>
      </w:r>
      <w:r w:rsidRPr="00023106">
        <w:rPr>
          <w:rFonts w:asciiTheme="minorBidi" w:hAnsiTheme="minorBidi"/>
          <w:sz w:val="22"/>
          <w:szCs w:val="22"/>
        </w:rPr>
        <w:t>, and paper documents should be stored securely in locked cabinets. Additionally, professionals should only share relevant information with others in the care team on a “need-to-know” basis to maintain confidentiality (Department of Health and Social Care, 2022).</w:t>
      </w:r>
    </w:p>
    <w:p w14:paraId="2D70EEF7" w14:textId="6C69B0E6"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Policy frameworks within the health and social care sector also emphasise good administrative practice. For instance, the </w:t>
      </w:r>
      <w:r w:rsidRPr="00023106">
        <w:rPr>
          <w:rFonts w:asciiTheme="minorBidi" w:hAnsiTheme="minorBidi"/>
          <w:b/>
          <w:bCs/>
          <w:sz w:val="22"/>
          <w:szCs w:val="22"/>
        </w:rPr>
        <w:t>NHS Code of Practice on Confidentiality</w:t>
      </w:r>
      <w:r w:rsidRPr="00023106">
        <w:rPr>
          <w:rFonts w:asciiTheme="minorBidi" w:hAnsiTheme="minorBidi"/>
          <w:sz w:val="22"/>
          <w:szCs w:val="22"/>
        </w:rPr>
        <w:t xml:space="preserve"> highlights the importance of protecting patient information while ensuring that appropriate information sharing occurs to support safe care delivery (NHS England, 2020). In </w:t>
      </w:r>
      <w:r w:rsidR="003F79FD" w:rsidRPr="0072417F">
        <w:rPr>
          <w:rFonts w:asciiTheme="minorBidi" w:hAnsiTheme="minorBidi"/>
          <w:sz w:val="22"/>
          <w:szCs w:val="22"/>
        </w:rPr>
        <w:t>Mr.</w:t>
      </w:r>
      <w:r w:rsidRPr="00023106">
        <w:rPr>
          <w:rFonts w:asciiTheme="minorBidi" w:hAnsiTheme="minorBidi"/>
          <w:sz w:val="22"/>
          <w:szCs w:val="22"/>
        </w:rPr>
        <w:t xml:space="preserve"> Ahmed’s case, effective administration would help ensure that all scheduled care visits are recorded accurately, medication administration is documented, and any concerns are promptly reported and investigated.</w:t>
      </w:r>
    </w:p>
    <w:p w14:paraId="608C3F43" w14:textId="6B10F87C"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In conclusion, strong administrative skills are vital for ensuring safe and coordinated care for </w:t>
      </w:r>
      <w:r w:rsidR="003F79FD" w:rsidRPr="0072417F">
        <w:rPr>
          <w:rFonts w:asciiTheme="minorBidi" w:hAnsiTheme="minorBidi"/>
          <w:sz w:val="22"/>
          <w:szCs w:val="22"/>
        </w:rPr>
        <w:t>Mr.</w:t>
      </w:r>
      <w:r w:rsidRPr="00023106">
        <w:rPr>
          <w:rFonts w:asciiTheme="minorBidi" w:hAnsiTheme="minorBidi"/>
          <w:sz w:val="22"/>
          <w:szCs w:val="22"/>
        </w:rPr>
        <w:t xml:space="preserve"> Ahmed. Accurate record keeping and compliance with the Data Protection Act 2018 help protect patient confidentiality, support communication between healthcare professionals, and ensure that care is delivered consistently and safely. By following established legislation and </w:t>
      </w:r>
      <w:r w:rsidRPr="00023106">
        <w:rPr>
          <w:rFonts w:asciiTheme="minorBidi" w:hAnsiTheme="minorBidi"/>
          <w:sz w:val="22"/>
          <w:szCs w:val="22"/>
        </w:rPr>
        <w:lastRenderedPageBreak/>
        <w:t>policy frameworks, healthcare professionals can maintain high standards of professional practice while safeguarding patient information.</w:t>
      </w:r>
    </w:p>
    <w:p w14:paraId="6C2763FC" w14:textId="33997CC1" w:rsidR="00023106" w:rsidRPr="0072417F" w:rsidRDefault="00023106" w:rsidP="00023106">
      <w:pPr>
        <w:spacing w:line="360" w:lineRule="auto"/>
        <w:rPr>
          <w:rFonts w:asciiTheme="minorBidi" w:hAnsiTheme="minorBidi"/>
          <w:sz w:val="22"/>
          <w:szCs w:val="22"/>
        </w:rPr>
      </w:pPr>
      <w:r w:rsidRPr="0072417F">
        <w:rPr>
          <w:rFonts w:asciiTheme="minorBidi" w:hAnsiTheme="minorBidi"/>
          <w:sz w:val="22"/>
          <w:szCs w:val="22"/>
        </w:rPr>
        <w:t xml:space="preserve"> Collaborative working is essential in health and social care to ensure that individuals with complex needs receive coordinated, safe, and person-centred care. In Mr Ahmed’s case, several professionals are involved in supporting his recovery following a stroke, including his GP, district nurse, domiciliary care workers, and a speech and language therapist. Each professional contributes specialised knowledge and skills that collectively support Mr Ahmed’s physical health, communication needs, and overall wellbeing. Effective collaboration ensures that information about </w:t>
      </w:r>
      <w:r w:rsidR="003F79FD" w:rsidRPr="0072417F">
        <w:rPr>
          <w:rFonts w:asciiTheme="minorBidi" w:hAnsiTheme="minorBidi"/>
          <w:sz w:val="22"/>
          <w:szCs w:val="22"/>
        </w:rPr>
        <w:t>Mr.</w:t>
      </w:r>
      <w:r w:rsidRPr="0072417F">
        <w:rPr>
          <w:rFonts w:asciiTheme="minorBidi" w:hAnsiTheme="minorBidi"/>
          <w:sz w:val="22"/>
          <w:szCs w:val="22"/>
        </w:rPr>
        <w:t xml:space="preserve"> Ahmed’s condition, medication, and therapy progress is shared appropriately so that all members of the team can make informed decisions and provide consistent care (NHS England, 2019).</w:t>
      </w:r>
    </w:p>
    <w:p w14:paraId="3E339F8D" w14:textId="78E37BA5"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One approach to fostering effective collaboration is the use of </w:t>
      </w:r>
      <w:r w:rsidR="003F79FD" w:rsidRPr="0072417F">
        <w:rPr>
          <w:rFonts w:asciiTheme="minorBidi" w:hAnsiTheme="minorBidi"/>
          <w:sz w:val="22"/>
          <w:szCs w:val="22"/>
        </w:rPr>
        <w:t xml:space="preserve">a </w:t>
      </w:r>
      <w:r w:rsidRPr="00023106">
        <w:rPr>
          <w:rFonts w:asciiTheme="minorBidi" w:hAnsiTheme="minorBidi"/>
          <w:sz w:val="22"/>
          <w:szCs w:val="22"/>
        </w:rPr>
        <w:t xml:space="preserve">multidisciplinary team (MDT) working. MDT meetings allow healthcare professionals to discuss a patient’s progress, review care plans, and address any concerns collectively. In </w:t>
      </w:r>
      <w:r w:rsidR="003F79FD" w:rsidRPr="0072417F">
        <w:rPr>
          <w:rFonts w:asciiTheme="minorBidi" w:hAnsiTheme="minorBidi"/>
          <w:sz w:val="22"/>
          <w:szCs w:val="22"/>
        </w:rPr>
        <w:t>Mr.</w:t>
      </w:r>
      <w:r w:rsidRPr="00023106">
        <w:rPr>
          <w:rFonts w:asciiTheme="minorBidi" w:hAnsiTheme="minorBidi"/>
          <w:sz w:val="22"/>
          <w:szCs w:val="22"/>
        </w:rPr>
        <w:t xml:space="preserve"> Ahmed’s case, collaboration between the speech and language therapist and the district nurse is particularly important in managing swallowing difficulties and monitoring his health following the stroke. Clear communication between domiciliary care workers and medical professionals also ensures that any changes in </w:t>
      </w:r>
      <w:r w:rsidR="003F79FD" w:rsidRPr="0072417F">
        <w:rPr>
          <w:rFonts w:asciiTheme="minorBidi" w:hAnsiTheme="minorBidi"/>
          <w:sz w:val="22"/>
          <w:szCs w:val="22"/>
        </w:rPr>
        <w:t>Mr.</w:t>
      </w:r>
      <w:r w:rsidRPr="00023106">
        <w:rPr>
          <w:rFonts w:asciiTheme="minorBidi" w:hAnsiTheme="minorBidi"/>
          <w:sz w:val="22"/>
          <w:szCs w:val="22"/>
        </w:rPr>
        <w:t xml:space="preserve"> Ahmed’s condition are identified and reported promptly.</w:t>
      </w:r>
    </w:p>
    <w:p w14:paraId="5D7CB85E" w14:textId="24389641"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Another important strategy for effective collaboration is the use of structured</w:t>
      </w:r>
      <w:r w:rsidRPr="00023106">
        <w:rPr>
          <w:rFonts w:asciiTheme="minorBidi" w:hAnsiTheme="minorBidi"/>
          <w:b/>
          <w:bCs/>
          <w:sz w:val="22"/>
          <w:szCs w:val="22"/>
        </w:rPr>
        <w:t xml:space="preserve"> </w:t>
      </w:r>
      <w:r w:rsidRPr="00023106">
        <w:rPr>
          <w:rFonts w:asciiTheme="minorBidi" w:hAnsiTheme="minorBidi"/>
          <w:sz w:val="22"/>
          <w:szCs w:val="22"/>
        </w:rPr>
        <w:t>communication tools, such as the SBAR model (Situation, Background, Assessment, Recommendation), which helps professionals share information clearly and efficiently (Haig, Sutton</w:t>
      </w:r>
      <w:r w:rsidR="003F79FD" w:rsidRPr="0072417F">
        <w:rPr>
          <w:rFonts w:asciiTheme="minorBidi" w:hAnsiTheme="minorBidi"/>
          <w:sz w:val="22"/>
          <w:szCs w:val="22"/>
        </w:rPr>
        <w:t>,</w:t>
      </w:r>
      <w:r w:rsidRPr="00023106">
        <w:rPr>
          <w:rFonts w:asciiTheme="minorBidi" w:hAnsiTheme="minorBidi"/>
          <w:sz w:val="22"/>
          <w:szCs w:val="22"/>
        </w:rPr>
        <w:t xml:space="preserve"> and Whittington, 2006). Additionally, maintaining accurate records and shared care plans enables professionals from different organisations to access relevant information and coordinate their actions.</w:t>
      </w:r>
    </w:p>
    <w:p w14:paraId="14B9C751" w14:textId="280C84D4"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Despite its benefits, multi-agency working can face several challenges. Differences in organisational policies, communication barriers, and unclear role responsibilities may lead to misunderstandings or gaps in care. For example, the missed home visit in </w:t>
      </w:r>
      <w:r w:rsidR="003F79FD" w:rsidRPr="0072417F">
        <w:rPr>
          <w:rFonts w:asciiTheme="minorBidi" w:hAnsiTheme="minorBidi"/>
          <w:sz w:val="22"/>
          <w:szCs w:val="22"/>
        </w:rPr>
        <w:t>Mr.</w:t>
      </w:r>
      <w:r w:rsidRPr="00023106">
        <w:rPr>
          <w:rFonts w:asciiTheme="minorBidi" w:hAnsiTheme="minorBidi"/>
          <w:sz w:val="22"/>
          <w:szCs w:val="22"/>
        </w:rPr>
        <w:t xml:space="preserve"> Ahmed’s case may reflect issues in scheduling, communication, or accountability within the care agency. Strategies to overcome these challenges include establishing clear roles and responsibilities, promoting regular communication between professionals, and encouraging a culture of mutual respect and trust. Training in teamwork and collaborative practice can also improve coordination between different services (Reeves et al., 2017).</w:t>
      </w:r>
    </w:p>
    <w:p w14:paraId="362027BF" w14:textId="3403720D"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In conclusion, collaborative working among healthcare professionals is crucial for delivering effective and safe care to individuals like </w:t>
      </w:r>
      <w:r w:rsidR="003F79FD" w:rsidRPr="0072417F">
        <w:rPr>
          <w:rFonts w:asciiTheme="minorBidi" w:hAnsiTheme="minorBidi"/>
          <w:sz w:val="22"/>
          <w:szCs w:val="22"/>
        </w:rPr>
        <w:t>Mr.</w:t>
      </w:r>
      <w:r w:rsidRPr="00023106">
        <w:rPr>
          <w:rFonts w:asciiTheme="minorBidi" w:hAnsiTheme="minorBidi"/>
          <w:sz w:val="22"/>
          <w:szCs w:val="22"/>
        </w:rPr>
        <w:t xml:space="preserve"> Ahmed. By using structured communication methods, maintaining clear documentation, and addressing barriers to teamwork, health and </w:t>
      </w:r>
      <w:r w:rsidRPr="00023106">
        <w:rPr>
          <w:rFonts w:asciiTheme="minorBidi" w:hAnsiTheme="minorBidi"/>
          <w:sz w:val="22"/>
          <w:szCs w:val="22"/>
        </w:rPr>
        <w:lastRenderedPageBreak/>
        <w:t>social care professionals can improve coordination and ensure that patients receive comprehensive and consistent support.</w:t>
      </w:r>
    </w:p>
    <w:p w14:paraId="53ED28A1" w14:textId="6CA85B7E" w:rsidR="00023106" w:rsidRDefault="00023106" w:rsidP="00023106">
      <w:pPr>
        <w:spacing w:line="360" w:lineRule="auto"/>
        <w:rPr>
          <w:rFonts w:asciiTheme="minorBidi" w:hAnsiTheme="minorBidi"/>
          <w:b/>
          <w:bCs/>
          <w:sz w:val="22"/>
          <w:szCs w:val="22"/>
          <w:u w:val="single"/>
        </w:rPr>
      </w:pPr>
      <w:r>
        <w:rPr>
          <w:rFonts w:asciiTheme="minorBidi" w:hAnsiTheme="minorBidi"/>
          <w:b/>
          <w:bCs/>
          <w:sz w:val="22"/>
          <w:szCs w:val="22"/>
          <w:u w:val="single"/>
        </w:rPr>
        <w:t>REFERENCES</w:t>
      </w:r>
    </w:p>
    <w:p w14:paraId="50C2CE03" w14:textId="77777777" w:rsidR="00023106" w:rsidRP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Haig, K.M., Sutton, S. and Whittington, J. (2006) ‘SBAR: A shared mental model for improving communication between clinicians’, </w:t>
      </w:r>
      <w:r w:rsidRPr="00023106">
        <w:rPr>
          <w:rFonts w:asciiTheme="minorBidi" w:hAnsiTheme="minorBidi"/>
          <w:i/>
          <w:iCs/>
          <w:sz w:val="22"/>
          <w:szCs w:val="22"/>
        </w:rPr>
        <w:t>Joint Commission Journal on Quality and Patient Safety</w:t>
      </w:r>
      <w:r w:rsidRPr="00023106">
        <w:rPr>
          <w:rFonts w:asciiTheme="minorBidi" w:hAnsiTheme="minorBidi"/>
          <w:sz w:val="22"/>
          <w:szCs w:val="22"/>
        </w:rPr>
        <w:t>, 32(3), pp. 167–175.</w:t>
      </w:r>
    </w:p>
    <w:p w14:paraId="554B56A6" w14:textId="77777777" w:rsidR="00023106" w:rsidRDefault="00023106" w:rsidP="00023106">
      <w:pPr>
        <w:spacing w:line="360" w:lineRule="auto"/>
        <w:rPr>
          <w:rFonts w:asciiTheme="minorBidi" w:hAnsiTheme="minorBidi"/>
          <w:sz w:val="22"/>
          <w:szCs w:val="22"/>
        </w:rPr>
      </w:pPr>
      <w:r w:rsidRPr="00023106">
        <w:rPr>
          <w:rFonts w:asciiTheme="minorBidi" w:hAnsiTheme="minorBidi"/>
          <w:sz w:val="22"/>
          <w:szCs w:val="22"/>
        </w:rPr>
        <w:t xml:space="preserve">Reeves, S., </w:t>
      </w:r>
      <w:proofErr w:type="spellStart"/>
      <w:r w:rsidRPr="00023106">
        <w:rPr>
          <w:rFonts w:asciiTheme="minorBidi" w:hAnsiTheme="minorBidi"/>
          <w:sz w:val="22"/>
          <w:szCs w:val="22"/>
        </w:rPr>
        <w:t>Pelone</w:t>
      </w:r>
      <w:proofErr w:type="spellEnd"/>
      <w:r w:rsidRPr="00023106">
        <w:rPr>
          <w:rFonts w:asciiTheme="minorBidi" w:hAnsiTheme="minorBidi"/>
          <w:sz w:val="22"/>
          <w:szCs w:val="22"/>
        </w:rPr>
        <w:t xml:space="preserve">, F., Harrison, R., Goldman, J. and </w:t>
      </w:r>
      <w:proofErr w:type="spellStart"/>
      <w:r w:rsidRPr="00023106">
        <w:rPr>
          <w:rFonts w:asciiTheme="minorBidi" w:hAnsiTheme="minorBidi"/>
          <w:sz w:val="22"/>
          <w:szCs w:val="22"/>
        </w:rPr>
        <w:t>Zwarenstein</w:t>
      </w:r>
      <w:proofErr w:type="spellEnd"/>
      <w:r w:rsidRPr="00023106">
        <w:rPr>
          <w:rFonts w:asciiTheme="minorBidi" w:hAnsiTheme="minorBidi"/>
          <w:sz w:val="22"/>
          <w:szCs w:val="22"/>
        </w:rPr>
        <w:t xml:space="preserve">, M. (2017) ‘Interprofessional collaboration to improve professional practice and healthcare outcomes’, </w:t>
      </w:r>
      <w:r w:rsidRPr="00023106">
        <w:rPr>
          <w:rFonts w:asciiTheme="minorBidi" w:hAnsiTheme="minorBidi"/>
          <w:i/>
          <w:iCs/>
          <w:sz w:val="22"/>
          <w:szCs w:val="22"/>
        </w:rPr>
        <w:t>Cochrane Database of Systematic Reviews</w:t>
      </w:r>
      <w:r w:rsidRPr="00023106">
        <w:rPr>
          <w:rFonts w:asciiTheme="minorBidi" w:hAnsiTheme="minorBidi"/>
          <w:sz w:val="22"/>
          <w:szCs w:val="22"/>
        </w:rPr>
        <w:t>, (6).</w:t>
      </w:r>
    </w:p>
    <w:p w14:paraId="74659857" w14:textId="77777777" w:rsidR="00675EE4" w:rsidRPr="00675EE4" w:rsidRDefault="00675EE4" w:rsidP="00675EE4">
      <w:pPr>
        <w:spacing w:line="360" w:lineRule="auto"/>
        <w:rPr>
          <w:rFonts w:asciiTheme="minorBidi" w:hAnsiTheme="minorBidi"/>
          <w:sz w:val="22"/>
          <w:szCs w:val="22"/>
        </w:rPr>
      </w:pPr>
      <w:r w:rsidRPr="00675EE4">
        <w:rPr>
          <w:rFonts w:asciiTheme="minorBidi" w:hAnsiTheme="minorBidi"/>
          <w:sz w:val="22"/>
          <w:szCs w:val="22"/>
        </w:rPr>
        <w:t xml:space="preserve">Arnold, E.C. and Boggs, K.U. (2020) </w:t>
      </w:r>
      <w:r w:rsidRPr="00675EE4">
        <w:rPr>
          <w:rFonts w:asciiTheme="minorBidi" w:hAnsiTheme="minorBidi"/>
          <w:i/>
          <w:iCs/>
          <w:sz w:val="22"/>
          <w:szCs w:val="22"/>
        </w:rPr>
        <w:t>Interpersonal Relationships: Professional Communication Skills for Nurses</w:t>
      </w:r>
      <w:r w:rsidRPr="00675EE4">
        <w:rPr>
          <w:rFonts w:asciiTheme="minorBidi" w:hAnsiTheme="minorBidi"/>
          <w:sz w:val="22"/>
          <w:szCs w:val="22"/>
        </w:rPr>
        <w:t xml:space="preserve">. 8th </w:t>
      </w:r>
      <w:proofErr w:type="spellStart"/>
      <w:r w:rsidRPr="00675EE4">
        <w:rPr>
          <w:rFonts w:asciiTheme="minorBidi" w:hAnsiTheme="minorBidi"/>
          <w:sz w:val="22"/>
          <w:szCs w:val="22"/>
        </w:rPr>
        <w:t>edn</w:t>
      </w:r>
      <w:proofErr w:type="spellEnd"/>
      <w:r w:rsidRPr="00675EE4">
        <w:rPr>
          <w:rFonts w:asciiTheme="minorBidi" w:hAnsiTheme="minorBidi"/>
          <w:sz w:val="22"/>
          <w:szCs w:val="22"/>
        </w:rPr>
        <w:t>. St. Louis: Elsevier.</w:t>
      </w:r>
    </w:p>
    <w:p w14:paraId="0D291A5B" w14:textId="0122DF20" w:rsidR="0072417F" w:rsidRDefault="0072417F" w:rsidP="0072417F">
      <w:pPr>
        <w:spacing w:line="360" w:lineRule="auto"/>
        <w:rPr>
          <w:rFonts w:asciiTheme="minorBidi" w:hAnsiTheme="minorBidi"/>
          <w:sz w:val="22"/>
          <w:szCs w:val="22"/>
        </w:rPr>
      </w:pPr>
      <w:r w:rsidRPr="0072417F">
        <w:rPr>
          <w:rFonts w:asciiTheme="minorBidi" w:hAnsiTheme="minorBidi"/>
          <w:sz w:val="22"/>
          <w:szCs w:val="22"/>
        </w:rPr>
        <w:t xml:space="preserve">Nursing and Midwifery Council (2018) </w:t>
      </w:r>
      <w:r w:rsidRPr="0072417F">
        <w:rPr>
          <w:rFonts w:asciiTheme="minorBidi" w:hAnsiTheme="minorBidi"/>
          <w:i/>
          <w:iCs/>
          <w:sz w:val="22"/>
          <w:szCs w:val="22"/>
        </w:rPr>
        <w:t xml:space="preserve">The Code: Professional standards of practice and behaviour for nurses, </w:t>
      </w:r>
      <w:proofErr w:type="gramStart"/>
      <w:r w:rsidRPr="0072417F">
        <w:rPr>
          <w:rFonts w:asciiTheme="minorBidi" w:hAnsiTheme="minorBidi"/>
          <w:i/>
          <w:iCs/>
          <w:sz w:val="22"/>
          <w:szCs w:val="22"/>
        </w:rPr>
        <w:t>midwives</w:t>
      </w:r>
      <w:proofErr w:type="gramEnd"/>
      <w:r w:rsidRPr="0072417F">
        <w:rPr>
          <w:rFonts w:asciiTheme="minorBidi" w:hAnsiTheme="minorBidi"/>
          <w:i/>
          <w:iCs/>
          <w:sz w:val="22"/>
          <w:szCs w:val="22"/>
        </w:rPr>
        <w:t xml:space="preserve"> and nursing associates</w:t>
      </w:r>
      <w:r w:rsidRPr="0072417F">
        <w:rPr>
          <w:rFonts w:asciiTheme="minorBidi" w:hAnsiTheme="minorBidi"/>
          <w:sz w:val="22"/>
          <w:szCs w:val="22"/>
        </w:rPr>
        <w:t>. London: NMC.</w:t>
      </w:r>
    </w:p>
    <w:p w14:paraId="0C9D2D3F" w14:textId="0F69478F" w:rsidR="0072417F" w:rsidRPr="00675EE4" w:rsidRDefault="0072417F" w:rsidP="0072417F">
      <w:pPr>
        <w:spacing w:line="360" w:lineRule="auto"/>
        <w:rPr>
          <w:rFonts w:asciiTheme="minorBidi" w:hAnsiTheme="minorBidi"/>
          <w:sz w:val="22"/>
          <w:szCs w:val="22"/>
        </w:rPr>
      </w:pPr>
      <w:r w:rsidRPr="0072417F">
        <w:rPr>
          <w:rFonts w:asciiTheme="minorBidi" w:hAnsiTheme="minorBidi"/>
          <w:sz w:val="22"/>
          <w:szCs w:val="22"/>
        </w:rPr>
        <w:t xml:space="preserve">NHS England (2019) </w:t>
      </w:r>
      <w:r w:rsidRPr="0072417F">
        <w:rPr>
          <w:rFonts w:asciiTheme="minorBidi" w:hAnsiTheme="minorBidi"/>
          <w:i/>
          <w:iCs/>
          <w:sz w:val="22"/>
          <w:szCs w:val="22"/>
        </w:rPr>
        <w:t>NHS Long Term Plan to tackle major killer conditions and save up to half a million lives</w:t>
      </w:r>
      <w:r w:rsidRPr="0072417F">
        <w:rPr>
          <w:rFonts w:asciiTheme="minorBidi" w:hAnsiTheme="minorBidi"/>
          <w:sz w:val="22"/>
          <w:szCs w:val="22"/>
        </w:rPr>
        <w:t xml:space="preserve">. Available at: </w:t>
      </w:r>
      <w:r w:rsidRPr="00430960">
        <w:rPr>
          <w:rFonts w:asciiTheme="minorBidi" w:hAnsiTheme="minorBidi"/>
          <w:sz w:val="22"/>
          <w:szCs w:val="22"/>
        </w:rPr>
        <w:t>https://www.england.nhs.uk/2019/01/long-term-plan/</w:t>
      </w:r>
      <w:r w:rsidRPr="0072417F">
        <w:rPr>
          <w:rFonts w:asciiTheme="minorBidi" w:hAnsiTheme="minorBidi"/>
          <w:sz w:val="22"/>
          <w:szCs w:val="22"/>
        </w:rPr>
        <w:t xml:space="preserve"> </w:t>
      </w:r>
    </w:p>
    <w:p w14:paraId="72BBA37E" w14:textId="77777777" w:rsidR="00675EE4" w:rsidRPr="00023106" w:rsidRDefault="00675EE4" w:rsidP="00023106">
      <w:pPr>
        <w:spacing w:line="360" w:lineRule="auto"/>
        <w:rPr>
          <w:rFonts w:asciiTheme="minorBidi" w:hAnsiTheme="minorBidi"/>
          <w:sz w:val="22"/>
          <w:szCs w:val="22"/>
        </w:rPr>
      </w:pPr>
    </w:p>
    <w:p w14:paraId="2E07C11F" w14:textId="77777777" w:rsidR="00023106" w:rsidRPr="00023106" w:rsidRDefault="00023106" w:rsidP="00023106">
      <w:pPr>
        <w:spacing w:line="360" w:lineRule="auto"/>
        <w:rPr>
          <w:rFonts w:asciiTheme="minorBidi" w:hAnsiTheme="minorBidi"/>
          <w:b/>
          <w:bCs/>
          <w:sz w:val="22"/>
          <w:szCs w:val="22"/>
          <w:u w:val="single"/>
        </w:rPr>
      </w:pPr>
    </w:p>
    <w:p w14:paraId="334BB55D" w14:textId="38D24F93" w:rsidR="00CF3BE9" w:rsidRPr="00EB0021" w:rsidRDefault="00CF3BE9" w:rsidP="00EB0021">
      <w:pPr>
        <w:spacing w:line="360" w:lineRule="auto"/>
        <w:rPr>
          <w:rFonts w:asciiTheme="minorBidi" w:hAnsiTheme="minorBidi"/>
          <w:sz w:val="22"/>
          <w:szCs w:val="22"/>
        </w:rPr>
      </w:pPr>
    </w:p>
    <w:sectPr w:rsidR="00CF3BE9" w:rsidRPr="00EB0021" w:rsidSect="001C0B2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7F2E4" w14:textId="77777777" w:rsidR="00EC6695" w:rsidRDefault="00EC6695" w:rsidP="00430960">
      <w:pPr>
        <w:spacing w:after="0" w:line="240" w:lineRule="auto"/>
      </w:pPr>
      <w:r>
        <w:separator/>
      </w:r>
    </w:p>
  </w:endnote>
  <w:endnote w:type="continuationSeparator" w:id="0">
    <w:p w14:paraId="20D4F54D" w14:textId="77777777" w:rsidR="00EC6695" w:rsidRDefault="00EC6695" w:rsidP="00430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5E130" w14:textId="77777777" w:rsidR="00430960" w:rsidRDefault="004309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C99D7" w14:textId="77777777" w:rsidR="00430960" w:rsidRDefault="004309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6D41E" w14:textId="77777777" w:rsidR="00430960" w:rsidRDefault="00430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F0E65" w14:textId="77777777" w:rsidR="00EC6695" w:rsidRDefault="00EC6695" w:rsidP="00430960">
      <w:pPr>
        <w:spacing w:after="0" w:line="240" w:lineRule="auto"/>
      </w:pPr>
      <w:r>
        <w:separator/>
      </w:r>
    </w:p>
  </w:footnote>
  <w:footnote w:type="continuationSeparator" w:id="0">
    <w:p w14:paraId="50219386" w14:textId="77777777" w:rsidR="00EC6695" w:rsidRDefault="00EC6695" w:rsidP="004309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8F68B" w14:textId="77777777" w:rsidR="00430960" w:rsidRDefault="004309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12BDF" w14:textId="77777777" w:rsidR="00430960" w:rsidRDefault="004309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262AB" w14:textId="77777777" w:rsidR="00430960" w:rsidRDefault="004309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D3D"/>
    <w:rsid w:val="00023106"/>
    <w:rsid w:val="000A5B71"/>
    <w:rsid w:val="001C0B22"/>
    <w:rsid w:val="003F79FD"/>
    <w:rsid w:val="00430960"/>
    <w:rsid w:val="005309EB"/>
    <w:rsid w:val="00675EE4"/>
    <w:rsid w:val="006F78BC"/>
    <w:rsid w:val="0072417F"/>
    <w:rsid w:val="00785BF3"/>
    <w:rsid w:val="00857D3D"/>
    <w:rsid w:val="00A06D87"/>
    <w:rsid w:val="00B178F0"/>
    <w:rsid w:val="00CF3BE9"/>
    <w:rsid w:val="00DF5268"/>
    <w:rsid w:val="00EB0021"/>
    <w:rsid w:val="00EC669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DB02E"/>
  <w15:chartTrackingRefBased/>
  <w15:docId w15:val="{54312943-7555-47BA-893A-6488060DC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D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7D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7D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7D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7D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7D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7D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7D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7D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D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7D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7D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7D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7D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7D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7D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7D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7D3D"/>
    <w:rPr>
      <w:rFonts w:eastAsiaTheme="majorEastAsia" w:cstheme="majorBidi"/>
      <w:color w:val="272727" w:themeColor="text1" w:themeTint="D8"/>
    </w:rPr>
  </w:style>
  <w:style w:type="paragraph" w:styleId="Title">
    <w:name w:val="Title"/>
    <w:basedOn w:val="Normal"/>
    <w:next w:val="Normal"/>
    <w:link w:val="TitleChar"/>
    <w:uiPriority w:val="10"/>
    <w:qFormat/>
    <w:rsid w:val="00857D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7D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7D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7D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7D3D"/>
    <w:pPr>
      <w:spacing w:before="160"/>
      <w:jc w:val="center"/>
    </w:pPr>
    <w:rPr>
      <w:i/>
      <w:iCs/>
      <w:color w:val="404040" w:themeColor="text1" w:themeTint="BF"/>
    </w:rPr>
  </w:style>
  <w:style w:type="character" w:customStyle="1" w:styleId="QuoteChar">
    <w:name w:val="Quote Char"/>
    <w:basedOn w:val="DefaultParagraphFont"/>
    <w:link w:val="Quote"/>
    <w:uiPriority w:val="29"/>
    <w:rsid w:val="00857D3D"/>
    <w:rPr>
      <w:i/>
      <w:iCs/>
      <w:color w:val="404040" w:themeColor="text1" w:themeTint="BF"/>
    </w:rPr>
  </w:style>
  <w:style w:type="paragraph" w:styleId="ListParagraph">
    <w:name w:val="List Paragraph"/>
    <w:basedOn w:val="Normal"/>
    <w:uiPriority w:val="34"/>
    <w:qFormat/>
    <w:rsid w:val="00857D3D"/>
    <w:pPr>
      <w:ind w:left="720"/>
      <w:contextualSpacing/>
    </w:pPr>
  </w:style>
  <w:style w:type="character" w:styleId="IntenseEmphasis">
    <w:name w:val="Intense Emphasis"/>
    <w:basedOn w:val="DefaultParagraphFont"/>
    <w:uiPriority w:val="21"/>
    <w:qFormat/>
    <w:rsid w:val="00857D3D"/>
    <w:rPr>
      <w:i/>
      <w:iCs/>
      <w:color w:val="0F4761" w:themeColor="accent1" w:themeShade="BF"/>
    </w:rPr>
  </w:style>
  <w:style w:type="paragraph" w:styleId="IntenseQuote">
    <w:name w:val="Intense Quote"/>
    <w:basedOn w:val="Normal"/>
    <w:next w:val="Normal"/>
    <w:link w:val="IntenseQuoteChar"/>
    <w:uiPriority w:val="30"/>
    <w:qFormat/>
    <w:rsid w:val="00857D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7D3D"/>
    <w:rPr>
      <w:i/>
      <w:iCs/>
      <w:color w:val="0F4761" w:themeColor="accent1" w:themeShade="BF"/>
    </w:rPr>
  </w:style>
  <w:style w:type="character" w:styleId="IntenseReference">
    <w:name w:val="Intense Reference"/>
    <w:basedOn w:val="DefaultParagraphFont"/>
    <w:uiPriority w:val="32"/>
    <w:qFormat/>
    <w:rsid w:val="00857D3D"/>
    <w:rPr>
      <w:b/>
      <w:bCs/>
      <w:smallCaps/>
      <w:color w:val="0F4761" w:themeColor="accent1" w:themeShade="BF"/>
      <w:spacing w:val="5"/>
    </w:rPr>
  </w:style>
  <w:style w:type="paragraph" w:styleId="NormalWeb">
    <w:name w:val="Normal (Web)"/>
    <w:basedOn w:val="Normal"/>
    <w:uiPriority w:val="99"/>
    <w:semiHidden/>
    <w:unhideWhenUsed/>
    <w:rsid w:val="00023106"/>
    <w:rPr>
      <w:rFonts w:ascii="Times New Roman" w:hAnsi="Times New Roman" w:cs="Times New Roman"/>
    </w:rPr>
  </w:style>
  <w:style w:type="character" w:styleId="Hyperlink">
    <w:name w:val="Hyperlink"/>
    <w:basedOn w:val="DefaultParagraphFont"/>
    <w:uiPriority w:val="99"/>
    <w:unhideWhenUsed/>
    <w:rsid w:val="0072417F"/>
    <w:rPr>
      <w:color w:val="467886" w:themeColor="hyperlink"/>
      <w:u w:val="single"/>
    </w:rPr>
  </w:style>
  <w:style w:type="character" w:styleId="UnresolvedMention">
    <w:name w:val="Unresolved Mention"/>
    <w:basedOn w:val="DefaultParagraphFont"/>
    <w:uiPriority w:val="99"/>
    <w:semiHidden/>
    <w:unhideWhenUsed/>
    <w:rsid w:val="0072417F"/>
    <w:rPr>
      <w:color w:val="605E5C"/>
      <w:shd w:val="clear" w:color="auto" w:fill="E1DFDD"/>
    </w:rPr>
  </w:style>
  <w:style w:type="paragraph" w:styleId="Header">
    <w:name w:val="header"/>
    <w:basedOn w:val="Normal"/>
    <w:link w:val="HeaderChar"/>
    <w:uiPriority w:val="99"/>
    <w:unhideWhenUsed/>
    <w:rsid w:val="00430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960"/>
  </w:style>
  <w:style w:type="paragraph" w:styleId="Footer">
    <w:name w:val="footer"/>
    <w:basedOn w:val="Normal"/>
    <w:link w:val="FooterChar"/>
    <w:uiPriority w:val="99"/>
    <w:unhideWhenUsed/>
    <w:rsid w:val="00430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960"/>
  </w:style>
  <w:style w:type="paragraph" w:styleId="NoSpacing">
    <w:name w:val="No Spacing"/>
    <w:link w:val="NoSpacingChar"/>
    <w:uiPriority w:val="1"/>
    <w:qFormat/>
    <w:rsid w:val="001C0B2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C0B22"/>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67FE850F13F84F97974FA6A4C82C18"/>
        <w:category>
          <w:name w:val="General"/>
          <w:gallery w:val="placeholder"/>
        </w:category>
        <w:types>
          <w:type w:val="bbPlcHdr"/>
        </w:types>
        <w:behaviors>
          <w:behavior w:val="content"/>
        </w:behaviors>
        <w:guid w:val="{F21F3578-9A76-A946-9AFA-1383AA8401A1}"/>
      </w:docPartPr>
      <w:docPartBody>
        <w:p w:rsidR="00000000" w:rsidRDefault="00F73096" w:rsidP="00F73096">
          <w:pPr>
            <w:pStyle w:val="C567FE850F13F84F97974FA6A4C82C18"/>
          </w:pPr>
          <w:r>
            <w:rPr>
              <w:rFonts w:asciiTheme="majorHAnsi" w:eastAsiaTheme="majorEastAsia" w:hAnsiTheme="majorHAnsi" w:cstheme="majorBidi"/>
              <w:caps/>
              <w:color w:val="156082" w:themeColor="accent1"/>
              <w:sz w:val="80"/>
              <w:szCs w:val="80"/>
            </w:rPr>
            <w:t>[Document title]</w:t>
          </w:r>
        </w:p>
      </w:docPartBody>
    </w:docPart>
    <w:docPart>
      <w:docPartPr>
        <w:name w:val="28D0B8141C7A2745A1CC7D6C3ED6EA74"/>
        <w:category>
          <w:name w:val="General"/>
          <w:gallery w:val="placeholder"/>
        </w:category>
        <w:types>
          <w:type w:val="bbPlcHdr"/>
        </w:types>
        <w:behaviors>
          <w:behavior w:val="content"/>
        </w:behaviors>
        <w:guid w:val="{E0837D5A-5FC8-9141-A798-BD8DABF07E39}"/>
      </w:docPartPr>
      <w:docPartBody>
        <w:p w:rsidR="00000000" w:rsidRDefault="00F73096" w:rsidP="00F73096">
          <w:pPr>
            <w:pStyle w:val="28D0B8141C7A2745A1CC7D6C3ED6EA7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096"/>
    <w:rsid w:val="00A951E2"/>
    <w:rsid w:val="00F73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67FE850F13F84F97974FA6A4C82C18">
    <w:name w:val="C567FE850F13F84F97974FA6A4C82C18"/>
    <w:rsid w:val="00F73096"/>
  </w:style>
  <w:style w:type="paragraph" w:customStyle="1" w:styleId="28D0B8141C7A2745A1CC7D6C3ED6EA74">
    <w:name w:val="28D0B8141C7A2745A1CC7D6C3ED6EA74"/>
    <w:rsid w:val="00F730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1895</Words>
  <Characters>10806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LCHS4003 INTRODUCTION TO HEALTH AND SOCIAL CARE</dc:title>
  <dc:subject>ASSESMENT TITLE: WRITTEN ASSIGNMENT</dc:subject>
  <cp:keywords/>
  <dc:description/>
  <cp:lastModifiedBy>Emmanuel Oppong (2435925)</cp:lastModifiedBy>
  <cp:revision>2</cp:revision>
  <dcterms:created xsi:type="dcterms:W3CDTF">2026-03-27T03:31:00Z</dcterms:created>
  <dcterms:modified xsi:type="dcterms:W3CDTF">2026-03-27T03:31:00Z</dcterms:modified>
</cp:coreProperties>
</file>