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2F2F2" w:themeColor="background1" w:themeShade="F2"/>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4B31F1" w:rsidR="00DD5969" w:rsidP="5E9149B0" w:rsidRDefault="004B31F1" w14:paraId="5B9AE89A" w14:textId="6BD97328" w14:noSpellErr="1">
      <w:pPr>
        <w:spacing w:before="212"/>
        <w:rPr>
          <w:rFonts w:ascii="Arial" w:hAnsi="Arial" w:eastAsia="Arial" w:cs="Arial"/>
          <w:b w:val="1"/>
          <w:bCs w:val="1"/>
          <w:sz w:val="28"/>
          <w:szCs w:val="28"/>
        </w:rPr>
      </w:pPr>
      <w:r w:rsidRPr="5E9149B0" w:rsidR="159164D0">
        <w:rPr>
          <w:rFonts w:ascii="Arial" w:hAnsi="Arial" w:eastAsia="Arial" w:cs="Arial"/>
          <w:b w:val="1"/>
          <w:bCs w:val="1"/>
          <w:sz w:val="28"/>
          <w:szCs w:val="28"/>
        </w:rPr>
        <w:t>Module Name:</w:t>
      </w:r>
      <w:r w:rsidRPr="5E9149B0" w:rsidR="558D936C">
        <w:rPr>
          <w:rFonts w:ascii="Arial" w:hAnsi="Arial" w:eastAsia="Arial" w:cs="Arial"/>
          <w:b w:val="1"/>
          <w:bCs w:val="1"/>
          <w:sz w:val="28"/>
          <w:szCs w:val="28"/>
        </w:rPr>
        <w:t xml:space="preserve"> </w:t>
      </w:r>
      <w:r w:rsidRPr="5E9149B0" w:rsidR="2EF8041F">
        <w:rPr>
          <w:rFonts w:ascii="Arial" w:hAnsi="Arial" w:eastAsia="Arial" w:cs="Arial"/>
          <w:sz w:val="28"/>
          <w:szCs w:val="28"/>
        </w:rPr>
        <w:t>Academic Skills in the Digital Era</w:t>
      </w:r>
    </w:p>
    <w:p w:rsidRPr="004B31F1" w:rsidR="00347EA1" w:rsidP="5E9149B0" w:rsidRDefault="004B31F1" w14:paraId="5051A2D5" w14:noSpellErr="1" w14:textId="5391FA3B">
      <w:pPr>
        <w:spacing w:before="212"/>
        <w:rPr>
          <w:rFonts w:ascii="Arial" w:hAnsi="Arial" w:eastAsia="Arial" w:cs="Arial"/>
          <w:sz w:val="28"/>
          <w:szCs w:val="28"/>
        </w:rPr>
      </w:pPr>
      <w:r w:rsidRPr="5E9149B0" w:rsidR="159164D0">
        <w:rPr>
          <w:rFonts w:ascii="Arial" w:hAnsi="Arial" w:eastAsia="Arial" w:cs="Arial"/>
          <w:b w:val="1"/>
          <w:bCs w:val="1"/>
          <w:sz w:val="28"/>
          <w:szCs w:val="28"/>
        </w:rPr>
        <w:t xml:space="preserve">Module Code:  </w:t>
      </w:r>
      <w:r w:rsidRPr="5E9149B0" w:rsidR="2EF8041F">
        <w:rPr>
          <w:rFonts w:ascii="Arial" w:hAnsi="Arial" w:eastAsia="Arial" w:cs="Arial"/>
          <w:sz w:val="28"/>
          <w:szCs w:val="28"/>
        </w:rPr>
        <w:t>BMSW401</w:t>
      </w:r>
      <w:r w:rsidRPr="5E9149B0" w:rsidR="042067F1">
        <w:rPr>
          <w:rFonts w:ascii="Arial" w:hAnsi="Arial" w:eastAsia="Arial" w:cs="Arial"/>
          <w:sz w:val="28"/>
          <w:szCs w:val="28"/>
        </w:rPr>
        <w:t>4</w:t>
      </w:r>
    </w:p>
    <w:p w:rsidRPr="004B31F1" w:rsidR="00DD5969" w:rsidP="5E9149B0" w:rsidRDefault="004B31F1" w14:noSpellErr="1" w14:paraId="04C92B15" w14:textId="420CF9EE">
      <w:pPr>
        <w:spacing w:before="212"/>
        <w:rPr>
          <w:rFonts w:ascii="Arial" w:hAnsi="Arial" w:eastAsia="Arial" w:cs="Arial"/>
          <w:b w:val="1"/>
          <w:bCs w:val="1"/>
          <w:sz w:val="28"/>
          <w:szCs w:val="28"/>
        </w:rPr>
      </w:pPr>
      <w:r w:rsidRPr="5E9149B0" w:rsidR="159164D0">
        <w:rPr>
          <w:rFonts w:ascii="Arial" w:hAnsi="Arial" w:eastAsia="Arial" w:cs="Arial"/>
          <w:b w:val="1"/>
          <w:bCs w:val="1"/>
          <w:sz w:val="28"/>
          <w:szCs w:val="28"/>
        </w:rPr>
        <w:t>Assignment Name:</w:t>
      </w:r>
      <w:r w:rsidRPr="5E9149B0" w:rsidR="2EF8041F">
        <w:rPr>
          <w:rFonts w:ascii="Arial" w:hAnsi="Arial" w:eastAsia="Arial" w:cs="Arial"/>
          <w:b w:val="1"/>
          <w:bCs w:val="1"/>
          <w:sz w:val="28"/>
          <w:szCs w:val="28"/>
        </w:rPr>
        <w:t xml:space="preserve"> </w:t>
      </w:r>
      <w:r w:rsidRPr="5E9149B0" w:rsidR="3486889B">
        <w:rPr>
          <w:rFonts w:ascii="Arial" w:hAnsi="Arial" w:eastAsia="Arial" w:cs="Arial"/>
          <w:b w:val="1"/>
          <w:bCs w:val="1"/>
          <w:sz w:val="28"/>
          <w:szCs w:val="28"/>
        </w:rPr>
        <w:t xml:space="preserve"> Greenwashing in the Automobile industry-A Root</w:t>
      </w:r>
      <w:r w:rsidRPr="5E9149B0" w:rsidR="567C7E15">
        <w:rPr>
          <w:rFonts w:ascii="Arial" w:hAnsi="Arial" w:eastAsia="Arial" w:cs="Arial"/>
          <w:b w:val="1"/>
          <w:bCs w:val="1"/>
          <w:sz w:val="28"/>
          <w:szCs w:val="28"/>
        </w:rPr>
        <w:t xml:space="preserve"> Cause Analysis.</w:t>
      </w:r>
    </w:p>
    <w:p w:rsidRPr="004B31F1" w:rsidR="00DD5969" w:rsidP="5E9149B0" w:rsidRDefault="004B31F1" w14:paraId="0D16D138" w14:textId="29A18B2A">
      <w:pPr>
        <w:spacing w:before="212"/>
        <w:rPr>
          <w:rFonts w:ascii="Arial" w:hAnsi="Arial" w:eastAsia="Arial" w:cs="Arial"/>
          <w:b w:val="1"/>
          <w:bCs w:val="1"/>
          <w:sz w:val="28"/>
          <w:szCs w:val="28"/>
        </w:rPr>
      </w:pPr>
      <w:r w:rsidRPr="5E9149B0" w:rsidR="3486889B">
        <w:rPr>
          <w:rFonts w:ascii="Arial" w:hAnsi="Arial" w:eastAsia="Arial" w:cs="Arial"/>
          <w:b w:val="1"/>
          <w:bCs w:val="1"/>
          <w:sz w:val="28"/>
          <w:szCs w:val="28"/>
        </w:rPr>
        <w:t xml:space="preserve"> </w:t>
      </w:r>
      <w:r w:rsidRPr="5E9149B0" w:rsidR="2E370707">
        <w:rPr>
          <w:rFonts w:ascii="Arial" w:hAnsi="Arial" w:eastAsia="Arial" w:cs="Arial"/>
          <w:b w:val="1"/>
          <w:bCs w:val="1"/>
          <w:sz w:val="28"/>
          <w:szCs w:val="28"/>
        </w:rPr>
        <w:t>St</w:t>
      </w:r>
      <w:r w:rsidRPr="5E9149B0" w:rsidR="159164D0">
        <w:rPr>
          <w:rFonts w:ascii="Arial" w:hAnsi="Arial" w:eastAsia="Arial" w:cs="Arial"/>
          <w:b w:val="1"/>
          <w:bCs w:val="1"/>
          <w:sz w:val="28"/>
          <w:szCs w:val="28"/>
        </w:rPr>
        <w:t>udent Name:</w:t>
      </w:r>
      <w:r w:rsidRPr="5E9149B0" w:rsidR="5F2EA6D3">
        <w:rPr>
          <w:rFonts w:ascii="Arial" w:hAnsi="Arial" w:eastAsia="Arial" w:cs="Arial"/>
          <w:b w:val="1"/>
          <w:bCs w:val="1"/>
          <w:sz w:val="28"/>
          <w:szCs w:val="28"/>
        </w:rPr>
        <w:t xml:space="preserve"> Patricia Chanda </w:t>
      </w:r>
    </w:p>
    <w:p w:rsidRPr="004B31F1" w:rsidR="00DD5969" w:rsidP="5E9149B0" w:rsidRDefault="004B31F1" w14:paraId="18107AFF" w14:noSpellErr="1" w14:textId="5ABD1BCD">
      <w:pPr>
        <w:shd w:val="clear" w:color="auto" w:fill="F5F5F5"/>
        <w:spacing w:before="0" w:beforeAutospacing="off" w:after="0" w:afterAutospacing="off"/>
        <w:jc w:val="both"/>
        <w:rPr>
          <w:rFonts w:ascii="Arial" w:hAnsi="Arial" w:eastAsia="Arial" w:cs="Arial"/>
          <w:b w:val="1"/>
          <w:bCs w:val="1"/>
          <w:sz w:val="28"/>
          <w:szCs w:val="28"/>
        </w:rPr>
      </w:pPr>
      <w:r w:rsidRPr="5E9149B0" w:rsidR="159164D0">
        <w:rPr>
          <w:rFonts w:ascii="Arial" w:hAnsi="Arial" w:eastAsia="Arial" w:cs="Arial"/>
          <w:b w:val="1"/>
          <w:bCs w:val="1"/>
          <w:sz w:val="28"/>
          <w:szCs w:val="28"/>
        </w:rPr>
        <w:t>Student Numbe</w:t>
      </w:r>
      <w:r w:rsidRPr="5E9149B0" w:rsidR="74F99FAF">
        <w:rPr>
          <w:rFonts w:ascii="Arial" w:hAnsi="Arial" w:eastAsia="Arial" w:cs="Arial"/>
          <w:b w:val="1"/>
          <w:bCs w:val="1"/>
          <w:sz w:val="28"/>
          <w:szCs w:val="28"/>
        </w:rPr>
        <w:t>r: 1350365</w:t>
      </w:r>
    </w:p>
    <w:p w:rsidRPr="004B31F1" w:rsidR="00DD5969" w:rsidP="5E9149B0" w:rsidRDefault="004B31F1" w14:paraId="4FD52B0A" w14:noSpellErr="1" w14:textId="11089183">
      <w:pPr>
        <w:rPr>
          <w:rFonts w:ascii="Arial" w:hAnsi="Arial" w:eastAsia="Arial" w:cs="Arial"/>
          <w:b w:val="1"/>
          <w:bCs w:val="1"/>
          <w:sz w:val="28"/>
          <w:szCs w:val="28"/>
        </w:rPr>
      </w:pPr>
      <w:r w:rsidRPr="5E9149B0" w:rsidR="159164D0">
        <w:rPr>
          <w:rFonts w:ascii="Arial" w:hAnsi="Arial" w:eastAsia="Arial" w:cs="Arial"/>
          <w:b w:val="1"/>
          <w:bCs w:val="1"/>
          <w:sz w:val="28"/>
          <w:szCs w:val="28"/>
        </w:rPr>
        <w:t>Lecturer:</w:t>
      </w:r>
      <w:r w:rsidRPr="5E9149B0" w:rsidR="2EF8041F">
        <w:rPr>
          <w:rFonts w:ascii="Arial" w:hAnsi="Arial" w:eastAsia="Arial" w:cs="Arial"/>
          <w:b w:val="1"/>
          <w:bCs w:val="1"/>
          <w:sz w:val="28"/>
          <w:szCs w:val="28"/>
        </w:rPr>
        <w:t xml:space="preserve"> </w:t>
      </w:r>
      <w:r w:rsidRPr="5E9149B0" w:rsidR="4C4D25A0">
        <w:rPr>
          <w:rFonts w:ascii="Arial" w:hAnsi="Arial" w:eastAsia="Arial" w:cs="Arial"/>
          <w:b w:val="1"/>
          <w:bCs w:val="1"/>
          <w:sz w:val="28"/>
          <w:szCs w:val="28"/>
        </w:rPr>
        <w:t xml:space="preserve"> </w:t>
      </w:r>
      <w:r w:rsidRPr="5E9149B0" w:rsidR="4C4D25A0">
        <w:rPr>
          <w:rFonts w:ascii="Arial" w:hAnsi="Arial" w:eastAsia="Arial" w:cs="Arial"/>
          <w:b w:val="1"/>
          <w:bCs w:val="1"/>
          <w:sz w:val="28"/>
          <w:szCs w:val="28"/>
        </w:rPr>
        <w:t>Arpu</w:t>
      </w:r>
      <w:r w:rsidRPr="5E9149B0" w:rsidR="4C4D25A0">
        <w:rPr>
          <w:rFonts w:ascii="Arial" w:hAnsi="Arial" w:eastAsia="Arial" w:cs="Arial"/>
          <w:b w:val="1"/>
          <w:bCs w:val="1"/>
          <w:sz w:val="28"/>
          <w:szCs w:val="28"/>
        </w:rPr>
        <w:t xml:space="preserve"> Kumar</w:t>
      </w:r>
      <w:r>
        <w:br/>
      </w:r>
      <w:r w:rsidRPr="5E9149B0" w:rsidR="159164D0">
        <w:rPr>
          <w:rFonts w:ascii="Arial" w:hAnsi="Arial" w:eastAsia="Arial" w:cs="Arial"/>
          <w:b w:val="1"/>
          <w:bCs w:val="1"/>
          <w:sz w:val="28"/>
          <w:szCs w:val="28"/>
        </w:rPr>
        <w:t>Deadline:</w:t>
      </w:r>
      <w:r w:rsidRPr="5E9149B0" w:rsidR="2EF8041F">
        <w:rPr>
          <w:rFonts w:ascii="Arial" w:hAnsi="Arial" w:eastAsia="Arial" w:cs="Arial"/>
          <w:b w:val="1"/>
          <w:bCs w:val="1"/>
          <w:sz w:val="28"/>
          <w:szCs w:val="28"/>
        </w:rPr>
        <w:t xml:space="preserve"> </w:t>
      </w:r>
      <w:r w:rsidRPr="5E9149B0" w:rsidR="11592CCC">
        <w:rPr>
          <w:rFonts w:ascii="Arial" w:hAnsi="Arial" w:eastAsia="Arial" w:cs="Arial"/>
          <w:sz w:val="28"/>
          <w:szCs w:val="28"/>
        </w:rPr>
        <w:t>Friday 14</w:t>
      </w:r>
      <w:r w:rsidRPr="5E9149B0" w:rsidR="11592CCC">
        <w:rPr>
          <w:rFonts w:ascii="Arial" w:hAnsi="Arial" w:eastAsia="Arial" w:cs="Arial"/>
          <w:sz w:val="28"/>
          <w:szCs w:val="28"/>
          <w:vertAlign w:val="superscript"/>
        </w:rPr>
        <w:t>th</w:t>
      </w:r>
      <w:r w:rsidRPr="5E9149B0" w:rsidR="11592CCC">
        <w:rPr>
          <w:rFonts w:ascii="Arial" w:hAnsi="Arial" w:eastAsia="Arial" w:cs="Arial"/>
          <w:sz w:val="28"/>
          <w:szCs w:val="28"/>
        </w:rPr>
        <w:t xml:space="preserve"> November 2025 </w:t>
      </w:r>
      <w:r w:rsidRPr="5E9149B0" w:rsidR="2EF8041F">
        <w:rPr>
          <w:rFonts w:ascii="Arial" w:hAnsi="Arial" w:eastAsia="Arial" w:cs="Arial"/>
          <w:sz w:val="28"/>
          <w:szCs w:val="28"/>
        </w:rPr>
        <w:t>23.59</w:t>
      </w:r>
    </w:p>
    <w:p w:rsidRPr="004B31F1" w:rsidR="004B31F1" w:rsidP="00347EA1" w:rsidRDefault="004B31F1" w14:paraId="7071582E" w14:textId="77777777">
      <w:pPr>
        <w:rPr>
          <w:rFonts w:ascii="Arial" w:hAnsi="Arial" w:cs="Arial"/>
          <w:b/>
          <w:sz w:val="32"/>
          <w:szCs w:val="32"/>
        </w:rPr>
      </w:pPr>
    </w:p>
    <w:p w:rsidRPr="004B31F1" w:rsidR="004B31F1" w:rsidP="00347EA1" w:rsidRDefault="004B31F1" w14:paraId="0351D91B" w14:textId="77777777">
      <w:pPr>
        <w:rPr>
          <w:rFonts w:ascii="Arial" w:hAnsi="Arial" w:cs="Arial"/>
          <w:b/>
          <w:sz w:val="32"/>
          <w:szCs w:val="32"/>
        </w:rPr>
      </w:pPr>
    </w:p>
    <w:p w:rsidR="004B31F1" w:rsidP="00347EA1" w:rsidRDefault="004B31F1" w14:paraId="6E53872D" w14:textId="77777777">
      <w:pPr>
        <w:rPr>
          <w:rFonts w:ascii="Arial" w:hAnsi="Arial" w:cs="Arial"/>
          <w:b/>
          <w:sz w:val="32"/>
          <w:szCs w:val="32"/>
        </w:rPr>
      </w:pPr>
    </w:p>
    <w:p w:rsidR="004B31F1" w:rsidP="5E9149B0" w:rsidRDefault="004B31F1" w14:paraId="6112CB5E" w14:textId="77777777" w14:noSpellErr="1">
      <w:pPr>
        <w:rPr>
          <w:rFonts w:ascii="Arial" w:hAnsi="Arial" w:cs="Arial"/>
          <w:b w:val="1"/>
          <w:bCs w:val="1"/>
          <w:sz w:val="32"/>
          <w:szCs w:val="32"/>
        </w:rPr>
      </w:pPr>
    </w:p>
    <w:p w:rsidR="5E9149B0" w:rsidP="5E9149B0" w:rsidRDefault="5E9149B0" w14:paraId="76D89C52" w14:textId="58C2B9CC">
      <w:pPr>
        <w:rPr>
          <w:rFonts w:ascii="Arial" w:hAnsi="Arial" w:cs="Arial"/>
          <w:b w:val="1"/>
          <w:bCs w:val="1"/>
          <w:sz w:val="32"/>
          <w:szCs w:val="32"/>
        </w:rPr>
      </w:pPr>
    </w:p>
    <w:p w:rsidR="5E9149B0" w:rsidP="5E9149B0" w:rsidRDefault="5E9149B0" w14:paraId="46DE2165" w14:textId="41F08DF7">
      <w:pPr>
        <w:rPr>
          <w:rFonts w:ascii="Arial" w:hAnsi="Arial" w:cs="Arial"/>
          <w:b w:val="1"/>
          <w:bCs w:val="1"/>
          <w:sz w:val="32"/>
          <w:szCs w:val="32"/>
        </w:rPr>
      </w:pPr>
    </w:p>
    <w:p w:rsidR="5E9149B0" w:rsidP="5E9149B0" w:rsidRDefault="5E9149B0" w14:paraId="6DA0934E" w14:textId="70C41C5C">
      <w:pPr>
        <w:rPr>
          <w:rFonts w:ascii="Arial" w:hAnsi="Arial" w:cs="Arial"/>
          <w:b w:val="1"/>
          <w:bCs w:val="1"/>
          <w:sz w:val="32"/>
          <w:szCs w:val="32"/>
        </w:rPr>
      </w:pPr>
    </w:p>
    <w:p w:rsidR="5E9149B0" w:rsidP="5E9149B0" w:rsidRDefault="5E9149B0" w14:paraId="72977764" w14:textId="6AF84349">
      <w:pPr>
        <w:rPr>
          <w:rFonts w:ascii="Arial" w:hAnsi="Arial" w:cs="Arial"/>
          <w:b w:val="1"/>
          <w:bCs w:val="1"/>
          <w:sz w:val="32"/>
          <w:szCs w:val="32"/>
        </w:rPr>
      </w:pPr>
    </w:p>
    <w:p w:rsidR="5E9149B0" w:rsidP="5E9149B0" w:rsidRDefault="5E9149B0" w14:paraId="4431A103" w14:textId="0D448ABC">
      <w:pPr>
        <w:pStyle w:val="Normal"/>
        <w:rPr>
          <w:rFonts w:ascii="Arial" w:hAnsi="Arial" w:cs="Arial"/>
          <w:b w:val="1"/>
          <w:bCs w:val="1"/>
          <w:sz w:val="32"/>
          <w:szCs w:val="32"/>
        </w:rPr>
      </w:pPr>
    </w:p>
    <w:p w:rsidR="004B31F1" w:rsidP="00347EA1" w:rsidRDefault="004B31F1" w14:paraId="01B6BED5" w14:textId="77777777">
      <w:pPr>
        <w:rPr>
          <w:rFonts w:ascii="Arial" w:hAnsi="Arial" w:cs="Arial"/>
          <w:b/>
          <w:sz w:val="32"/>
          <w:szCs w:val="32"/>
        </w:rPr>
      </w:pPr>
    </w:p>
    <w:p w:rsidR="00D33868" w:rsidP="74B02C96" w:rsidRDefault="00B103B9" w14:paraId="28171F09" w14:textId="374481C9">
      <w:pPr>
        <w:rPr>
          <w:b/>
          <w:bCs/>
          <w:sz w:val="32"/>
          <w:szCs w:val="32"/>
        </w:rPr>
      </w:pPr>
      <w:r w:rsidRPr="5E9149B0" w:rsidR="7238AE87">
        <w:rPr>
          <w:b w:val="1"/>
          <w:bCs w:val="1"/>
          <w:sz w:val="32"/>
          <w:szCs w:val="32"/>
        </w:rPr>
        <w:t>AI Acknowledgement</w:t>
      </w:r>
      <w:r w:rsidRPr="5E9149B0" w:rsidR="58871598">
        <w:rPr>
          <w:b w:val="1"/>
          <w:bCs w:val="1"/>
          <w:sz w:val="32"/>
          <w:szCs w:val="32"/>
        </w:rPr>
        <w:t xml:space="preserve">  </w:t>
      </w:r>
    </w:p>
    <w:p w:rsidRPr="00F1399D" w:rsidR="00C2550A" w:rsidP="74B02C96" w:rsidRDefault="00E243A8" w14:paraId="768557CB" w14:textId="6F6F237C">
      <w:pPr>
        <w:rPr>
          <w:rFonts w:ascii="Arial" w:hAnsi="Arial" w:cs="Arial"/>
        </w:rPr>
      </w:pPr>
      <w:r w:rsidRPr="00F1399D">
        <w:rPr>
          <w:rFonts w:ascii="Arial" w:hAnsi="Arial" w:cs="Arial"/>
        </w:rPr>
        <w:t xml:space="preserve">I confirm that I have not presented any AI generated materials as my own work. </w:t>
      </w:r>
    </w:p>
    <w:p w:rsidRPr="00F1399D" w:rsidR="0053246E" w:rsidP="00DD5969" w:rsidRDefault="00E243A8" w14:paraId="1113C735" w14:textId="61582B9D">
      <w:pPr>
        <w:rPr>
          <w:rFonts w:ascii="Arial" w:hAnsi="Arial" w:cs="Arial"/>
        </w:rPr>
        <w:sectPr w:rsidRPr="009A3D6F" w:rsidR="009A3D6F">
          <w:pgSz w:w="11906" w:h="16838" w:orient="portrait"/>
          <w:pgMar w:top="1440" w:right="1440" w:bottom="1440" w:left="1440" w:header="708" w:footer="708" w:gutter="0"/>
          <w:cols w:space="708"/>
          <w:docGrid w:linePitch="360"/>
        </w:sectPr>
      </w:pPr>
      <w:r w:rsidRPr="5E9149B0" w:rsidR="5365747D">
        <w:rPr>
          <w:rFonts w:ascii="Arial" w:hAnsi="Arial" w:cs="Arial"/>
        </w:rPr>
        <w:t xml:space="preserve">I confirm </w:t>
      </w:r>
      <w:r w:rsidRPr="5E9149B0" w:rsidR="67D5B976">
        <w:rPr>
          <w:rFonts w:ascii="Arial" w:hAnsi="Arial" w:cs="Arial"/>
        </w:rPr>
        <w:t xml:space="preserve">that </w:t>
      </w:r>
      <w:r w:rsidRPr="5E9149B0" w:rsidR="5365747D">
        <w:rPr>
          <w:rFonts w:ascii="Arial" w:hAnsi="Arial" w:cs="Arial"/>
        </w:rPr>
        <w:t>I have copies of my drafts, notes, and other resources I used, which I may be asked to provide in evidence.</w:t>
      </w:r>
    </w:p>
    <w:p w:rsidRPr="00F1399D" w:rsidR="000C541C" w:rsidP="00DD5969" w:rsidRDefault="000C541C" w14:paraId="6204DAEB" w14:textId="77777777">
      <w:pPr>
        <w:rPr>
          <w:rFonts w:ascii="Arial" w:hAnsi="Arial" w:cs="Arial"/>
          <w:sz w:val="16"/>
          <w:szCs w:val="16"/>
        </w:rPr>
      </w:pPr>
    </w:p>
    <w:p w:rsidRPr="00F1399D" w:rsidR="000C541C" w:rsidP="00DD5969" w:rsidRDefault="000C541C" w14:paraId="5144E418" w14:textId="77777777">
      <w:pPr>
        <w:rPr>
          <w:rFonts w:ascii="Arial" w:hAnsi="Arial" w:cs="Arial"/>
          <w:sz w:val="16"/>
          <w:szCs w:val="16"/>
        </w:rPr>
      </w:pPr>
    </w:p>
    <w:p w:rsidRPr="00F1399D" w:rsidR="00F1399D" w:rsidP="5E9149B0" w:rsidRDefault="00F1399D" w14:paraId="317660FB" w14:textId="508DB350">
      <w:pPr>
        <w:shd w:val="clear" w:color="auto" w:fill="F5F5F5"/>
        <w:spacing w:before="0" w:beforeAutospacing="on" w:after="0" w:afterAutospacing="on"/>
        <w:jc w:val="both"/>
      </w:pP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The automotive industry is highly competitive and growing rapidly. It is currently transitioning towards a more environmentally friendly model</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 xml:space="preserve">.  </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 xml:space="preserve">However, as electric vehicles and hybrid technologies advance, industry competition can intensify, pushing companies towards unethical marketing practices such as greenwashing. </w:t>
      </w:r>
    </w:p>
    <w:p w:rsidRPr="00F1399D" w:rsidR="00F1399D" w:rsidP="5E9149B0" w:rsidRDefault="00F1399D" w14:paraId="3183F033" w14:textId="29DA2892">
      <w:pPr>
        <w:shd w:val="clear" w:color="auto" w:fill="F5F5F5"/>
        <w:spacing w:before="0" w:beforeAutospacing="on" w:after="0" w:afterAutospacing="on"/>
        <w:jc w:val="both"/>
      </w:pPr>
    </w:p>
    <w:p w:rsidRPr="00F1399D" w:rsidR="00F1399D" w:rsidP="5E9149B0" w:rsidRDefault="00F1399D" w14:paraId="04B1726D" w14:textId="152109CB">
      <w:pPr>
        <w:shd w:val="clear" w:color="auto" w:fill="F5F5F5"/>
        <w:spacing w:before="0" w:beforeAutospacing="on" w:after="0" w:afterAutospacing="on"/>
        <w:jc w:val="both"/>
      </w:pPr>
      <w:r w:rsidRPr="5E9149B0" w:rsidR="61DBDC21">
        <w:rPr>
          <w:rFonts w:ascii="Arial" w:hAnsi="Arial" w:eastAsia="Arial" w:cs="Arial"/>
          <w:b w:val="1"/>
          <w:bCs w:val="1"/>
          <w:i w:val="0"/>
          <w:iCs w:val="0"/>
          <w:strike w:val="0"/>
          <w:dstrike w:val="0"/>
          <w:noProof w:val="0"/>
          <w:color w:val="000000" w:themeColor="text1" w:themeTint="FF" w:themeShade="FF"/>
          <w:sz w:val="24"/>
          <w:szCs w:val="24"/>
          <w:u w:val="none"/>
          <w:lang w:val="en-GB"/>
        </w:rPr>
        <w:t>Awanis et al.</w:t>
      </w:r>
      <w:r w:rsidRPr="5E9149B0" w:rsidR="61DBDC21">
        <w:rPr>
          <w:rFonts w:ascii="Arial" w:hAnsi="Arial" w:eastAsia="Arial" w:cs="Arial"/>
          <w:b w:val="1"/>
          <w:bCs w:val="1"/>
          <w:i w:val="0"/>
          <w:iCs w:val="0"/>
          <w:strike w:val="0"/>
          <w:dstrike w:val="0"/>
          <w:noProof w:val="0"/>
          <w:color w:val="FFFF00"/>
          <w:sz w:val="24"/>
          <w:szCs w:val="24"/>
          <w:u w:val="none"/>
          <w:lang w:val="en-GB"/>
        </w:rPr>
        <w:t xml:space="preserve"> </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 xml:space="preserve">(2020: 127) argue </w:t>
      </w:r>
      <w:r w:rsidRPr="5E9149B0" w:rsidR="61AAD288">
        <w:rPr>
          <w:rFonts w:ascii="Arial" w:hAnsi="Arial" w:eastAsia="Arial" w:cs="Arial"/>
          <w:b w:val="1"/>
          <w:bCs w:val="1"/>
          <w:i w:val="0"/>
          <w:iCs w:val="0"/>
          <w:strike w:val="0"/>
          <w:dstrike w:val="0"/>
          <w:noProof w:val="0"/>
          <w:color w:val="404040" w:themeColor="text1" w:themeTint="BF" w:themeShade="FF"/>
          <w:sz w:val="24"/>
          <w:szCs w:val="24"/>
          <w:u w:val="none"/>
          <w:lang w:val="en-GB"/>
        </w:rPr>
        <w:t>that greenwashing</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 xml:space="preserve"> refers to "company actions or practices intended to create the impression that their products are environmentally friendly, without taking into account the overall environmental impact." This </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indicates</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 xml:space="preserve"> that greenwashing practices occur without considering the broader social and environmental implications. Greenwashing refers to making false or misleading claims about the environmental benefits of a product or service to attract consumers concerned about sustainability </w:t>
      </w:r>
      <w:r w:rsidRPr="5E9149B0" w:rsidR="61DBDC21">
        <w:rPr>
          <w:rFonts w:ascii="Arial" w:hAnsi="Arial" w:eastAsia="Arial" w:cs="Arial"/>
          <w:b w:val="1"/>
          <w:bCs w:val="1"/>
          <w:i w:val="0"/>
          <w:iCs w:val="0"/>
          <w:strike w:val="0"/>
          <w:dstrike w:val="0"/>
          <w:noProof w:val="0"/>
          <w:color w:val="000000" w:themeColor="text1" w:themeTint="FF" w:themeShade="FF"/>
          <w:sz w:val="24"/>
          <w:szCs w:val="24"/>
          <w:u w:val="none"/>
          <w:lang w:val="en-GB"/>
        </w:rPr>
        <w:t>(Kapoor &amp; Pandey, 2021).</w:t>
      </w:r>
      <w:r w:rsidRPr="5E9149B0" w:rsidR="61DBDC21">
        <w:rPr>
          <w:rFonts w:ascii="Arial" w:hAnsi="Arial" w:eastAsia="Arial" w:cs="Arial"/>
          <w:b w:val="1"/>
          <w:bCs w:val="1"/>
          <w:i w:val="0"/>
          <w:iCs w:val="0"/>
          <w:strike w:val="0"/>
          <w:dstrike w:val="0"/>
          <w:noProof w:val="0"/>
          <w:color w:val="404040" w:themeColor="text1" w:themeTint="BF" w:themeShade="FF"/>
          <w:sz w:val="24"/>
          <w:szCs w:val="24"/>
          <w:u w:val="none"/>
          <w:lang w:val="en-GB"/>
        </w:rPr>
        <w:t xml:space="preserve"> </w:t>
      </w:r>
    </w:p>
    <w:p w:rsidRPr="00F1399D" w:rsidR="00F1399D" w:rsidP="5E9149B0" w:rsidRDefault="00F1399D" w14:paraId="4D7D4F91" w14:textId="0966FDC0">
      <w:pPr>
        <w:shd w:val="clear" w:color="auto" w:fill="F5F5F5"/>
        <w:spacing w:before="0" w:beforeAutospacing="on" w:after="0" w:afterAutospacing="on"/>
        <w:jc w:val="both"/>
      </w:pPr>
    </w:p>
    <w:p w:rsidRPr="00F1399D" w:rsidR="00F1399D" w:rsidP="5E9149B0" w:rsidRDefault="00F1399D" w14:paraId="78D06353" w14:textId="2B301718">
      <w:pPr>
        <w:spacing w:beforeAutospacing="on" w:afterAutospacing="on"/>
        <w:jc w:val="both"/>
      </w:pPr>
    </w:p>
    <w:p w:rsidRPr="00F1399D" w:rsidR="00F1399D" w:rsidP="5E9149B0" w:rsidRDefault="00F1399D" w14:paraId="7F1A2DBB" w14:textId="19AA0A2C">
      <w:pPr>
        <w:shd w:val="clear" w:color="auto" w:fill="F5F5F5"/>
        <w:spacing w:before="0" w:beforeAutospacing="on" w:after="0" w:afterAutospacing="on"/>
        <w:jc w:val="both"/>
        <w:rPr>
          <w:rFonts w:ascii="Arial" w:hAnsi="Arial" w:eastAsia="Arial" w:cs="Arial"/>
          <w:b w:val="0"/>
          <w:bCs w:val="0"/>
          <w:i w:val="0"/>
          <w:iCs w:val="0"/>
          <w:strike w:val="0"/>
          <w:dstrike w:val="0"/>
          <w:noProof w:val="0"/>
          <w:color w:val="404040" w:themeColor="text1" w:themeTint="BF" w:themeShade="FF"/>
          <w:sz w:val="24"/>
          <w:szCs w:val="24"/>
          <w:u w:val="none"/>
          <w:lang w:val="en-GB"/>
        </w:rPr>
      </w:pP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Root cause analysis.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September 2015, the U.S. Environmental Protection Agency (EPA) revealed Volkswagen's intentional fraud. The company had installed "defeat device" software in 11 million diesel vehicles worldwide. This software was designed to detect when the vehicles were undergoing lab testing and activate full emissions controls during those tests. However, in real-world driving conditions, nitrogen oxide (NOx) emissions were up to 40 times above the legal limit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(Florio and Sproviero,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2021).</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it was later revealed that Volkswagen</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xml:space="preserve"> had installed software to manipulate emissions tests (Zhan</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xml:space="preserve">g, Atwal, and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Kaiser, 2021). </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This “</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Dieselgate</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scandal highlighted deceptive marketing practices in the automotive industry (Turna, 2022)</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In addition, Tesla Corporation named "Autopilot</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in</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xml:space="preserve"> 2014, implying that it </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required</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xml:space="preserve"> less human supervision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(Kapoor &amp; Pandey, 2021</w:t>
      </w:r>
      <w:r w:rsidRPr="5E9149B0" w:rsidR="61DBDC21">
        <w:rPr>
          <w:rFonts w:ascii="Arial" w:hAnsi="Arial" w:eastAsia="Arial" w:cs="Arial"/>
          <w:b w:val="0"/>
          <w:bCs w:val="0"/>
          <w:i w:val="0"/>
          <w:iCs w:val="0"/>
          <w:strike w:val="0"/>
          <w:dstrike w:val="0"/>
          <w:noProof w:val="0"/>
          <w:color w:val="404040" w:themeColor="text1" w:themeTint="BF" w:themeShade="FF"/>
          <w:sz w:val="24"/>
          <w:szCs w:val="24"/>
          <w:u w:val="none"/>
          <w:lang w:val="en-GB"/>
        </w:rPr>
        <w:t>). Some critics argued that the term "Autopilot" could contribute to deadly accidents (Carsten and Martens, 2018), and the German government asked that it stop misleading people.</w:t>
      </w:r>
    </w:p>
    <w:p w:rsidRPr="00F1399D" w:rsidR="00F1399D" w:rsidP="5E9149B0" w:rsidRDefault="00F1399D" w14:paraId="71BB98F3" w14:textId="1F442AA4">
      <w:pPr>
        <w:pStyle w:val="Normal"/>
        <w:spacing w:beforeAutospacing="on" w:afterAutospacing="on"/>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E9149B0" w:rsidR="61DBDC21">
        <w:rPr>
          <w:rFonts w:ascii="Arial" w:hAnsi="Arial" w:eastAsia="Arial" w:cs="Arial"/>
          <w:b w:val="0"/>
          <w:bCs w:val="0"/>
          <w:i w:val="0"/>
          <w:iCs w:val="0"/>
          <w:strike w:val="0"/>
          <w:dstrike w:val="0"/>
          <w:noProof w:val="0"/>
          <w:color w:val="1F1F1F"/>
          <w:sz w:val="24"/>
          <w:szCs w:val="24"/>
          <w:u w:val="none"/>
          <w:lang w:val="en-GB"/>
        </w:rPr>
        <w:t xml:space="preserve">Digital failure, the Volkswagen emissions scandal </w:t>
      </w:r>
      <w:r w:rsidRPr="5E9149B0" w:rsidR="61DBDC21">
        <w:rPr>
          <w:rFonts w:ascii="Arial" w:hAnsi="Arial" w:eastAsia="Arial" w:cs="Arial"/>
          <w:b w:val="0"/>
          <w:bCs w:val="0"/>
          <w:i w:val="0"/>
          <w:iCs w:val="0"/>
          <w:strike w:val="0"/>
          <w:dstrike w:val="0"/>
          <w:noProof w:val="0"/>
          <w:color w:val="1F1F1F"/>
          <w:sz w:val="24"/>
          <w:szCs w:val="24"/>
          <w:u w:val="none"/>
          <w:lang w:val="en-GB"/>
        </w:rPr>
        <w:t>emerged</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from a complex combination of strategic ambition, technological limitations, organisational culture, insufficient governance, and the regulatory environment. The root cause cannot be attributed to a single factor; instead, it results from a systemic mix of pressures and weaknesses that made cheating both possible and tempting (World Economic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Forum, 2020).</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Digital greenwashing misleads consumers by distorting facts,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ultimately manipulating</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their intentions and trust. It is essential to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address digital greenwashing. The digital landscape demands accountability, transparency, and education.</w:t>
      </w:r>
    </w:p>
    <w:p w:rsidRPr="00F1399D" w:rsidR="00F1399D" w:rsidP="5E9149B0" w:rsidRDefault="00F1399D" w14:paraId="26019967" w14:textId="4F898C0B">
      <w:pPr>
        <w:spacing w:beforeAutospacing="on" w:afterAutospacing="on"/>
        <w:rPr>
          <w:rFonts w:ascii="Arial" w:hAnsi="Arial" w:eastAsia="Arial" w:cs="Arial"/>
        </w:rPr>
      </w:pPr>
    </w:p>
    <w:p w:rsidRPr="00F1399D" w:rsidR="00F1399D" w:rsidP="5E9149B0" w:rsidRDefault="00F1399D" w14:paraId="10A79BA4" w14:textId="3E15835D">
      <w:pPr>
        <w:spacing w:before="0" w:beforeAutospacing="on" w:after="0" w:afterAutospacing="on"/>
        <w:jc w:val="both"/>
        <w:rPr>
          <w:rFonts w:ascii="Arial" w:hAnsi="Arial" w:eastAsia="Arial" w:cs="Arial"/>
          <w:b w:val="0"/>
          <w:bCs w:val="0"/>
          <w:i w:val="0"/>
          <w:iCs w:val="0"/>
          <w:strike w:val="0"/>
          <w:dstrike w:val="0"/>
          <w:noProof w:val="0"/>
          <w:color w:val="1F1F1F"/>
          <w:sz w:val="24"/>
          <w:szCs w:val="24"/>
          <w:u w:val="none"/>
          <w:lang w:val="en-GB"/>
        </w:rPr>
      </w:pPr>
      <w:r w:rsidRPr="5E9149B0" w:rsidR="61DBDC21">
        <w:rPr>
          <w:rFonts w:ascii="Arial" w:hAnsi="Arial" w:eastAsia="Arial" w:cs="Arial"/>
          <w:b w:val="0"/>
          <w:bCs w:val="0"/>
          <w:i w:val="0"/>
          <w:iCs w:val="0"/>
          <w:strike w:val="0"/>
          <w:dstrike w:val="0"/>
          <w:noProof w:val="0"/>
          <w:color w:val="1F1F1F"/>
          <w:sz w:val="24"/>
          <w:szCs w:val="24"/>
          <w:u w:val="none"/>
          <w:lang w:val="en-GB"/>
        </w:rPr>
        <w:t>For corporations, this scandal serves as a stark reminder that setting high-performance targets without corresponding attention to engineering, governance, and culture can lead to ethical lapses. For regulators, it underscores the need for real-world testing and meaningful oversight. Ultimately, preventing such crises requires a comprehensive alignment of strategy, technology, culture, governance, and the external environment.</w:t>
      </w:r>
      <w:r w:rsidRPr="5E9149B0" w:rsidR="7AD693AE">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Bachmann et al.</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 </w:t>
      </w:r>
      <w:r w:rsidRPr="5E9149B0" w:rsidR="61DBDC21">
        <w:rPr>
          <w:rFonts w:ascii="Arial" w:hAnsi="Arial" w:eastAsia="Arial" w:cs="Arial"/>
          <w:b w:val="0"/>
          <w:bCs w:val="0"/>
          <w:i w:val="0"/>
          <w:iCs w:val="0"/>
          <w:strike w:val="0"/>
          <w:dstrike w:val="0"/>
          <w:noProof w:val="0"/>
          <w:color w:val="1F1F1F"/>
          <w:sz w:val="24"/>
          <w:szCs w:val="24"/>
          <w:u w:val="none"/>
          <w:lang w:val="en-GB"/>
        </w:rPr>
        <w:t xml:space="preserve">show that US sales of VW and other German car producers decline following the scandal, revealing “group reputation externalities Beyene et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al.</w:t>
      </w:r>
      <w:r w:rsidRPr="5E9149B0" w:rsidR="61DBDC21">
        <w:rPr>
          <w:rFonts w:ascii="Arial" w:hAnsi="Arial" w:eastAsia="Arial" w:cs="Arial"/>
          <w:b w:val="0"/>
          <w:bCs w:val="0"/>
          <w:i w:val="0"/>
          <w:iCs w:val="0"/>
          <w:strike w:val="0"/>
          <w:dstrike w:val="0"/>
          <w:noProof w:val="0"/>
          <w:color w:val="FFFF00"/>
          <w:sz w:val="24"/>
          <w:szCs w:val="24"/>
          <w:u w:val="none"/>
          <w:lang w:val="en-GB"/>
        </w:rPr>
        <w:t xml:space="preserve">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(2022) </w:t>
      </w:r>
      <w:r w:rsidRPr="5E9149B0" w:rsidR="61DBDC21">
        <w:rPr>
          <w:rFonts w:ascii="Arial" w:hAnsi="Arial" w:eastAsia="Arial" w:cs="Arial"/>
          <w:b w:val="0"/>
          <w:bCs w:val="0"/>
          <w:i w:val="0"/>
          <w:iCs w:val="0"/>
          <w:strike w:val="0"/>
          <w:dstrike w:val="0"/>
          <w:noProof w:val="0"/>
          <w:color w:val="1F1F1F"/>
          <w:sz w:val="24"/>
          <w:szCs w:val="24"/>
          <w:u w:val="none"/>
          <w:lang w:val="en-GB"/>
        </w:rPr>
        <w:t>identify</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cross-sector spillovers, showing that consumer loans for diesel cars offered by independent banks experienced higher interest rates following the scandal.</w:t>
      </w:r>
    </w:p>
    <w:p w:rsidRPr="00F1399D" w:rsidR="00F1399D" w:rsidP="5E9149B0" w:rsidRDefault="00F1399D" w14:paraId="1FC47EB2" w14:textId="2332A2AD">
      <w:pPr>
        <w:spacing w:beforeAutospacing="on" w:afterAutospacing="on"/>
        <w:rPr>
          <w:rFonts w:ascii="Arial" w:hAnsi="Arial" w:eastAsia="Arial" w:cs="Arial"/>
        </w:rPr>
      </w:pPr>
    </w:p>
    <w:p w:rsidRPr="00F1399D" w:rsidR="00F1399D" w:rsidP="5E9149B0" w:rsidRDefault="00F1399D" w14:paraId="787BDE18" w14:textId="4ACDBBCC">
      <w:pPr>
        <w:spacing w:beforeAutospacing="on" w:afterAutospacing="on"/>
        <w:rPr>
          <w:rFonts w:ascii="Arial" w:hAnsi="Arial" w:eastAsia="Arial" w:cs="Arial"/>
        </w:rPr>
      </w:pPr>
    </w:p>
    <w:p w:rsidRPr="00F1399D" w:rsidR="00F1399D" w:rsidP="5E9149B0" w:rsidRDefault="00F1399D" w14:paraId="5EC6DCFA" w14:textId="62BAB339">
      <w:pPr>
        <w:spacing w:before="0" w:beforeAutospacing="on" w:after="0" w:afterAutospacing="on"/>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conclusion, the automotive industry often engages in unethical practices, with companies making false claims about their vehicles’ fuel efficiency and emissions levels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(Tanner</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2025). </w:t>
      </w:r>
      <w:r w:rsidRPr="5E9149B0" w:rsidR="61DBDC21">
        <w:rPr>
          <w:rFonts w:ascii="Arial" w:hAnsi="Arial" w:eastAsia="Arial" w:cs="Arial"/>
          <w:b w:val="0"/>
          <w:bCs w:val="0"/>
          <w:i w:val="0"/>
          <w:iCs w:val="0"/>
          <w:strike w:val="0"/>
          <w:dstrike w:val="0"/>
          <w:noProof w:val="0"/>
          <w:color w:val="1F1F1F"/>
          <w:sz w:val="24"/>
          <w:szCs w:val="24"/>
          <w:u w:val="none"/>
          <w:lang w:val="en-GB"/>
        </w:rPr>
        <w:t>A</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corporation</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seeking</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short-term</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profits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may exaggerate a system's automation capabilities in</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its marketing</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materials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to</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attract</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customers.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This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approach</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can be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risky,</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as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users develop</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 xml:space="preserve">their </w:t>
      </w:r>
      <w:r w:rsidRPr="5E9149B0" w:rsidR="61DBDC21">
        <w:rPr>
          <w:rFonts w:ascii="Arial" w:hAnsi="Arial" w:eastAsia="Arial" w:cs="Arial"/>
          <w:b w:val="0"/>
          <w:bCs w:val="0"/>
          <w:i w:val="0"/>
          <w:iCs w:val="0"/>
          <w:strike w:val="0"/>
          <w:dstrike w:val="0"/>
          <w:noProof w:val="0"/>
          <w:color w:val="1F1F1F"/>
          <w:sz w:val="24"/>
          <w:szCs w:val="24"/>
          <w:u w:val="none"/>
          <w:lang w:val="en-GB"/>
        </w:rPr>
        <w:t>perceptions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of</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automated</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systems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well</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before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their</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first</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interaction</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with</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them.</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These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initial</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ideas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significantly influence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how</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users</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later</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engage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with</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the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system</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(Ekman et al., 2018).</w:t>
      </w:r>
    </w:p>
    <w:p w:rsidRPr="00F1399D" w:rsidR="00F1399D" w:rsidP="5E9149B0" w:rsidRDefault="00F1399D" w14:paraId="2AF0CD8F" w14:textId="0EB1597E">
      <w:pPr>
        <w:spacing w:beforeAutospacing="on" w:afterAutospacing="on"/>
        <w:rPr>
          <w:rFonts w:ascii="Arial" w:hAnsi="Arial" w:eastAsia="Arial" w:cs="Arial"/>
        </w:rPr>
      </w:pPr>
    </w:p>
    <w:p w:rsidRPr="00F1399D" w:rsidR="00F1399D" w:rsidP="5E9149B0" w:rsidRDefault="00F1399D" w14:paraId="6DD891E8" w14:textId="7DB5E901">
      <w:pPr>
        <w:spacing w:beforeAutospacing="on" w:afterAutospacing="on"/>
        <w:rPr>
          <w:rFonts w:ascii="Arial" w:hAnsi="Arial" w:eastAsia="Arial" w:cs="Arial"/>
        </w:rPr>
      </w:pPr>
    </w:p>
    <w:p w:rsidRPr="00F1399D" w:rsidR="00F1399D" w:rsidP="5E9149B0" w:rsidRDefault="00F1399D" w14:paraId="2323EE52" w14:textId="0A1EA5BE">
      <w:pPr>
        <w:spacing w:beforeAutospacing="on" w:afterAutospacing="on"/>
        <w:rPr>
          <w:rFonts w:ascii="Arial" w:hAnsi="Arial" w:eastAsia="Arial" w:cs="Arial"/>
        </w:rPr>
      </w:pPr>
    </w:p>
    <w:p w:rsidRPr="00F1399D" w:rsidR="00F1399D" w:rsidP="5E9149B0" w:rsidRDefault="00F1399D" w14:paraId="7BF21048" w14:textId="1F771B63">
      <w:pPr>
        <w:spacing w:beforeAutospacing="on" w:afterAutospacing="on"/>
        <w:rPr>
          <w:rFonts w:ascii="Arial" w:hAnsi="Arial" w:eastAsia="Arial" w:cs="Arial"/>
        </w:rPr>
      </w:pPr>
    </w:p>
    <w:p w:rsidRPr="00F1399D" w:rsidR="00F1399D" w:rsidP="5E9149B0" w:rsidRDefault="00F1399D" w14:paraId="7FF7604B" w14:textId="0647B0F2">
      <w:pPr>
        <w:spacing w:beforeAutospacing="on" w:afterAutospacing="on"/>
        <w:rPr>
          <w:rFonts w:ascii="Arial" w:hAnsi="Arial" w:eastAsia="Arial" w:cs="Arial"/>
        </w:rPr>
      </w:pPr>
    </w:p>
    <w:p w:rsidRPr="00F1399D" w:rsidR="00F1399D" w:rsidP="5E9149B0" w:rsidRDefault="00F1399D" w14:paraId="72ADDA9A" w14:textId="309A8B87">
      <w:pPr>
        <w:spacing w:beforeAutospacing="on" w:afterAutospacing="on"/>
        <w:rPr>
          <w:rFonts w:ascii="Arial" w:hAnsi="Arial" w:eastAsia="Arial" w:cs="Arial"/>
        </w:rPr>
      </w:pPr>
    </w:p>
    <w:p w:rsidRPr="00F1399D" w:rsidR="00F1399D" w:rsidP="5E9149B0" w:rsidRDefault="00F1399D" w14:paraId="17B428D9" w14:textId="6E50B7CA">
      <w:pPr>
        <w:spacing w:beforeAutospacing="on" w:afterAutospacing="on"/>
        <w:rPr>
          <w:rFonts w:ascii="Arial" w:hAnsi="Arial" w:eastAsia="Arial" w:cs="Arial"/>
        </w:rPr>
      </w:pPr>
    </w:p>
    <w:p w:rsidRPr="00F1399D" w:rsidR="00F1399D" w:rsidP="5E9149B0" w:rsidRDefault="00F1399D" w14:paraId="16AEA14C" w14:textId="370F556E">
      <w:pPr>
        <w:spacing w:beforeAutospacing="on" w:afterAutospacing="on"/>
        <w:rPr>
          <w:rFonts w:ascii="Arial" w:hAnsi="Arial" w:eastAsia="Arial" w:cs="Arial"/>
        </w:rPr>
      </w:pPr>
    </w:p>
    <w:p w:rsidRPr="00F1399D" w:rsidR="00F1399D" w:rsidP="5E9149B0" w:rsidRDefault="00F1399D" w14:paraId="01E46150" w14:textId="53CEC2F7">
      <w:pPr>
        <w:spacing w:beforeAutospacing="on" w:afterAutospacing="on"/>
        <w:rPr>
          <w:rFonts w:ascii="Arial" w:hAnsi="Arial" w:eastAsia="Arial" w:cs="Arial"/>
        </w:rPr>
      </w:pPr>
    </w:p>
    <w:p w:rsidRPr="00F1399D" w:rsidR="00F1399D" w:rsidP="5E9149B0" w:rsidRDefault="00F1399D" w14:paraId="0B3E87D2" w14:textId="47BA206A">
      <w:pPr>
        <w:spacing w:beforeAutospacing="on" w:afterAutospacing="on"/>
        <w:rPr>
          <w:rFonts w:ascii="Arial" w:hAnsi="Arial" w:eastAsia="Arial" w:cs="Arial"/>
        </w:rPr>
      </w:pPr>
    </w:p>
    <w:p w:rsidRPr="00F1399D" w:rsidR="00F1399D" w:rsidP="5E9149B0" w:rsidRDefault="00F1399D" w14:paraId="163A54C8" w14:textId="440FBF40">
      <w:pPr>
        <w:spacing w:beforeAutospacing="on" w:afterAutospacing="on"/>
        <w:rPr>
          <w:rFonts w:ascii="Arial" w:hAnsi="Arial" w:eastAsia="Arial" w:cs="Arial"/>
        </w:rPr>
      </w:pPr>
    </w:p>
    <w:p w:rsidRPr="00F1399D" w:rsidR="00F1399D" w:rsidP="5E9149B0" w:rsidRDefault="00F1399D" w14:paraId="69FCA5EF" w14:textId="3F7A6F90">
      <w:pPr>
        <w:spacing w:beforeAutospacing="on" w:afterAutospacing="on"/>
        <w:rPr>
          <w:rFonts w:ascii="Arial" w:hAnsi="Arial" w:eastAsia="Arial" w:cs="Arial"/>
        </w:rPr>
      </w:pPr>
    </w:p>
    <w:p w:rsidRPr="00F1399D" w:rsidR="00F1399D" w:rsidP="5E9149B0" w:rsidRDefault="00F1399D" w14:paraId="45C0E4C9" w14:textId="4C2DB110">
      <w:pPr>
        <w:spacing w:beforeAutospacing="on" w:afterAutospacing="on"/>
        <w:rPr>
          <w:rFonts w:ascii="Arial" w:hAnsi="Arial" w:eastAsia="Arial" w:cs="Arial"/>
        </w:rPr>
      </w:pPr>
    </w:p>
    <w:p w:rsidRPr="00F1399D" w:rsidR="00F1399D" w:rsidP="5E9149B0" w:rsidRDefault="00F1399D" w14:paraId="36B78CAD" w14:textId="4E75BE5E">
      <w:pPr>
        <w:spacing w:beforeAutospacing="on" w:afterAutospacing="on"/>
        <w:rPr>
          <w:rFonts w:ascii="Arial" w:hAnsi="Arial" w:eastAsia="Arial" w:cs="Arial"/>
        </w:rPr>
      </w:pPr>
    </w:p>
    <w:p w:rsidRPr="00F1399D" w:rsidR="00F1399D" w:rsidP="5E9149B0" w:rsidRDefault="00F1399D" w14:paraId="324C46DF" w14:textId="24FA2752">
      <w:pPr>
        <w:spacing w:beforeAutospacing="on" w:afterAutospacing="on"/>
        <w:rPr>
          <w:rFonts w:ascii="Arial" w:hAnsi="Arial" w:eastAsia="Arial" w:cs="Arial"/>
        </w:rPr>
      </w:pPr>
    </w:p>
    <w:p w:rsidRPr="00F1399D" w:rsidR="00F1399D" w:rsidP="5E9149B0" w:rsidRDefault="00F1399D" w14:paraId="76E20605" w14:textId="66AC0915">
      <w:pPr>
        <w:spacing w:beforeAutospacing="on" w:afterAutospacing="on"/>
        <w:rPr>
          <w:rFonts w:ascii="Arial" w:hAnsi="Arial" w:eastAsia="Arial" w:cs="Arial"/>
        </w:rPr>
      </w:pPr>
    </w:p>
    <w:p w:rsidRPr="00F1399D" w:rsidR="00F1399D" w:rsidP="5E9149B0" w:rsidRDefault="00F1399D" w14:paraId="62F2CFD6" w14:textId="4B2166F9">
      <w:pPr>
        <w:spacing w:beforeAutospacing="on" w:afterAutospacing="on"/>
        <w:rPr>
          <w:rFonts w:ascii="Arial" w:hAnsi="Arial" w:eastAsia="Arial" w:cs="Arial"/>
        </w:rPr>
      </w:pPr>
    </w:p>
    <w:p w:rsidRPr="00F1399D" w:rsidR="00F1399D" w:rsidP="5E9149B0" w:rsidRDefault="00F1399D" w14:paraId="725EEA11" w14:textId="7A27F5E8">
      <w:pPr>
        <w:spacing w:beforeAutospacing="on" w:afterAutospacing="on"/>
        <w:rPr>
          <w:rFonts w:ascii="Arial" w:hAnsi="Arial" w:eastAsia="Arial" w:cs="Arial"/>
        </w:rPr>
      </w:pPr>
    </w:p>
    <w:p w:rsidRPr="00F1399D" w:rsidR="00F1399D" w:rsidP="5E9149B0" w:rsidRDefault="00F1399D" w14:paraId="1E5ED4A7" w14:textId="2F097004">
      <w:pPr>
        <w:spacing w:beforeAutospacing="on" w:afterAutospacing="on"/>
        <w:rPr>
          <w:rFonts w:ascii="Arial" w:hAnsi="Arial" w:eastAsia="Arial" w:cs="Arial"/>
        </w:rPr>
      </w:pPr>
    </w:p>
    <w:p w:rsidRPr="00F1399D" w:rsidR="00F1399D" w:rsidP="5E9149B0" w:rsidRDefault="00F1399D" w14:paraId="0D8CD170" w14:textId="2B3F15AE">
      <w:pPr>
        <w:spacing w:beforeAutospacing="on" w:afterAutospacing="on"/>
        <w:rPr>
          <w:rFonts w:ascii="Arial" w:hAnsi="Arial" w:eastAsia="Arial" w:cs="Arial"/>
        </w:rPr>
      </w:pPr>
    </w:p>
    <w:p w:rsidRPr="00F1399D" w:rsidR="00F1399D" w:rsidP="5E9149B0" w:rsidRDefault="00F1399D" w14:paraId="26DB7F4F" w14:textId="4AE3DB64">
      <w:pPr>
        <w:spacing w:beforeAutospacing="on" w:afterAutospacing="on"/>
        <w:rPr>
          <w:rFonts w:ascii="Arial" w:hAnsi="Arial" w:eastAsia="Arial" w:cs="Arial"/>
        </w:rPr>
      </w:pPr>
    </w:p>
    <w:p w:rsidRPr="00F1399D" w:rsidR="00F1399D" w:rsidP="5E9149B0" w:rsidRDefault="00F1399D" w14:paraId="5F38A0E2" w14:textId="56FEECE5">
      <w:pPr>
        <w:spacing w:beforeAutospacing="on" w:afterAutospacing="on"/>
        <w:rPr>
          <w:rFonts w:ascii="Arial" w:hAnsi="Arial" w:eastAsia="Arial" w:cs="Arial"/>
        </w:rPr>
      </w:pPr>
    </w:p>
    <w:p w:rsidR="00DD2E8E" w:rsidP="00DD2E8E" w:rsidRDefault="00DD2E8E" w14:paraId="765F72F1" w14:textId="06A3367F">
      <w:pPr>
        <w:pStyle w:val="Normal"/>
        <w:spacing w:beforeAutospacing="on" w:afterAutospacing="on"/>
        <w:rPr>
          <w:rFonts w:ascii="Arial" w:hAnsi="Arial" w:eastAsia="Arial" w:cs="Arial"/>
        </w:rPr>
      </w:pPr>
    </w:p>
    <w:p w:rsidRPr="00F1399D" w:rsidR="00F1399D" w:rsidP="00DD2E8E" w:rsidRDefault="00F1399D" w14:paraId="16D2811F" w14:noSpellErr="1" w14:textId="2BD9AD99">
      <w:pPr>
        <w:pStyle w:val="Normal"/>
        <w:spacing w:beforeAutospacing="on" w:afterAutospacing="on"/>
        <w:rPr>
          <w:rFonts w:ascii="Arial" w:hAnsi="Arial" w:eastAsia="Arial" w:cs="Arial"/>
        </w:rPr>
      </w:pPr>
      <w:r w:rsidRPr="00DD2E8E" w:rsidR="2271EB98">
        <w:rPr>
          <w:rFonts w:ascii="Arial" w:hAnsi="Arial" w:eastAsia="Arial" w:cs="Arial"/>
        </w:rPr>
        <w:t xml:space="preserve">References </w:t>
      </w:r>
    </w:p>
    <w:p w:rsidR="00DD2E8E" w:rsidP="00DD2E8E" w:rsidRDefault="00DD2E8E" w14:paraId="39BE226C" w14:textId="05316B36">
      <w:pPr>
        <w:spacing w:beforeAutospacing="on" w:afterAutospacing="on"/>
        <w:jc w:val="both"/>
        <w:rPr>
          <w:rFonts w:ascii="Arial" w:hAnsi="Arial" w:eastAsia="Arial" w:cs="Arial"/>
          <w:b w:val="0"/>
          <w:bCs w:val="0"/>
          <w:i w:val="0"/>
          <w:iCs w:val="0"/>
          <w:strike w:val="0"/>
          <w:dstrike w:val="0"/>
          <w:noProof w:val="0"/>
          <w:color w:val="1F1F1F"/>
          <w:sz w:val="24"/>
          <w:szCs w:val="24"/>
          <w:u w:val="none"/>
          <w:lang w:val="en-GB"/>
        </w:rPr>
      </w:pPr>
    </w:p>
    <w:p w:rsidR="00DD2E8E" w:rsidP="00DD2E8E" w:rsidRDefault="00DD2E8E" w14:paraId="372C2099" w14:textId="101B173B">
      <w:pPr>
        <w:spacing w:beforeAutospacing="on" w:afterAutospacing="on"/>
        <w:jc w:val="both"/>
        <w:rPr>
          <w:rFonts w:ascii="Arial" w:hAnsi="Arial" w:eastAsia="Arial" w:cs="Arial"/>
          <w:b w:val="0"/>
          <w:bCs w:val="0"/>
          <w:i w:val="0"/>
          <w:iCs w:val="0"/>
          <w:strike w:val="0"/>
          <w:dstrike w:val="0"/>
          <w:noProof w:val="0"/>
          <w:color w:val="1F1F1F"/>
          <w:sz w:val="24"/>
          <w:szCs w:val="24"/>
          <w:u w:val="none"/>
          <w:lang w:val="en-GB"/>
        </w:rPr>
      </w:pPr>
    </w:p>
    <w:p w:rsidRPr="00F1399D" w:rsidR="00F1399D" w:rsidP="5E9149B0" w:rsidRDefault="00F1399D" w14:paraId="3DCEA102" w14:textId="0D67892B">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 xml:space="preserve">Awanis, S. S., Kurniawan, T., &amp; Amin, M. (2020). Greenwashing dan </w:t>
      </w:r>
      <w:r w:rsidRPr="5E9149B0" w:rsidR="61DBDC21">
        <w:rPr>
          <w:rFonts w:ascii="Arial" w:hAnsi="Arial" w:eastAsia="Arial" w:cs="Arial"/>
          <w:b w:val="0"/>
          <w:bCs w:val="0"/>
          <w:i w:val="0"/>
          <w:iCs w:val="0"/>
          <w:strike w:val="0"/>
          <w:dstrike w:val="0"/>
          <w:noProof w:val="0"/>
          <w:color w:val="1F1F1F"/>
          <w:sz w:val="24"/>
          <w:szCs w:val="24"/>
          <w:u w:val="none"/>
          <w:lang w:val="en-GB"/>
        </w:rPr>
        <w:t>Dampaknya</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pada </w:t>
      </w:r>
      <w:r w:rsidRPr="5E9149B0" w:rsidR="61DBDC21">
        <w:rPr>
          <w:rFonts w:ascii="Arial" w:hAnsi="Arial" w:eastAsia="Arial" w:cs="Arial"/>
          <w:b w:val="0"/>
          <w:bCs w:val="0"/>
          <w:i w:val="0"/>
          <w:iCs w:val="0"/>
          <w:strike w:val="0"/>
          <w:dstrike w:val="0"/>
          <w:noProof w:val="0"/>
          <w:color w:val="1F1F1F"/>
          <w:sz w:val="24"/>
          <w:szCs w:val="24"/>
          <w:u w:val="none"/>
          <w:lang w:val="en-GB"/>
        </w:rPr>
        <w:t>Sikap</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Konsumen</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Jurnal</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Manajemen</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1F1F1F"/>
          <w:sz w:val="24"/>
          <w:szCs w:val="24"/>
          <w:u w:val="none"/>
          <w:lang w:val="en-GB"/>
        </w:rPr>
        <w:t>Pemasaran</w:t>
      </w:r>
      <w:r w:rsidRPr="5E9149B0" w:rsidR="61DBDC21">
        <w:rPr>
          <w:rFonts w:ascii="Arial" w:hAnsi="Arial" w:eastAsia="Arial" w:cs="Arial"/>
          <w:b w:val="0"/>
          <w:bCs w:val="0"/>
          <w:i w:val="0"/>
          <w:iCs w:val="0"/>
          <w:strike w:val="0"/>
          <w:dstrike w:val="0"/>
          <w:noProof w:val="0"/>
          <w:color w:val="1F1F1F"/>
          <w:sz w:val="24"/>
          <w:szCs w:val="24"/>
          <w:u w:val="none"/>
          <w:lang w:val="en-GB"/>
        </w:rPr>
        <w:t>, 14(2), 127-139.</w:t>
      </w:r>
    </w:p>
    <w:p w:rsidRPr="00F1399D" w:rsidR="00F1399D" w:rsidP="5E9149B0" w:rsidRDefault="00F1399D" w14:paraId="41537DF9" w14:textId="4DA48A03">
      <w:pPr>
        <w:spacing w:beforeAutospacing="on" w:afterAutospacing="on"/>
      </w:pPr>
    </w:p>
    <w:p w:rsidRPr="00F1399D" w:rsidR="00F1399D" w:rsidP="5E9149B0" w:rsidRDefault="00F1399D" w14:paraId="5FBA54EA" w14:textId="1EC6E46B">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Bachmann, Rüdiger, Gabriel Ehrlich, Ying Fan, Dimitrije Ruzic, and Benjamin Leard, “Firms and Collective Reputation: A Study of the Volkswagen Emissions Scandal,” Journal of the European Economic Association, 2022, 21 (2), 484–525.</w:t>
      </w:r>
    </w:p>
    <w:p w:rsidRPr="00F1399D" w:rsidR="00F1399D" w:rsidP="5E9149B0" w:rsidRDefault="00F1399D" w14:paraId="11195FA8" w14:textId="76AEEBF2">
      <w:pPr>
        <w:spacing w:beforeAutospacing="on" w:afterAutospacing="on"/>
      </w:pPr>
    </w:p>
    <w:p w:rsidRPr="00F1399D" w:rsidR="00F1399D" w:rsidP="5E9149B0" w:rsidRDefault="00F1399D" w14:paraId="45509D1D" w14:textId="0A5511C5">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 xml:space="preserve">Beyene, W., Delis, M., &amp; </w:t>
      </w:r>
      <w:r w:rsidRPr="5E9149B0" w:rsidR="61DBDC21">
        <w:rPr>
          <w:rFonts w:ascii="Arial" w:hAnsi="Arial" w:eastAsia="Arial" w:cs="Arial"/>
          <w:b w:val="0"/>
          <w:bCs w:val="0"/>
          <w:i w:val="0"/>
          <w:iCs w:val="0"/>
          <w:strike w:val="0"/>
          <w:dstrike w:val="0"/>
          <w:noProof w:val="0"/>
          <w:color w:val="1F1F1F"/>
          <w:sz w:val="24"/>
          <w:szCs w:val="24"/>
          <w:u w:val="none"/>
          <w:lang w:val="en-GB"/>
        </w:rPr>
        <w:t>Ongena</w:t>
      </w:r>
      <w:r w:rsidRPr="5E9149B0" w:rsidR="61DBDC21">
        <w:rPr>
          <w:rFonts w:ascii="Arial" w:hAnsi="Arial" w:eastAsia="Arial" w:cs="Arial"/>
          <w:b w:val="0"/>
          <w:bCs w:val="0"/>
          <w:i w:val="0"/>
          <w:iCs w:val="0"/>
          <w:strike w:val="0"/>
          <w:dstrike w:val="0"/>
          <w:noProof w:val="0"/>
          <w:color w:val="1F1F1F"/>
          <w:sz w:val="24"/>
          <w:szCs w:val="24"/>
          <w:u w:val="none"/>
          <w:lang w:val="en-GB"/>
        </w:rPr>
        <w:t>, S. (2022). Financial institutions’ exposures to fossil fuel assets (Tech. Rep.). ECON Committee European Parliament</w:t>
      </w:r>
    </w:p>
    <w:p w:rsidRPr="00F1399D" w:rsidR="00F1399D" w:rsidP="5E9149B0" w:rsidRDefault="00F1399D" w14:paraId="652B72E7" w14:textId="6DE68005">
      <w:pPr>
        <w:spacing w:beforeAutospacing="on" w:afterAutospacing="on"/>
      </w:pPr>
    </w:p>
    <w:p w:rsidRPr="00F1399D" w:rsidR="00F1399D" w:rsidP="5E9149B0" w:rsidRDefault="00F1399D" w14:paraId="0BD86102" w14:textId="690DF106">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333333"/>
          <w:sz w:val="24"/>
          <w:szCs w:val="24"/>
          <w:u w:val="none"/>
          <w:lang w:val="en-GB"/>
        </w:rPr>
        <w:t xml:space="preserve">Ekman F., Johansson M., Sochor J. (2018). Creating Appropriate Trust in Automated Vehicle Systems: A Framework for HMI Design. </w:t>
      </w:r>
      <w:r w:rsidRPr="5E9149B0" w:rsidR="61DBDC21">
        <w:rPr>
          <w:rFonts w:ascii="Arial" w:hAnsi="Arial" w:eastAsia="Arial" w:cs="Arial"/>
          <w:b w:val="0"/>
          <w:bCs w:val="0"/>
          <w:i w:val="1"/>
          <w:iCs w:val="1"/>
          <w:strike w:val="0"/>
          <w:dstrike w:val="0"/>
          <w:noProof w:val="0"/>
          <w:color w:val="333333"/>
          <w:sz w:val="24"/>
          <w:szCs w:val="24"/>
          <w:u w:val="none"/>
          <w:lang w:val="en-GB"/>
        </w:rPr>
        <w:t>IEEE Transactions on Human-Machine Systems</w:t>
      </w:r>
      <w:r w:rsidRPr="5E9149B0" w:rsidR="61DBDC21">
        <w:rPr>
          <w:rFonts w:ascii="Arial" w:hAnsi="Arial" w:eastAsia="Arial" w:cs="Arial"/>
          <w:b w:val="0"/>
          <w:bCs w:val="0"/>
          <w:i w:val="0"/>
          <w:iCs w:val="0"/>
          <w:strike w:val="0"/>
          <w:dstrike w:val="0"/>
          <w:noProof w:val="0"/>
          <w:color w:val="333333"/>
          <w:sz w:val="24"/>
          <w:szCs w:val="24"/>
          <w:u w:val="none"/>
          <w:lang w:val="en-GB"/>
        </w:rPr>
        <w:t>, 48(1), 95-101.</w:t>
      </w:r>
    </w:p>
    <w:p w:rsidRPr="00F1399D" w:rsidR="00F1399D" w:rsidP="5E9149B0" w:rsidRDefault="00F1399D" w14:paraId="3112CD64" w14:textId="094F2CA3">
      <w:pPr>
        <w:spacing w:beforeAutospacing="on" w:afterAutospacing="on"/>
      </w:pPr>
    </w:p>
    <w:p w:rsidRPr="00F1399D" w:rsidR="00F1399D" w:rsidP="5E9149B0" w:rsidRDefault="00F1399D" w14:paraId="7CBE37D9" w14:textId="4CE7C812">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Eriksson, P., &amp; Hallberg, N. (2022). Crisis management as a learning system: Understanding the dynamics of adaptation and transformation in-between crises. Safety science, 151, 105735. 6. Lebow, R. N. (1986). Nuclear Crisis Management: A Dangerous Illusion. Bulletin of Peace Proposals, 17(2), 107-112.</w:t>
      </w:r>
    </w:p>
    <w:p w:rsidRPr="00F1399D" w:rsidR="00F1399D" w:rsidP="5E9149B0" w:rsidRDefault="00F1399D" w14:paraId="32DD62DF" w14:textId="59F52B4F">
      <w:pPr>
        <w:spacing w:beforeAutospacing="on" w:afterAutospacing="on"/>
      </w:pPr>
    </w:p>
    <w:p w:rsidRPr="00F1399D" w:rsidR="00F1399D" w:rsidP="5E9149B0" w:rsidRDefault="00F1399D" w14:paraId="3423D729" w14:noSpellErr="1" w14:textId="62B283CA">
      <w:pPr>
        <w:spacing w:before="0" w:beforeAutospacing="on" w:after="0" w:afterAutospacing="on"/>
        <w:jc w:val="both"/>
      </w:pPr>
      <w:r w:rsidRPr="00DD2E8E" w:rsidR="4DCEBBB1">
        <w:rPr>
          <w:rFonts w:ascii="Arial" w:hAnsi="Arial" w:eastAsia="Arial" w:cs="Arial"/>
          <w:b w:val="0"/>
          <w:bCs w:val="0"/>
          <w:i w:val="0"/>
          <w:iCs w:val="0"/>
          <w:strike w:val="0"/>
          <w:dstrike w:val="0"/>
          <w:noProof w:val="0"/>
          <w:color w:val="1F1F1F"/>
          <w:sz w:val="24"/>
          <w:szCs w:val="24"/>
          <w:u w:val="none"/>
          <w:lang w:val="en-GB"/>
        </w:rPr>
        <w:t>Florio,</w:t>
      </w:r>
      <w:r w:rsidRPr="00DD2E8E" w:rsidR="61DBDC21">
        <w:rPr>
          <w:rFonts w:ascii="Arial" w:hAnsi="Arial" w:eastAsia="Arial" w:cs="Arial"/>
          <w:b w:val="0"/>
          <w:bCs w:val="0"/>
          <w:i w:val="0"/>
          <w:iCs w:val="0"/>
          <w:strike w:val="0"/>
          <w:dstrike w:val="0"/>
          <w:noProof w:val="0"/>
          <w:color w:val="1F1F1F"/>
          <w:sz w:val="24"/>
          <w:szCs w:val="24"/>
          <w:u w:val="none"/>
          <w:lang w:val="en-GB"/>
        </w:rPr>
        <w:t xml:space="preserve">C., &amp; Sproviero, A. (2021). Repairing legitimacy through disclosures: insight from Volkswagen’s 2015 diesel scandal. </w:t>
      </w:r>
      <w:r w:rsidRPr="00DD2E8E" w:rsidR="61DBDC21">
        <w:rPr>
          <w:rFonts w:ascii="Arial" w:hAnsi="Arial" w:eastAsia="Arial" w:cs="Arial"/>
          <w:b w:val="0"/>
          <w:bCs w:val="0"/>
          <w:i w:val="0"/>
          <w:iCs w:val="0"/>
          <w:strike w:val="0"/>
          <w:dstrike w:val="0"/>
          <w:noProof w:val="0"/>
          <w:color w:val="1F1F1F"/>
          <w:sz w:val="24"/>
          <w:szCs w:val="24"/>
          <w:u w:val="none"/>
          <w:lang w:val="en-GB"/>
        </w:rPr>
        <w:t>Meditari</w:t>
      </w:r>
      <w:r w:rsidRPr="00DD2E8E" w:rsidR="61DBDC21">
        <w:rPr>
          <w:rFonts w:ascii="Arial" w:hAnsi="Arial" w:eastAsia="Arial" w:cs="Arial"/>
          <w:b w:val="0"/>
          <w:bCs w:val="0"/>
          <w:i w:val="0"/>
          <w:iCs w:val="0"/>
          <w:strike w:val="0"/>
          <w:dstrike w:val="0"/>
          <w:noProof w:val="0"/>
          <w:color w:val="006621"/>
          <w:sz w:val="24"/>
          <w:szCs w:val="24"/>
          <w:u w:val="none"/>
          <w:lang w:val="en-GB"/>
        </w:rPr>
        <w:t xml:space="preserve"> </w:t>
      </w:r>
      <w:r w:rsidRPr="00DD2E8E"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Accountancy Research</w:t>
      </w:r>
    </w:p>
    <w:p w:rsidRPr="00F1399D" w:rsidR="00F1399D" w:rsidP="5E9149B0" w:rsidRDefault="00F1399D" w14:paraId="680218FA" w14:textId="279CC85A">
      <w:pPr>
        <w:spacing w:beforeAutospacing="on" w:afterAutospacing="on"/>
      </w:pPr>
    </w:p>
    <w:p w:rsidRPr="00F1399D" w:rsidR="00F1399D" w:rsidP="5E9149B0" w:rsidRDefault="00F1399D" w14:paraId="7F0C0566" w14:textId="642D18E1">
      <w:pPr>
        <w:spacing w:beforeAutospacing="on" w:afterAutospacing="on"/>
      </w:pPr>
    </w:p>
    <w:p w:rsidRPr="00F1399D" w:rsidR="00F1399D" w:rsidP="5E9149B0" w:rsidRDefault="00F1399D" w14:paraId="4F74EB3F" w14:textId="0B238CF5">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 xml:space="preserve">Kapoor, R., &amp; Pandey, K. (2021). Greenwashing: A review of literature and future research agenda. Journal of Cleaner Production, 280, 124144. </w:t>
      </w:r>
      <w:r w:rsidRPr="5E9149B0" w:rsidR="61DBDC21">
        <w:rPr>
          <w:rFonts w:ascii="Arial" w:hAnsi="Arial" w:eastAsia="Arial" w:cs="Arial"/>
          <w:b w:val="0"/>
          <w:bCs w:val="0"/>
          <w:i w:val="0"/>
          <w:iCs w:val="0"/>
          <w:strike w:val="0"/>
          <w:dstrike w:val="0"/>
          <w:noProof w:val="0"/>
          <w:color w:val="1F1F1F"/>
          <w:sz w:val="24"/>
          <w:szCs w:val="24"/>
          <w:u w:val="none"/>
          <w:lang w:val="en-GB"/>
        </w:rPr>
        <w:t>doi</w:t>
      </w:r>
      <w:r w:rsidRPr="5E9149B0" w:rsidR="61DBDC21">
        <w:rPr>
          <w:rFonts w:ascii="Arial" w:hAnsi="Arial" w:eastAsia="Arial" w:cs="Arial"/>
          <w:b w:val="0"/>
          <w:bCs w:val="0"/>
          <w:i w:val="0"/>
          <w:iCs w:val="0"/>
          <w:strike w:val="0"/>
          <w:dstrike w:val="0"/>
          <w:noProof w:val="0"/>
          <w:color w:val="1F1F1F"/>
          <w:sz w:val="24"/>
          <w:szCs w:val="24"/>
          <w:u w:val="none"/>
          <w:lang w:val="en-GB"/>
        </w:rPr>
        <w:t>: 10.1016/j.jclepro.2020.124144</w:t>
      </w:r>
    </w:p>
    <w:p w:rsidRPr="00F1399D" w:rsidR="00F1399D" w:rsidP="5E9149B0" w:rsidRDefault="00F1399D" w14:paraId="439A064D" w14:textId="302D1AF1">
      <w:pPr>
        <w:spacing w:beforeAutospacing="on" w:afterAutospacing="on"/>
      </w:pPr>
    </w:p>
    <w:p w:rsidRPr="00F1399D" w:rsidR="00F1399D" w:rsidP="5E9149B0" w:rsidRDefault="00F1399D" w14:paraId="58C491A1" w14:textId="4BD5E96A" w14:noSpellErr="1">
      <w:pPr>
        <w:spacing w:before="0" w:beforeAutospacing="on" w:after="0" w:afterAutospacing="on"/>
        <w:jc w:val="both"/>
      </w:pPr>
      <w:r w:rsidRPr="00DD2E8E" w:rsidR="61DBDC21">
        <w:rPr>
          <w:rFonts w:ascii="Arial" w:hAnsi="Arial" w:eastAsia="Arial" w:cs="Arial"/>
          <w:b w:val="0"/>
          <w:bCs w:val="0"/>
          <w:i w:val="0"/>
          <w:iCs w:val="0"/>
          <w:strike w:val="0"/>
          <w:dstrike w:val="0"/>
          <w:noProof w:val="0"/>
          <w:color w:val="1F1F1F"/>
          <w:sz w:val="24"/>
          <w:szCs w:val="24"/>
          <w:u w:val="none"/>
          <w:lang w:val="en-GB"/>
        </w:rPr>
        <w:t xml:space="preserve">Tanner, C., &amp; Mansell, W. (2025). The dynamics of deception: Lessons from the Volkswagen emissions scandal. </w:t>
      </w:r>
      <w:hyperlink r:id="R105581abffc44428">
        <w:r w:rsidRPr="00DD2E8E" w:rsidR="61DBDC21">
          <w:rPr>
            <w:rStyle w:val="Hyperlink"/>
            <w:rFonts w:ascii="Arial" w:hAnsi="Arial" w:eastAsia="Arial" w:cs="Arial"/>
            <w:b w:val="0"/>
            <w:bCs w:val="0"/>
            <w:i w:val="0"/>
            <w:iCs w:val="0"/>
            <w:strike w:val="0"/>
            <w:dstrike w:val="0"/>
            <w:noProof w:val="0"/>
            <w:color w:val="000000" w:themeColor="text1" w:themeTint="FF" w:themeShade="FF"/>
            <w:sz w:val="24"/>
            <w:szCs w:val="24"/>
            <w:lang w:val="en-GB"/>
          </w:rPr>
          <w:t>https://doi.org/10.2139/ssrn.4986485</w:t>
        </w:r>
      </w:hyperlink>
    </w:p>
    <w:p w:rsidRPr="00F1399D" w:rsidR="00F1399D" w:rsidP="5E9149B0" w:rsidRDefault="00F1399D" w14:paraId="53F1BFC8" w14:textId="6508BFFA">
      <w:pPr>
        <w:spacing w:beforeAutospacing="on" w:afterAutospacing="on"/>
      </w:pPr>
    </w:p>
    <w:p w:rsidRPr="00F1399D" w:rsidR="00F1399D" w:rsidP="5E9149B0" w:rsidRDefault="00F1399D" w14:paraId="69BF8760" w14:textId="68DD63A5">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 xml:space="preserve">Turna, G. </w:t>
      </w:r>
      <w:r w:rsidRPr="5E9149B0" w:rsidR="61DBDC21">
        <w:rPr>
          <w:rFonts w:ascii="Arial" w:hAnsi="Arial" w:eastAsia="Arial" w:cs="Arial"/>
          <w:b w:val="0"/>
          <w:bCs w:val="0"/>
          <w:i w:val="0"/>
          <w:iCs w:val="0"/>
          <w:strike w:val="0"/>
          <w:dstrike w:val="0"/>
          <w:noProof w:val="0"/>
          <w:color w:val="1F1F1F"/>
          <w:sz w:val="24"/>
          <w:szCs w:val="24"/>
          <w:u w:val="none"/>
          <w:lang w:val="en-GB"/>
        </w:rPr>
        <w:t>(2022</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How “</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Dieselgate</w:t>
      </w:r>
      <w:r w:rsidRPr="5E9149B0" w:rsidR="61DBDC21">
        <w:rPr>
          <w:rFonts w:ascii="Arial" w:hAnsi="Arial" w:eastAsia="Arial" w:cs="Arial"/>
          <w:b w:val="0"/>
          <w:bCs w:val="0"/>
          <w:i w:val="0"/>
          <w:iCs w:val="0"/>
          <w:strike w:val="0"/>
          <w:dstrike w:val="0"/>
          <w:noProof w:val="0"/>
          <w:color w:val="000000" w:themeColor="text1" w:themeTint="FF" w:themeShade="FF"/>
          <w:sz w:val="24"/>
          <w:szCs w:val="24"/>
          <w:u w:val="none"/>
          <w:lang w:val="en-GB"/>
        </w:rPr>
        <w:t>” Changed Volkswagen: Rushing to Erase the Traces of Greenwashing</w:t>
      </w:r>
    </w:p>
    <w:p w:rsidRPr="00F1399D" w:rsidR="00F1399D" w:rsidP="5E9149B0" w:rsidRDefault="00F1399D" w14:paraId="2EDFDC2D" w14:textId="1ECFA63C">
      <w:pPr>
        <w:spacing w:beforeAutospacing="on" w:afterAutospacing="on"/>
      </w:pPr>
    </w:p>
    <w:p w:rsidRPr="00F1399D" w:rsidR="00F1399D" w:rsidP="5E9149B0" w:rsidRDefault="00F1399D" w14:paraId="676DC498" w14:textId="147A198E">
      <w:pPr>
        <w:spacing w:beforeAutospacing="on" w:afterAutospacing="on"/>
      </w:pPr>
    </w:p>
    <w:p w:rsidRPr="00F1399D" w:rsidR="00F1399D" w:rsidP="5E9149B0" w:rsidRDefault="00F1399D" w14:paraId="40825E78" w14:textId="68384F80">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World Economic Forum. (2020). Blockchain for Sustainable and Inclusive Digital Economies.</w:t>
      </w:r>
    </w:p>
    <w:p w:rsidRPr="00F1399D" w:rsidR="00F1399D" w:rsidP="5E9149B0" w:rsidRDefault="00F1399D" w14:paraId="0EABB035" w14:textId="10F08FED">
      <w:pPr>
        <w:spacing w:beforeAutospacing="on" w:afterAutospacing="on"/>
      </w:pPr>
    </w:p>
    <w:p w:rsidRPr="00F1399D" w:rsidR="00F1399D" w:rsidP="5E9149B0" w:rsidRDefault="00F1399D" w14:paraId="68887E0D" w14:textId="7E92F8A2">
      <w:pPr>
        <w:spacing w:before="0" w:beforeAutospacing="on" w:after="0" w:afterAutospacing="on"/>
        <w:jc w:val="both"/>
      </w:pPr>
      <w:r w:rsidRPr="5E9149B0" w:rsidR="61DBDC21">
        <w:rPr>
          <w:rFonts w:ascii="Arial" w:hAnsi="Arial" w:eastAsia="Arial" w:cs="Arial"/>
          <w:b w:val="0"/>
          <w:bCs w:val="0"/>
          <w:i w:val="0"/>
          <w:iCs w:val="0"/>
          <w:strike w:val="0"/>
          <w:dstrike w:val="0"/>
          <w:noProof w:val="0"/>
          <w:color w:val="1F1F1F"/>
          <w:sz w:val="24"/>
          <w:szCs w:val="24"/>
          <w:u w:val="none"/>
          <w:lang w:val="en-GB"/>
        </w:rPr>
        <w:t xml:space="preserve">Zhang M, Atwal G, Kaiser M. 2021. Corporate social Irresponsibility and stakeholder ecosystems: the case of Volkswagen </w:t>
      </w:r>
      <w:r w:rsidRPr="5E9149B0" w:rsidR="61DBDC21">
        <w:rPr>
          <w:rFonts w:ascii="Arial" w:hAnsi="Arial" w:eastAsia="Arial" w:cs="Arial"/>
          <w:b w:val="0"/>
          <w:bCs w:val="0"/>
          <w:i w:val="0"/>
          <w:iCs w:val="0"/>
          <w:strike w:val="0"/>
          <w:dstrike w:val="0"/>
          <w:noProof w:val="0"/>
          <w:color w:val="1F1F1F"/>
          <w:sz w:val="24"/>
          <w:szCs w:val="24"/>
          <w:u w:val="none"/>
          <w:lang w:val="en-GB"/>
        </w:rPr>
        <w:t>Dieselgate</w:t>
      </w:r>
      <w:r w:rsidRPr="5E9149B0" w:rsidR="61DBDC21">
        <w:rPr>
          <w:rFonts w:ascii="Arial" w:hAnsi="Arial" w:eastAsia="Arial" w:cs="Arial"/>
          <w:b w:val="0"/>
          <w:bCs w:val="0"/>
          <w:i w:val="0"/>
          <w:iCs w:val="0"/>
          <w:strike w:val="0"/>
          <w:dstrike w:val="0"/>
          <w:noProof w:val="0"/>
          <w:color w:val="1F1F1F"/>
          <w:sz w:val="24"/>
          <w:szCs w:val="24"/>
          <w:u w:val="none"/>
          <w:lang w:val="en-GB"/>
        </w:rPr>
        <w:t xml:space="preserve"> scandal. Strategic Change. 30(1): 79–85. </w:t>
      </w:r>
    </w:p>
    <w:p w:rsidRPr="00F1399D" w:rsidR="00F1399D" w:rsidP="5E9149B0" w:rsidRDefault="00F1399D" w14:paraId="53571D82" w14:textId="3C4A3C23">
      <w:pPr>
        <w:spacing w:beforeAutospacing="on" w:afterAutospacing="on"/>
      </w:pPr>
    </w:p>
    <w:p w:rsidRPr="00F1399D" w:rsidR="00F1399D" w:rsidP="5E9149B0" w:rsidRDefault="00F1399D" w14:paraId="40A8CC0A" w14:textId="3CF5EAFA">
      <w:pPr>
        <w:spacing w:beforeAutospacing="on" w:afterAutospacing="on"/>
        <w:rPr>
          <w:rFonts w:ascii="Arial" w:hAnsi="Arial" w:cs="Arial"/>
          <w:sz w:val="16"/>
          <w:szCs w:val="16"/>
        </w:rPr>
        <w:sectPr w:rsidRPr="00F1399D" w:rsidR="00F1399D">
          <w:pgSz w:w="11906" w:h="16838" w:orient="portrait"/>
          <w:pgMar w:top="1440" w:right="1440" w:bottom="1440" w:left="1440" w:header="708" w:footer="708" w:gutter="0"/>
          <w:cols w:space="708"/>
          <w:docGrid w:linePitch="360"/>
        </w:sectPr>
      </w:pPr>
    </w:p>
    <w:bookmarkStart w:name="_Toc198804605" w:id="6"/>
    <w:p w:rsidRPr="00F1399D" w:rsidR="00F1399D" w:rsidP="5E9149B0" w:rsidRDefault="00F1399D" w14:paraId="30705B1D" w14:textId="77777777" w14:noSpellErr="1">
      <w:pPr>
        <w:spacing w:before="100" w:beforeAutospacing="on" w:after="100" w:afterAutospacing="on" w:line="240" w:lineRule="auto"/>
        <w:outlineLvl w:val="2"/>
        <w:rPr>
          <w:rFonts w:ascii="Arial" w:hAnsi="Arial" w:eastAsia="Times New Roman" w:cs="Arial"/>
          <w:b w:val="1"/>
          <w:bCs w:val="1"/>
          <w:kern w:val="0"/>
          <w:sz w:val="27"/>
          <w:szCs w:val="27"/>
          <w14:ligatures w14:val="none"/>
        </w:rPr>
      </w:pPr>
    </w:p>
    <w:p w:rsidRPr="00F1399D" w:rsidR="00F1399D" w:rsidP="00F1399D" w:rsidRDefault="00F1399D" w14:paraId="5A3EBECF" w14:textId="77777777">
      <w:pPr>
        <w:spacing w:before="100" w:beforeAutospacing="1" w:after="100" w:afterAutospacing="1" w:line="240" w:lineRule="auto"/>
        <w:outlineLvl w:val="2"/>
        <w:rPr>
          <w:rFonts w:ascii="Arial" w:hAnsi="Arial" w:eastAsia="Times New Roman" w:cs="Arial"/>
          <w:b/>
          <w:bCs/>
          <w:kern w:val="0"/>
          <w:sz w:val="27"/>
          <w:szCs w:val="27"/>
          <w14:ligatures w14:val="none"/>
        </w:rPr>
      </w:pPr>
    </w:p>
    <w:p w:rsidR="00F1399D" w:rsidP="00DD2E8E" w:rsidRDefault="00F1399D" w14:paraId="3F21F5C5" w14:textId="77777777" w14:noSpellErr="1">
      <w:pPr>
        <w:spacing w:before="100" w:beforeAutospacing="on" w:after="100" w:afterAutospacing="on" w:line="240" w:lineRule="auto"/>
        <w:outlineLvl w:val="2"/>
        <w:rPr>
          <w:rFonts w:ascii="Arial" w:hAnsi="Arial" w:eastAsia="Times New Roman" w:cs="Arial"/>
          <w:b w:val="1"/>
          <w:bCs w:val="1"/>
          <w:kern w:val="0"/>
          <w:sz w:val="27"/>
          <w:szCs w:val="27"/>
          <w14:ligatures w14:val="none"/>
        </w:rPr>
        <w:sectPr w:rsidR="00F1399D">
          <w:pgSz w:w="11906" w:h="16838" w:orient="portrait"/>
          <w:pgMar w:top="1440" w:right="1440" w:bottom="1440" w:left="1440" w:header="708" w:footer="708" w:gutter="0"/>
          <w:cols w:space="708"/>
          <w:docGrid w:linePitch="360"/>
        </w:sectPr>
      </w:pPr>
      <w:bookmarkEnd w:id="6"/>
    </w:p>
    <w:p w:rsidRPr="00B103B9" w:rsidR="000C541C" w:rsidP="00DD5969" w:rsidRDefault="000C541C" w14:paraId="2AE1CF9A" w14:textId="77777777">
      <w:pPr>
        <w:rPr>
          <w:sz w:val="16"/>
          <w:szCs w:val="16"/>
        </w:rPr>
      </w:pPr>
    </w:p>
    <w:sectPr w:rsidRPr="00B103B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1B27" w:rsidP="00F1399D" w:rsidRDefault="006F1B27" w14:paraId="743B860F" w14:textId="77777777">
      <w:pPr>
        <w:spacing w:after="0" w:line="240" w:lineRule="auto"/>
      </w:pPr>
      <w:r>
        <w:separator/>
      </w:r>
    </w:p>
  </w:endnote>
  <w:endnote w:type="continuationSeparator" w:id="0">
    <w:p w:rsidR="006F1B27" w:rsidP="00F1399D" w:rsidRDefault="006F1B27" w14:paraId="5D7842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1B27" w:rsidP="00F1399D" w:rsidRDefault="006F1B27" w14:paraId="57FC36F7" w14:textId="77777777">
      <w:pPr>
        <w:spacing w:after="0" w:line="240" w:lineRule="auto"/>
      </w:pPr>
      <w:r>
        <w:separator/>
      </w:r>
    </w:p>
  </w:footnote>
  <w:footnote w:type="continuationSeparator" w:id="0">
    <w:p w:rsidR="006F1B27" w:rsidP="00F1399D" w:rsidRDefault="006F1B27" w14:paraId="76797BA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rbZZ4Op4AEyDns" int2:id="4MPCgXbQ">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423CB"/>
    <w:multiLevelType w:val="multilevel"/>
    <w:tmpl w:val="BEF68A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D824485"/>
    <w:multiLevelType w:val="hybridMultilevel"/>
    <w:tmpl w:val="E154F6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94660C"/>
    <w:multiLevelType w:val="multilevel"/>
    <w:tmpl w:val="2A00A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ED3558A"/>
    <w:multiLevelType w:val="multilevel"/>
    <w:tmpl w:val="D3643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4584F04"/>
    <w:multiLevelType w:val="multilevel"/>
    <w:tmpl w:val="44E8E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57896471">
    <w:abstractNumId w:val="4"/>
  </w:num>
  <w:num w:numId="2" w16cid:durableId="1766608665">
    <w:abstractNumId w:val="0"/>
  </w:num>
  <w:num w:numId="3" w16cid:durableId="632635170">
    <w:abstractNumId w:val="2"/>
  </w:num>
  <w:num w:numId="4" w16cid:durableId="994382463">
    <w:abstractNumId w:val="3"/>
  </w:num>
  <w:num w:numId="5" w16cid:durableId="175755404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displayBackgroundShap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B31F1"/>
    <w:rsid w:val="004D474C"/>
    <w:rsid w:val="0053246E"/>
    <w:rsid w:val="00536CFB"/>
    <w:rsid w:val="00543F5E"/>
    <w:rsid w:val="00584970"/>
    <w:rsid w:val="005913FB"/>
    <w:rsid w:val="005B783A"/>
    <w:rsid w:val="005F42D0"/>
    <w:rsid w:val="005F7C42"/>
    <w:rsid w:val="0062310A"/>
    <w:rsid w:val="00664B16"/>
    <w:rsid w:val="006B52C3"/>
    <w:rsid w:val="006F1B27"/>
    <w:rsid w:val="007203C3"/>
    <w:rsid w:val="007352C0"/>
    <w:rsid w:val="00735C2C"/>
    <w:rsid w:val="00743752"/>
    <w:rsid w:val="007D3AE1"/>
    <w:rsid w:val="007D777F"/>
    <w:rsid w:val="007E01E0"/>
    <w:rsid w:val="00803155"/>
    <w:rsid w:val="00840BEE"/>
    <w:rsid w:val="00851EDB"/>
    <w:rsid w:val="008D7180"/>
    <w:rsid w:val="008F1086"/>
    <w:rsid w:val="009060A0"/>
    <w:rsid w:val="0091355A"/>
    <w:rsid w:val="00917008"/>
    <w:rsid w:val="00935B8D"/>
    <w:rsid w:val="009A3D6F"/>
    <w:rsid w:val="009B164A"/>
    <w:rsid w:val="00A15883"/>
    <w:rsid w:val="00A23D6E"/>
    <w:rsid w:val="00A476E3"/>
    <w:rsid w:val="00AD7313"/>
    <w:rsid w:val="00AE2AA9"/>
    <w:rsid w:val="00AE3307"/>
    <w:rsid w:val="00AF66E7"/>
    <w:rsid w:val="00B028A8"/>
    <w:rsid w:val="00B103B9"/>
    <w:rsid w:val="00B42784"/>
    <w:rsid w:val="00B51B61"/>
    <w:rsid w:val="00B724BB"/>
    <w:rsid w:val="00BC7B60"/>
    <w:rsid w:val="00BE2A35"/>
    <w:rsid w:val="00BE3554"/>
    <w:rsid w:val="00C129B8"/>
    <w:rsid w:val="00C24461"/>
    <w:rsid w:val="00C2550A"/>
    <w:rsid w:val="00C4699D"/>
    <w:rsid w:val="00CF32AC"/>
    <w:rsid w:val="00D24ADF"/>
    <w:rsid w:val="00D26517"/>
    <w:rsid w:val="00D33868"/>
    <w:rsid w:val="00DC55F3"/>
    <w:rsid w:val="00DD2E8E"/>
    <w:rsid w:val="00DD5969"/>
    <w:rsid w:val="00E10797"/>
    <w:rsid w:val="00E243A8"/>
    <w:rsid w:val="00E6747C"/>
    <w:rsid w:val="00EA0B9A"/>
    <w:rsid w:val="00EA15D1"/>
    <w:rsid w:val="00EA6220"/>
    <w:rsid w:val="00EC1771"/>
    <w:rsid w:val="00F1399D"/>
    <w:rsid w:val="00F8089C"/>
    <w:rsid w:val="03D01122"/>
    <w:rsid w:val="042067F1"/>
    <w:rsid w:val="07D5B987"/>
    <w:rsid w:val="095D05C6"/>
    <w:rsid w:val="09AD0EBF"/>
    <w:rsid w:val="0C342452"/>
    <w:rsid w:val="0CBF09FF"/>
    <w:rsid w:val="11592CCC"/>
    <w:rsid w:val="15211E68"/>
    <w:rsid w:val="159164D0"/>
    <w:rsid w:val="166ABB76"/>
    <w:rsid w:val="18A02F5B"/>
    <w:rsid w:val="1A348457"/>
    <w:rsid w:val="1DDBC48A"/>
    <w:rsid w:val="1E4A7BD2"/>
    <w:rsid w:val="2146BFC6"/>
    <w:rsid w:val="2266B996"/>
    <w:rsid w:val="2271EB98"/>
    <w:rsid w:val="22EF0E43"/>
    <w:rsid w:val="231898B3"/>
    <w:rsid w:val="260C7FFA"/>
    <w:rsid w:val="26A58827"/>
    <w:rsid w:val="281B8C29"/>
    <w:rsid w:val="2837A147"/>
    <w:rsid w:val="2DEDA24E"/>
    <w:rsid w:val="2E370707"/>
    <w:rsid w:val="2E4539DB"/>
    <w:rsid w:val="2E65EEF6"/>
    <w:rsid w:val="2EF8041F"/>
    <w:rsid w:val="3063E992"/>
    <w:rsid w:val="3254295A"/>
    <w:rsid w:val="32845346"/>
    <w:rsid w:val="3486889B"/>
    <w:rsid w:val="34EB3115"/>
    <w:rsid w:val="3650C381"/>
    <w:rsid w:val="3AD57D53"/>
    <w:rsid w:val="3B4036FC"/>
    <w:rsid w:val="3FA537ED"/>
    <w:rsid w:val="41B392A5"/>
    <w:rsid w:val="42286A39"/>
    <w:rsid w:val="431DA4C2"/>
    <w:rsid w:val="45A3794F"/>
    <w:rsid w:val="474C925A"/>
    <w:rsid w:val="4C4D25A0"/>
    <w:rsid w:val="4DCEBBB1"/>
    <w:rsid w:val="50B3257C"/>
    <w:rsid w:val="5215FC2D"/>
    <w:rsid w:val="5365747D"/>
    <w:rsid w:val="54AF5AF1"/>
    <w:rsid w:val="558D936C"/>
    <w:rsid w:val="567C7E15"/>
    <w:rsid w:val="58871598"/>
    <w:rsid w:val="5C88EE3A"/>
    <w:rsid w:val="5DA3134B"/>
    <w:rsid w:val="5E9149B0"/>
    <w:rsid w:val="5F2EA6D3"/>
    <w:rsid w:val="5F60CB9B"/>
    <w:rsid w:val="5F7B4CEB"/>
    <w:rsid w:val="61AAD288"/>
    <w:rsid w:val="61DBDC21"/>
    <w:rsid w:val="67C04345"/>
    <w:rsid w:val="67D5B976"/>
    <w:rsid w:val="67F6F270"/>
    <w:rsid w:val="68A97992"/>
    <w:rsid w:val="6A6F5BF0"/>
    <w:rsid w:val="70E29EFE"/>
    <w:rsid w:val="71074237"/>
    <w:rsid w:val="7238AE87"/>
    <w:rsid w:val="72ED3B43"/>
    <w:rsid w:val="74B02C96"/>
    <w:rsid w:val="74F99FAF"/>
    <w:rsid w:val="77A4C21D"/>
    <w:rsid w:val="79D02451"/>
    <w:rsid w:val="7AD693AE"/>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F1399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399D"/>
  </w:style>
  <w:style w:type="paragraph" w:styleId="Footer">
    <w:name w:val="footer"/>
    <w:basedOn w:val="Normal"/>
    <w:link w:val="FooterChar"/>
    <w:uiPriority w:val="99"/>
    <w:unhideWhenUsed/>
    <w:rsid w:val="00F1399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399D"/>
  </w:style>
  <w:style w:type="paragraph" w:styleId="TOCHeading">
    <w:name w:val="TOC Heading"/>
    <w:basedOn w:val="Heading1"/>
    <w:next w:val="Normal"/>
    <w:uiPriority w:val="39"/>
    <w:unhideWhenUsed/>
    <w:qFormat/>
    <w:rsid w:val="00F1399D"/>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F1399D"/>
    <w:pPr>
      <w:spacing w:after="100"/>
      <w:ind w:left="480"/>
    </w:pPr>
  </w:style>
  <w:style w:type="character" w:styleId="Hyperlink">
    <w:name w:val="Hyperlink"/>
    <w:basedOn w:val="DefaultParagraphFont"/>
    <w:uiPriority w:val="99"/>
    <w:unhideWhenUsed/>
    <w:rsid w:val="00F139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93509525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0b59c2c5abb4464f" /><Relationship Type="http://schemas.openxmlformats.org/officeDocument/2006/relationships/hyperlink" Target="https://doi.org/10.2139/ssrn.4986485" TargetMode="External" Id="R105581abffc4442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Patricia Chanda (1350365)</lastModifiedBy>
  <revision>9</revision>
  <lastPrinted>2025-05-22T10:20:00.0000000Z</lastPrinted>
  <dcterms:created xsi:type="dcterms:W3CDTF">2025-04-15T10:58:00.0000000Z</dcterms:created>
  <dcterms:modified xsi:type="dcterms:W3CDTF">2025-11-14T00:58:11.0277833Z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