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EB75E" w14:textId="77777777" w:rsidR="00D31A9B" w:rsidRPr="00D31A9B" w:rsidRDefault="00D31A9B" w:rsidP="00D31A9B">
      <w:pPr>
        <w:pStyle w:val="ListParagraph"/>
        <w:numPr>
          <w:ilvl w:val="0"/>
          <w:numId w:val="1"/>
        </w:numPr>
        <w:spacing w:line="276" w:lineRule="auto"/>
        <w:ind w:left="567" w:right="531"/>
        <w:rPr>
          <w:rFonts w:ascii="Arial" w:hAnsi="Arial" w:cs="Arial"/>
        </w:rPr>
      </w:pPr>
      <w:r w:rsidRPr="00D31A9B">
        <w:rPr>
          <w:rFonts w:ascii="Arial" w:hAnsi="Arial" w:cs="Arial"/>
          <w:u w:val="single"/>
        </w:rPr>
        <w:t>Examine</w:t>
      </w:r>
      <w:r w:rsidRPr="00D31A9B">
        <w:rPr>
          <w:rFonts w:ascii="Arial" w:hAnsi="Arial" w:cs="Arial"/>
        </w:rPr>
        <w:t xml:space="preserve"> why certain groups might be reluctant to engage with police, and </w:t>
      </w:r>
      <w:r w:rsidRPr="00D31A9B">
        <w:rPr>
          <w:rFonts w:ascii="Arial" w:hAnsi="Arial" w:cs="Arial"/>
          <w:u w:val="single"/>
        </w:rPr>
        <w:t>analyse</w:t>
      </w:r>
      <w:r w:rsidRPr="00D31A9B">
        <w:rPr>
          <w:rFonts w:ascii="Arial" w:hAnsi="Arial" w:cs="Arial"/>
        </w:rPr>
        <w:t xml:space="preserve"> the effectiveness of recent or current neighbourhood policing strategies to improve community engagement. Your answer should be based on academic research, although you may make reference to relevant case studies.</w:t>
      </w:r>
    </w:p>
    <w:p w14:paraId="4B0D7C25" w14:textId="77777777" w:rsidR="00D31A9B" w:rsidRPr="00D31A9B" w:rsidRDefault="00D31A9B" w:rsidP="00D31A9B">
      <w:pPr>
        <w:rPr>
          <w:rFonts w:ascii="Arial" w:hAnsi="Arial" w:cs="Arial"/>
        </w:rPr>
      </w:pPr>
    </w:p>
    <w:p w14:paraId="5F607FF7" w14:textId="77777777" w:rsidR="00D31A9B" w:rsidRPr="00D31A9B" w:rsidRDefault="00D31A9B" w:rsidP="00D31A9B">
      <w:pPr>
        <w:rPr>
          <w:rFonts w:ascii="Arial" w:hAnsi="Arial" w:cs="Arial"/>
        </w:rPr>
      </w:pPr>
    </w:p>
    <w:p w14:paraId="141A0F7C" w14:textId="77777777" w:rsidR="00D31A9B" w:rsidRPr="00D31A9B" w:rsidRDefault="00D31A9B" w:rsidP="00D31A9B">
      <w:pPr>
        <w:pStyle w:val="NoSpacing"/>
        <w:rPr>
          <w:rFonts w:cs="Arial"/>
          <w:szCs w:val="24"/>
        </w:rPr>
      </w:pPr>
      <w:r w:rsidRPr="00D31A9B">
        <w:rPr>
          <w:rFonts w:cs="Arial"/>
          <w:szCs w:val="24"/>
        </w:rPr>
        <w:t>Public trust in the police is decreasing and people are losing their positivity towards the service. In 2020, 63% of people surveyed felt positive towards the police however, that declined to 49% by 2021. Recent news stories involving the police are likely to damage public confidence. The murder of Sarah Everard and stories in the press of police misconduct impact public opinion and police accountability (IOPC, 2022). This essay will first examine why certain groups might be reluctant to engage with police. It will then examine how effective neighbourhood policing strategies are in order to improve community engagement.</w:t>
      </w:r>
    </w:p>
    <w:p w14:paraId="46D0B8FA" w14:textId="77777777" w:rsidR="00D31A9B" w:rsidRPr="00D31A9B" w:rsidRDefault="00D31A9B" w:rsidP="00D31A9B">
      <w:pPr>
        <w:pStyle w:val="NoSpacing"/>
        <w:rPr>
          <w:rFonts w:cs="Arial"/>
          <w:szCs w:val="24"/>
        </w:rPr>
      </w:pPr>
    </w:p>
    <w:p w14:paraId="505519BF" w14:textId="77777777" w:rsidR="00D31A9B" w:rsidRPr="00D31A9B" w:rsidRDefault="00D31A9B" w:rsidP="00D31A9B">
      <w:pPr>
        <w:rPr>
          <w:rFonts w:ascii="Arial" w:hAnsi="Arial" w:cs="Arial"/>
          <w:color w:val="333333"/>
        </w:rPr>
      </w:pPr>
      <w:r w:rsidRPr="00D31A9B">
        <w:rPr>
          <w:rFonts w:ascii="Arial" w:hAnsi="Arial" w:cs="Arial"/>
          <w:color w:val="333333"/>
        </w:rPr>
        <w:t xml:space="preserve">Public perception is integral to policing success and engaging with the community can reassure the public and improve their perceptions of police. Different strategies to gain trust with communities are needed because what will be effective with one group, may not always work with another group. </w:t>
      </w:r>
    </w:p>
    <w:p w14:paraId="6BC9A6CD" w14:textId="77777777" w:rsidR="00D31A9B" w:rsidRPr="00D31A9B" w:rsidRDefault="00D31A9B" w:rsidP="00D31A9B">
      <w:pPr>
        <w:pStyle w:val="NoSpacing"/>
        <w:rPr>
          <w:rFonts w:cs="Arial"/>
          <w:szCs w:val="24"/>
        </w:rPr>
      </w:pPr>
    </w:p>
    <w:p w14:paraId="3210EE53" w14:textId="77777777" w:rsidR="00D31A9B" w:rsidRPr="00D31A9B" w:rsidRDefault="00D31A9B" w:rsidP="00D31A9B">
      <w:pPr>
        <w:pStyle w:val="NoSpacing"/>
        <w:rPr>
          <w:rFonts w:cs="Arial"/>
          <w:szCs w:val="24"/>
        </w:rPr>
      </w:pPr>
      <w:r w:rsidRPr="00D31A9B">
        <w:rPr>
          <w:rFonts w:cs="Arial"/>
          <w:szCs w:val="24"/>
        </w:rPr>
        <w:t>One group reluctant to engage with police is the gypsy, Roma travelling (GRT) community. According to Citizen Advice (2023), the travelling community is a term used to describe people with a nomadic lifestyle, known usually as Gypsies and Travellers. The travelling community includes, Romany Gypsies, Irish Travellers, British Gypsies and Travellers, New Travellers or New Age Travellers, bargees and other people living in boats and fairground and circus families, known as travelling showmen.</w:t>
      </w:r>
    </w:p>
    <w:p w14:paraId="4E93B6B3" w14:textId="77777777" w:rsidR="00D31A9B" w:rsidRPr="00D31A9B" w:rsidRDefault="00D31A9B" w:rsidP="00D31A9B">
      <w:pPr>
        <w:pStyle w:val="NoSpacing"/>
        <w:rPr>
          <w:rFonts w:cs="Arial"/>
          <w:szCs w:val="24"/>
        </w:rPr>
      </w:pPr>
    </w:p>
    <w:p w14:paraId="13D4D4FC" w14:textId="77777777" w:rsidR="00D31A9B" w:rsidRPr="00D31A9B" w:rsidRDefault="00D31A9B" w:rsidP="00D31A9B">
      <w:pPr>
        <w:pStyle w:val="NoSpacing"/>
        <w:rPr>
          <w:rFonts w:cs="Arial"/>
          <w:szCs w:val="24"/>
        </w:rPr>
      </w:pPr>
      <w:r w:rsidRPr="00D31A9B">
        <w:rPr>
          <w:rFonts w:cs="Arial"/>
          <w:szCs w:val="24"/>
        </w:rPr>
        <w:t>Based on their experiences throughout history, GRT communities rarely interact with police due to a perception that they are criminals, with perceived inequalities in treatment as a result. According to research (James, 2014), GRT are classed as vulnerable communities, which has resulted to their inclusion in hate crime policy. There is a stereotype that gypsies and travellers are untrustworthy, and since they are afraid of the police, they are hesitant to report crime and prefer to deal with issues within their own community rather than seek assistance from the police. GRT communities have a lot of traditions that are still visible today, and the adoption of laws such as the Scrap Metal Dealers Act (2013) and the Control of Horses Act (2015) are opposing to these traditions, putting GRT at risk of breaking the law unknowingly. (Office for National Statistics, 2022)</w:t>
      </w:r>
    </w:p>
    <w:p w14:paraId="66FB86DC" w14:textId="77777777" w:rsidR="00D31A9B" w:rsidRPr="00D31A9B" w:rsidRDefault="00D31A9B" w:rsidP="00D31A9B">
      <w:pPr>
        <w:pStyle w:val="NoSpacing"/>
        <w:rPr>
          <w:rFonts w:cs="Arial"/>
          <w:szCs w:val="24"/>
        </w:rPr>
      </w:pPr>
    </w:p>
    <w:p w14:paraId="5A71926B" w14:textId="77777777" w:rsidR="00D31A9B" w:rsidRPr="00D31A9B" w:rsidRDefault="00D31A9B" w:rsidP="00D31A9B">
      <w:pPr>
        <w:pStyle w:val="NoSpacing"/>
        <w:rPr>
          <w:rFonts w:cs="Arial"/>
          <w:szCs w:val="24"/>
        </w:rPr>
      </w:pPr>
      <w:r w:rsidRPr="00D31A9B">
        <w:rPr>
          <w:rFonts w:cs="Arial"/>
          <w:szCs w:val="24"/>
        </w:rPr>
        <w:t xml:space="preserve">In a freedom of information request made by The Traveller Movement (2018), two out of forty-three police forces have a targeted strategy for improving relations with the travelling community. Furthermore, twenty-two forces have no strategy at all. Sussex Police has a targeted strategy of employing traveller Liaison officers who are given specialist training to help them improve their knowledge and comprehension of Gipsy and Traveller concerns, as well as increased awareness about them and their traditions. These officers serve as a point of contact for Gipsy and Traveller communities, fostering relationships that earn trust and confidence and encourage </w:t>
      </w:r>
      <w:r w:rsidRPr="00D31A9B">
        <w:rPr>
          <w:rFonts w:cs="Arial"/>
          <w:szCs w:val="24"/>
        </w:rPr>
        <w:lastRenderedPageBreak/>
        <w:t>crime reporting (Sussex Police, 2023). While some forces are attempting to engage with these groups, Martin (2022) argues that forces in England and Wales do not include Gypsies and Travellers in their ethnic monitoring system, which means they will continue to see policing as a way in which they are a target, rather than see an opportunity to improve their safety, security, and sense of social belonging. Because GRT groups are not always aware of hate crime, collaboration with representative organisations is necessary to guarantee increased knowledge of issues impacting the community in order to create connections and earn trust. (GATE Herts, 2021)</w:t>
      </w:r>
    </w:p>
    <w:p w14:paraId="520AED4F" w14:textId="77777777" w:rsidR="00D31A9B" w:rsidRPr="00D31A9B" w:rsidRDefault="00D31A9B" w:rsidP="00D31A9B">
      <w:pPr>
        <w:pStyle w:val="NoSpacing"/>
        <w:rPr>
          <w:rFonts w:cs="Arial"/>
          <w:szCs w:val="24"/>
        </w:rPr>
      </w:pPr>
    </w:p>
    <w:p w14:paraId="083ED2C2" w14:textId="77777777" w:rsidR="00D31A9B" w:rsidRPr="00D31A9B" w:rsidRDefault="00D31A9B" w:rsidP="00D31A9B">
      <w:pPr>
        <w:pStyle w:val="NoSpacing"/>
        <w:rPr>
          <w:rFonts w:cs="Arial"/>
          <w:color w:val="FF0000"/>
          <w:szCs w:val="24"/>
        </w:rPr>
      </w:pPr>
      <w:r w:rsidRPr="00D31A9B">
        <w:rPr>
          <w:rFonts w:cs="Arial"/>
          <w:color w:val="FF0000"/>
          <w:szCs w:val="24"/>
        </w:rPr>
        <w:t>Similarly, the LGBTQ+ group have historically mistrusted the police. This stems from June 28</w:t>
      </w:r>
      <w:r w:rsidRPr="00D31A9B">
        <w:rPr>
          <w:rFonts w:cs="Arial"/>
          <w:color w:val="FF0000"/>
          <w:szCs w:val="24"/>
          <w:vertAlign w:val="superscript"/>
        </w:rPr>
        <w:t>th</w:t>
      </w:r>
      <w:r w:rsidRPr="00D31A9B">
        <w:rPr>
          <w:rFonts w:cs="Arial"/>
          <w:color w:val="FF0000"/>
          <w:szCs w:val="24"/>
        </w:rPr>
        <w:t>, 1969 when police raided the Stonewall Inn in New York, in the early hours. This raid incited a number of riots and protests that lasted several days. These events were a turning point for the LGBTQ+ movement around the world. Prior to these events, individuals were subject to discrimination and violence, based purely on their sexuality. Stonewall incited activists to demand equality and justice (Lorenzo, 2019). According to research conducted by Galop, only 46% of respondents who reported to the police were satisfied with the response they received and 28% hadn’t reported their most recent incident of hate crime because they disliked or were fearful of the police (Hubbard, 2021).</w:t>
      </w:r>
    </w:p>
    <w:p w14:paraId="6D2814E5" w14:textId="77777777" w:rsidR="00D31A9B" w:rsidRPr="00D31A9B" w:rsidRDefault="00D31A9B" w:rsidP="00D31A9B">
      <w:pPr>
        <w:pStyle w:val="NoSpacing"/>
        <w:rPr>
          <w:rFonts w:cs="Arial"/>
          <w:color w:val="FF0000"/>
          <w:szCs w:val="24"/>
        </w:rPr>
      </w:pPr>
    </w:p>
    <w:p w14:paraId="35B68CC7" w14:textId="77777777" w:rsidR="00D31A9B" w:rsidRPr="00D31A9B" w:rsidRDefault="00D31A9B" w:rsidP="00D31A9B">
      <w:pPr>
        <w:rPr>
          <w:rFonts w:ascii="Arial" w:hAnsi="Arial" w:cs="Arial"/>
        </w:rPr>
      </w:pPr>
      <w:r w:rsidRPr="00D31A9B">
        <w:rPr>
          <w:rFonts w:ascii="Arial" w:hAnsi="Arial" w:cs="Arial"/>
        </w:rPr>
        <w:t xml:space="preserve">It is essential that police officers understand the different needs of the community and public perception is integral to policing success. A misunderstanding with these groups can lead to negative relationships and will affect the trust of a group, leading to a lack of policing by consent. Misunderstandings can be as a result of a number of reasons, including a lack of awareness of cultural differences and stereotyping. </w:t>
      </w:r>
    </w:p>
    <w:p w14:paraId="3743843D" w14:textId="77777777" w:rsidR="00D31A9B" w:rsidRPr="00D31A9B" w:rsidRDefault="00D31A9B" w:rsidP="00D31A9B">
      <w:pPr>
        <w:rPr>
          <w:rFonts w:ascii="Arial" w:hAnsi="Arial" w:cs="Arial"/>
        </w:rPr>
      </w:pPr>
    </w:p>
    <w:p w14:paraId="3434D8C0" w14:textId="77777777" w:rsidR="00D31A9B" w:rsidRPr="00D31A9B" w:rsidRDefault="00D31A9B" w:rsidP="00D31A9B">
      <w:pPr>
        <w:pStyle w:val="NoSpacing"/>
        <w:rPr>
          <w:rFonts w:cs="Arial"/>
          <w:szCs w:val="24"/>
        </w:rPr>
      </w:pPr>
      <w:r w:rsidRPr="00D31A9B">
        <w:rPr>
          <w:rFonts w:cs="Arial"/>
          <w:szCs w:val="24"/>
        </w:rPr>
        <w:t xml:space="preserve">Consequently, community engagement is imperative to gaining the trust of these different communities. It refers to the collaboration with organisations and the community members to address local issues and build relationships. In effect community engagement gives a voice the individuals and allows them to have an input in decisions that affect their lives. The Police Reform Act introduced the role of the police community support officer (PCSO). PCSOs are an important part of the police force. In order to keep communities safe, they deter anti-social behaviour, provide reassurance, gather intelligence, and collaborate with businesses, schools, and partner agencies. At the peak of recruitment in 2010 there were 16,918 PCSO’s however in 2022 that number dropped to 8750 (Statista, 2022). Being in the heart of the community, PCSO’s are the ideal resource to put strategies into place to improve community engagement with all types of community members. Effective strategies are important as the collaboration is a dynamic, ongoing process and requires ongoing effort to be successful. Community engagement takes time and persistence.   </w:t>
      </w:r>
    </w:p>
    <w:p w14:paraId="6A6C0741" w14:textId="77777777" w:rsidR="00D31A9B" w:rsidRPr="00D31A9B" w:rsidRDefault="00D31A9B" w:rsidP="00D31A9B">
      <w:pPr>
        <w:pStyle w:val="NoSpacing"/>
        <w:rPr>
          <w:rFonts w:cs="Arial"/>
          <w:szCs w:val="24"/>
        </w:rPr>
      </w:pPr>
    </w:p>
    <w:p w14:paraId="4D5F29B8" w14:textId="77777777" w:rsidR="00D31A9B" w:rsidRPr="00D31A9B" w:rsidRDefault="00D31A9B" w:rsidP="00D31A9B">
      <w:pPr>
        <w:pStyle w:val="NoSpacing"/>
        <w:rPr>
          <w:rFonts w:cs="Arial"/>
          <w:szCs w:val="24"/>
        </w:rPr>
      </w:pPr>
      <w:r w:rsidRPr="00D31A9B">
        <w:rPr>
          <w:rFonts w:cs="Arial"/>
          <w:szCs w:val="24"/>
        </w:rPr>
        <w:t xml:space="preserve">One effective technique used by community officers is Key Individual Networks (KINs), which are made up of people who care about their community and want to assist make it safer. KINs assist with keeping their community informed of police operations in their area. They also assist police officers in managing expectations and being the best at recognising and responding to the needs of communities (West Yorkshire Police, 2023). This would be an ideal strategy for the GRT community as quite often, these communities have their own structures and leadership positions can emerge in these groups, usually the patriarch or matriarch making decisions for the whole family (Friends, Families and Travellers, 2023). These leaders are </w:t>
      </w:r>
      <w:r w:rsidRPr="00D31A9B">
        <w:rPr>
          <w:rFonts w:cs="Arial"/>
          <w:szCs w:val="24"/>
        </w:rPr>
        <w:lastRenderedPageBreak/>
        <w:t>respected by the community and can be relied upon to represent their community in dealing with external organisations. This leader would make an ideal KIN and an effective strategy to improve relationships</w:t>
      </w:r>
      <w:r w:rsidRPr="00D31A9B">
        <w:rPr>
          <w:rFonts w:cs="Arial"/>
          <w:color w:val="002060"/>
          <w:szCs w:val="24"/>
        </w:rPr>
        <w:t xml:space="preserve">. Similarly, this would be effective with the LGBT+ community as this approach gives a voice to victims and bridges the gap between the community and police. KINs help police manage expectations and assist in understanding and responding to the community (Watkins, 2022). </w:t>
      </w:r>
    </w:p>
    <w:p w14:paraId="56D06144" w14:textId="77777777" w:rsidR="00D31A9B" w:rsidRPr="00D31A9B" w:rsidRDefault="00D31A9B" w:rsidP="00D31A9B">
      <w:pPr>
        <w:pStyle w:val="NoSpacing"/>
        <w:rPr>
          <w:rFonts w:cs="Arial"/>
          <w:szCs w:val="24"/>
        </w:rPr>
      </w:pPr>
    </w:p>
    <w:p w14:paraId="13305D59" w14:textId="77777777" w:rsidR="00D31A9B" w:rsidRPr="00D31A9B" w:rsidRDefault="00D31A9B" w:rsidP="00D31A9B">
      <w:pPr>
        <w:rPr>
          <w:rFonts w:ascii="Arial" w:hAnsi="Arial" w:cs="Arial"/>
        </w:rPr>
      </w:pPr>
      <w:r w:rsidRPr="00D31A9B">
        <w:rPr>
          <w:rFonts w:ascii="Arial" w:hAnsi="Arial" w:cs="Arial"/>
        </w:rPr>
        <w:t>James (2007) argues that GRT groups are still determined to live a partly nomadic lifestyle, moving around and avoiding detection by police agencies, therefore unless GRT communities settle down and police know their whereabouts, it is likely that the communities will experience enforcement instead of engagement. James also argues that neighbourhood policing policies can be effective with GRT living on authorised sites however this policing approach does not engage with mobile GRT and usually ends with police moving the families on, causing unrest and distrust.</w:t>
      </w:r>
    </w:p>
    <w:p w14:paraId="4179EB89" w14:textId="77777777" w:rsidR="00D31A9B" w:rsidRPr="00D31A9B" w:rsidRDefault="00D31A9B" w:rsidP="00D31A9B">
      <w:pPr>
        <w:rPr>
          <w:rFonts w:ascii="Arial" w:hAnsi="Arial" w:cs="Arial"/>
        </w:rPr>
      </w:pPr>
    </w:p>
    <w:p w14:paraId="7D4DB631" w14:textId="77777777" w:rsidR="00D31A9B" w:rsidRPr="00D31A9B" w:rsidRDefault="00D31A9B" w:rsidP="00D31A9B">
      <w:pPr>
        <w:pStyle w:val="NoSpacing"/>
        <w:rPr>
          <w:rFonts w:cs="Arial"/>
          <w:szCs w:val="24"/>
        </w:rPr>
      </w:pPr>
      <w:r w:rsidRPr="00D31A9B">
        <w:rPr>
          <w:rFonts w:cs="Arial"/>
          <w:szCs w:val="24"/>
        </w:rPr>
        <w:t>In addition to community policing there are problem solving models that are used with community engagement. Problem orientated policing (POP), evidence based policing and intelligence led policing. These models are used with neighbourhoods and communities to tackle crime and disorder. Firstly, POP involves identification of a problem through analysis and development of a personalised response and can be assessed to measure the effectiveness of the response. POP addresses the underlaying problem rather than individual incidents. This would be an effective strategy for the LBGQ+ community as this strategy relies on analysis and data to understand the problem and assessing the effectiveness of the police response. POP is a technique to developing focused interventions and deal with the underlaying problem. This approach allows the community to be part of the strategy by holding regular meetings and tackling the problem in partnership. This is likely to be less effective with the touring travelling community as this approach takes time and the travellers move on.</w:t>
      </w:r>
    </w:p>
    <w:p w14:paraId="29536452" w14:textId="77777777" w:rsidR="00D31A9B" w:rsidRPr="00D31A9B" w:rsidRDefault="00D31A9B" w:rsidP="00D31A9B">
      <w:pPr>
        <w:pStyle w:val="NoSpacing"/>
        <w:rPr>
          <w:rFonts w:cs="Arial"/>
          <w:szCs w:val="24"/>
        </w:rPr>
      </w:pPr>
    </w:p>
    <w:p w14:paraId="7F3C74A1" w14:textId="77777777" w:rsidR="00D31A9B" w:rsidRPr="00D31A9B" w:rsidRDefault="00D31A9B" w:rsidP="00D31A9B">
      <w:pPr>
        <w:pStyle w:val="NoSpacing"/>
        <w:rPr>
          <w:rFonts w:cs="Arial"/>
          <w:szCs w:val="24"/>
        </w:rPr>
      </w:pPr>
      <w:r w:rsidRPr="00D31A9B">
        <w:rPr>
          <w:rFonts w:cs="Arial"/>
          <w:szCs w:val="24"/>
        </w:rPr>
        <w:t>In contrast, intelligence-led policing relies on information and technology. James and Richardson (2006) noted that proactive, intelligence-led policing resolves problems most effectively however, police tend to engage through enforcement rather than partnership and communication. This leads to mistrust of the police as gypsy travellers only see them on eviction day. Because local policing focuses on specific geographical areas, Gipsies and Travellers who migrate through and beyond those areas are sometimes disregarded or overlooked by authorities. Participants in local forums and discussion groups with police and other agencies are more likely to live on established sites. The distrust of police means GRT communities are unlikely to engage and provide intelligence.</w:t>
      </w:r>
    </w:p>
    <w:p w14:paraId="4D533255" w14:textId="77777777" w:rsidR="00D31A9B" w:rsidRPr="00D31A9B" w:rsidRDefault="00D31A9B" w:rsidP="00D31A9B">
      <w:pPr>
        <w:pStyle w:val="NoSpacing"/>
        <w:rPr>
          <w:rFonts w:cs="Arial"/>
          <w:szCs w:val="24"/>
        </w:rPr>
      </w:pPr>
    </w:p>
    <w:p w14:paraId="0BBECBD0" w14:textId="77777777" w:rsidR="00D31A9B" w:rsidRPr="00D31A9B" w:rsidRDefault="00D31A9B" w:rsidP="00D31A9B">
      <w:pPr>
        <w:pStyle w:val="NoSpacing"/>
        <w:rPr>
          <w:rFonts w:cs="Arial"/>
          <w:szCs w:val="24"/>
        </w:rPr>
      </w:pPr>
      <w:r w:rsidRPr="00D31A9B">
        <w:rPr>
          <w:rFonts w:cs="Arial"/>
          <w:szCs w:val="24"/>
        </w:rPr>
        <w:t xml:space="preserve">Pride is a celebration of people coming together amplifies diversity and protests against inequality. Pride increases awareness of LGBT+ concerns and campaign for the freedoms that will allow everyone to live their lives on an equal footing (Pride in London, n.d.). This is a prime example of community engagement and reflective of diverse communities. The police service has LGBT+ networks and promotes inclusiveness and equality of opportunity for all LGBT+ colleagues through representative workforce (The National LGBT+ Police Network, n.d.). The police service is supportive of pride and officers are encouraged to get involved. Police not only to participate in the march, but also provide a visible presence for support and </w:t>
      </w:r>
      <w:r w:rsidRPr="00D31A9B">
        <w:rPr>
          <w:rFonts w:cs="Arial"/>
          <w:szCs w:val="24"/>
        </w:rPr>
        <w:lastRenderedPageBreak/>
        <w:t>reassurance. The chief Constable for Merseyside police, Kennedy (2022) stated</w:t>
      </w:r>
      <w:r w:rsidRPr="00D31A9B">
        <w:rPr>
          <w:rFonts w:cs="Arial"/>
          <w:i/>
          <w:iCs/>
          <w:szCs w:val="24"/>
        </w:rPr>
        <w:t xml:space="preserve"> “</w:t>
      </w:r>
      <w:r w:rsidRPr="00D31A9B">
        <w:rPr>
          <w:rFonts w:cs="Arial"/>
          <w:i/>
          <w:iCs/>
          <w:color w:val="1F2025"/>
          <w:szCs w:val="24"/>
          <w:shd w:val="clear" w:color="auto" w:fill="FFFFFF"/>
        </w:rPr>
        <w:t>I hope marching in the parade at Pride in Liverpool sends a clear message of support to the people of Merseyside who are LGBT+, as well as to my LGBT+ officers and staff.”</w:t>
      </w:r>
      <w:r w:rsidRPr="00D31A9B">
        <w:rPr>
          <w:rFonts w:cs="Arial"/>
          <w:color w:val="1F2025"/>
          <w:szCs w:val="24"/>
          <w:shd w:val="clear" w:color="auto" w:fill="FFFFFF"/>
        </w:rPr>
        <w:t>  In addition to this community engagement, LGBT+ travellers are also having official representation at these events so this is an even better opportunity for police to engage with groups (LGBT Traveller Pride, 2019). Nevertheless, in light of the history of LGBTQ criminalization, disproportionate rates of victimisation, and the LGBTQ fight against police brutality, there are now calls for "no cops at pride" (</w:t>
      </w:r>
      <w:proofErr w:type="spellStart"/>
      <w:r w:rsidRPr="00D31A9B">
        <w:rPr>
          <w:rFonts w:cs="Arial"/>
          <w:color w:val="1F2025"/>
          <w:szCs w:val="24"/>
          <w:shd w:val="clear" w:color="auto" w:fill="FFFFFF"/>
        </w:rPr>
        <w:t>Langness</w:t>
      </w:r>
      <w:proofErr w:type="spellEnd"/>
      <w:r w:rsidRPr="00D31A9B">
        <w:rPr>
          <w:rFonts w:cs="Arial"/>
          <w:color w:val="1F2025"/>
          <w:szCs w:val="24"/>
          <w:shd w:val="clear" w:color="auto" w:fill="FFFFFF"/>
        </w:rPr>
        <w:t xml:space="preserve"> and Velasco, 2020)</w:t>
      </w:r>
    </w:p>
    <w:p w14:paraId="319D9160" w14:textId="77777777" w:rsidR="00D31A9B" w:rsidRPr="00D31A9B" w:rsidRDefault="00D31A9B" w:rsidP="00D31A9B">
      <w:pPr>
        <w:pStyle w:val="NoSpacing"/>
        <w:rPr>
          <w:rFonts w:cs="Arial"/>
          <w:szCs w:val="24"/>
        </w:rPr>
      </w:pPr>
    </w:p>
    <w:p w14:paraId="04DEED2A" w14:textId="77777777" w:rsidR="00D31A9B" w:rsidRPr="00D31A9B" w:rsidRDefault="00D31A9B" w:rsidP="00D31A9B">
      <w:pPr>
        <w:pStyle w:val="NoSpacing"/>
        <w:rPr>
          <w:rFonts w:cs="Arial"/>
          <w:szCs w:val="24"/>
        </w:rPr>
      </w:pPr>
      <w:r w:rsidRPr="00D31A9B">
        <w:rPr>
          <w:rFonts w:cs="Arial"/>
          <w:szCs w:val="24"/>
          <w:shd w:val="clear" w:color="auto" w:fill="FFFFFF"/>
        </w:rPr>
        <w:t xml:space="preserve">A Community Impact Assessment (CIA) is a procedure that ensures that a policy, initiative, or service does not discriminate against any disadvantaged or vulnerable individuals or the environment, and instead promotes equality. CIA should be used when there is an impact on a community, and damages public confidence. CIAs </w:t>
      </w:r>
      <w:r w:rsidRPr="00D31A9B">
        <w:rPr>
          <w:rFonts w:cs="Arial"/>
          <w:szCs w:val="24"/>
        </w:rPr>
        <w:t>measures tension and allows long-term plans to rebuild community confidence and learn lessons for the future. This strategy would be effective in mobile travelling communities because individuals are involved in key decisions and can be produced for both the sedentary community and the mobile community could be involved. CIA’s can assist in minimising potential impacts and enhancing positivity (College of Policing, 2013).</w:t>
      </w:r>
    </w:p>
    <w:p w14:paraId="773D1D33" w14:textId="77777777" w:rsidR="00D31A9B" w:rsidRPr="00D31A9B" w:rsidRDefault="00D31A9B" w:rsidP="00D31A9B">
      <w:pPr>
        <w:rPr>
          <w:rFonts w:ascii="Arial" w:hAnsi="Arial" w:cs="Arial"/>
          <w:color w:val="333333"/>
        </w:rPr>
      </w:pPr>
    </w:p>
    <w:p w14:paraId="7E962F86" w14:textId="77777777" w:rsidR="00D31A9B" w:rsidRPr="00D31A9B" w:rsidRDefault="00D31A9B" w:rsidP="00D31A9B">
      <w:pPr>
        <w:pStyle w:val="NoSpacing"/>
        <w:rPr>
          <w:rFonts w:cs="Arial"/>
          <w:color w:val="333333"/>
          <w:szCs w:val="24"/>
        </w:rPr>
      </w:pPr>
      <w:r w:rsidRPr="00D31A9B">
        <w:rPr>
          <w:rFonts w:cs="Arial"/>
          <w:color w:val="333333"/>
          <w:szCs w:val="24"/>
        </w:rPr>
        <w:t xml:space="preserve">Police presence has a hight impact on communities. Visibility of uniformed officers and PCSO’s on foot patrol gives reassurance and is an effective engagement tool. According to BMG Research (2018), the majority of individuals </w:t>
      </w:r>
      <w:r w:rsidRPr="00D31A9B">
        <w:rPr>
          <w:rFonts w:cs="Arial"/>
          <w:szCs w:val="24"/>
        </w:rPr>
        <w:t xml:space="preserve">feel a visible police presence will act as a deterrent to committing crime, 78% say a regular police presence is important however, when asked about police presence as a priority against a range of other police activities, such as responding to emergencies, it becomes relatively less important and drops to 3%. </w:t>
      </w:r>
      <w:r w:rsidRPr="00D31A9B">
        <w:rPr>
          <w:rFonts w:cs="Arial"/>
          <w:color w:val="333333"/>
          <w:szCs w:val="24"/>
        </w:rPr>
        <w:t>Likewise, communication to communities in paramount to engagement so communities can see the work being undertaken by police.</w:t>
      </w:r>
    </w:p>
    <w:p w14:paraId="62AA2D93" w14:textId="77777777" w:rsidR="00D31A9B" w:rsidRPr="00D31A9B" w:rsidRDefault="00D31A9B" w:rsidP="00D31A9B">
      <w:pPr>
        <w:pStyle w:val="NoSpacing"/>
        <w:rPr>
          <w:rFonts w:cs="Arial"/>
          <w:color w:val="333333"/>
          <w:szCs w:val="24"/>
        </w:rPr>
      </w:pPr>
    </w:p>
    <w:p w14:paraId="35A35105" w14:textId="77777777" w:rsidR="00D31A9B" w:rsidRPr="00D31A9B" w:rsidRDefault="00D31A9B" w:rsidP="00D31A9B">
      <w:pPr>
        <w:pStyle w:val="NoSpacing"/>
        <w:rPr>
          <w:rFonts w:cs="Arial"/>
          <w:color w:val="333333"/>
          <w:szCs w:val="24"/>
        </w:rPr>
      </w:pPr>
      <w:r w:rsidRPr="00D31A9B">
        <w:rPr>
          <w:rFonts w:cs="Arial"/>
          <w:color w:val="333333"/>
          <w:szCs w:val="24"/>
        </w:rPr>
        <w:t xml:space="preserve">Equally important is partnership working. Working with partner agencies will almost always result in a more effective pattern of consultation and involvement. (Adamson et al., 2018) </w:t>
      </w:r>
    </w:p>
    <w:p w14:paraId="556806E1" w14:textId="77777777" w:rsidR="00D31A9B" w:rsidRPr="00D31A9B" w:rsidRDefault="00D31A9B" w:rsidP="00D31A9B">
      <w:pPr>
        <w:rPr>
          <w:rFonts w:ascii="Arial" w:hAnsi="Arial" w:cs="Arial"/>
          <w:color w:val="333333"/>
        </w:rPr>
      </w:pPr>
    </w:p>
    <w:p w14:paraId="12DCCC51" w14:textId="77777777" w:rsidR="00D31A9B" w:rsidRPr="00D31A9B" w:rsidRDefault="00D31A9B" w:rsidP="00D31A9B">
      <w:pPr>
        <w:rPr>
          <w:rFonts w:ascii="Arial" w:hAnsi="Arial" w:cs="Arial"/>
          <w:color w:val="333333"/>
        </w:rPr>
      </w:pPr>
      <w:r w:rsidRPr="00D31A9B">
        <w:rPr>
          <w:rFonts w:ascii="Arial" w:hAnsi="Arial" w:cs="Arial"/>
          <w:color w:val="FF0000"/>
        </w:rPr>
        <w:t>CONCLUSION</w:t>
      </w:r>
      <w:r w:rsidRPr="00D31A9B">
        <w:rPr>
          <w:rFonts w:ascii="Arial" w:hAnsi="Arial" w:cs="Arial"/>
          <w:color w:val="333333"/>
        </w:rPr>
        <w:t xml:space="preserve"> The police must develop its own strategies, according to their needs, for successful and efficient policing in a diverse community as a result of multiculturalism. In this situation, it is important to consider and provide for the needs of the diverse community's ethnic, racial, religious, and other vulnerable social groups. Ultimately, strategies need to be tailor made as what works for one group may not work for another</w:t>
      </w:r>
      <w:r w:rsidRPr="00D31A9B">
        <w:rPr>
          <w:rFonts w:ascii="Arial" w:hAnsi="Arial" w:cs="Arial"/>
        </w:rPr>
        <w:t xml:space="preserve"> </w:t>
      </w:r>
      <w:r w:rsidRPr="00D31A9B">
        <w:rPr>
          <w:rFonts w:ascii="Arial" w:hAnsi="Arial" w:cs="Arial"/>
          <w:color w:val="333333"/>
        </w:rPr>
        <w:t>(</w:t>
      </w:r>
      <w:proofErr w:type="spellStart"/>
      <w:r w:rsidRPr="00D31A9B">
        <w:rPr>
          <w:rFonts w:ascii="Arial" w:hAnsi="Arial" w:cs="Arial"/>
          <w:color w:val="333333"/>
        </w:rPr>
        <w:t>Stergioulis</w:t>
      </w:r>
      <w:proofErr w:type="spellEnd"/>
      <w:r w:rsidRPr="00D31A9B">
        <w:rPr>
          <w:rFonts w:ascii="Arial" w:hAnsi="Arial" w:cs="Arial"/>
          <w:color w:val="333333"/>
        </w:rPr>
        <w:t>, 2017).</w:t>
      </w:r>
    </w:p>
    <w:p w14:paraId="3B970C74" w14:textId="77777777" w:rsidR="00D31A9B" w:rsidRPr="00D31A9B" w:rsidRDefault="00D31A9B" w:rsidP="00D31A9B">
      <w:pPr>
        <w:rPr>
          <w:rFonts w:ascii="Arial" w:hAnsi="Arial" w:cs="Arial"/>
          <w:color w:val="333333"/>
        </w:rPr>
      </w:pPr>
    </w:p>
    <w:p w14:paraId="2CC58D7E" w14:textId="77777777" w:rsidR="00D31A9B" w:rsidRPr="00D31A9B" w:rsidRDefault="00D31A9B" w:rsidP="00D31A9B">
      <w:pPr>
        <w:rPr>
          <w:rFonts w:ascii="Arial" w:hAnsi="Arial" w:cs="Arial"/>
          <w:color w:val="333333"/>
        </w:rPr>
      </w:pPr>
    </w:p>
    <w:p w14:paraId="31D1DBF6" w14:textId="77777777" w:rsidR="00D31A9B" w:rsidRPr="00D31A9B" w:rsidRDefault="00D31A9B" w:rsidP="00D31A9B">
      <w:pPr>
        <w:rPr>
          <w:rFonts w:ascii="Arial" w:hAnsi="Arial" w:cs="Arial"/>
        </w:rPr>
      </w:pPr>
    </w:p>
    <w:p w14:paraId="0FD00DA2" w14:textId="595D29AC" w:rsidR="00D31A9B" w:rsidRPr="00D31A9B" w:rsidRDefault="00D31A9B" w:rsidP="00305DCC">
      <w:pPr>
        <w:spacing w:after="160" w:line="259" w:lineRule="auto"/>
        <w:rPr>
          <w:rFonts w:ascii="Arial" w:hAnsi="Arial" w:cs="Arial"/>
          <w:u w:val="single"/>
        </w:rPr>
      </w:pPr>
      <w:r w:rsidRPr="00D31A9B">
        <w:rPr>
          <w:rFonts w:ascii="Arial" w:hAnsi="Arial" w:cs="Arial"/>
        </w:rPr>
        <w:br w:type="page"/>
      </w:r>
      <w:r w:rsidRPr="00D31A9B">
        <w:rPr>
          <w:rFonts w:ascii="Arial" w:hAnsi="Arial" w:cs="Arial"/>
          <w:u w:val="single"/>
        </w:rPr>
        <w:lastRenderedPageBreak/>
        <w:t>Critically analyse</w:t>
      </w:r>
      <w:r w:rsidRPr="00D31A9B">
        <w:rPr>
          <w:rFonts w:ascii="Arial" w:hAnsi="Arial" w:cs="Arial"/>
        </w:rPr>
        <w:t xml:space="preserve"> the role of police within joint emergency services operations, and </w:t>
      </w:r>
      <w:r w:rsidRPr="00D31A9B">
        <w:rPr>
          <w:rFonts w:ascii="Arial" w:hAnsi="Arial" w:cs="Arial"/>
          <w:u w:val="single"/>
        </w:rPr>
        <w:t>examine</w:t>
      </w:r>
      <w:r w:rsidRPr="00D31A9B">
        <w:rPr>
          <w:rFonts w:ascii="Arial" w:hAnsi="Arial" w:cs="Arial"/>
        </w:rPr>
        <w:t xml:space="preserve"> the potential impact of such incidents on officers’ mental wellbeing. Your answer must be based on academic research rather than personal experience, but you may refer to examples of high-profile critical and major incidents.</w:t>
      </w:r>
    </w:p>
    <w:p w14:paraId="3BA7C9BB" w14:textId="77777777" w:rsidR="00D31A9B" w:rsidRPr="00D31A9B" w:rsidRDefault="00D31A9B" w:rsidP="00D31A9B">
      <w:pPr>
        <w:rPr>
          <w:rFonts w:ascii="Arial" w:hAnsi="Arial" w:cs="Arial"/>
        </w:rPr>
      </w:pPr>
    </w:p>
    <w:p w14:paraId="2EF2E885" w14:textId="77777777" w:rsidR="00D31A9B" w:rsidRPr="00D31A9B" w:rsidRDefault="00D31A9B" w:rsidP="00D31A9B">
      <w:pPr>
        <w:rPr>
          <w:rFonts w:ascii="Arial" w:hAnsi="Arial" w:cs="Arial"/>
        </w:rPr>
      </w:pPr>
      <w:r w:rsidRPr="00D31A9B">
        <w:rPr>
          <w:rFonts w:ascii="Arial" w:hAnsi="Arial" w:cs="Arial"/>
        </w:rPr>
        <w:t>A major incident is an event that will have a serious consequence and requires multiple emergency services to respond for example a train crash or a terrorist attack. There have been several notable major incidents reported on, in the press and the emergency services come under scrutiny on how they work together. How each emergency service responds is crucial to the incident and will have an effect on the end result.</w:t>
      </w:r>
    </w:p>
    <w:p w14:paraId="37CF0B23" w14:textId="77777777" w:rsidR="00D31A9B" w:rsidRPr="00D31A9B" w:rsidRDefault="00D31A9B" w:rsidP="00D31A9B">
      <w:pPr>
        <w:rPr>
          <w:rFonts w:ascii="Arial" w:hAnsi="Arial" w:cs="Arial"/>
        </w:rPr>
      </w:pPr>
      <w:r w:rsidRPr="00D31A9B">
        <w:rPr>
          <w:rFonts w:ascii="Arial" w:hAnsi="Arial" w:cs="Arial"/>
        </w:rPr>
        <w:t xml:space="preserve">The primary objective of all emergency services is to save lives both in their everyday role and even more so in a major incident. The response to a major incident starts long before the actual incident itself, in the planning stages. According to </w:t>
      </w:r>
      <w:r w:rsidRPr="00D31A9B">
        <w:rPr>
          <w:rFonts w:ascii="Arial" w:hAnsi="Arial" w:cs="Arial"/>
          <w:color w:val="222222"/>
          <w:shd w:val="clear" w:color="auto" w:fill="FFFFFF"/>
        </w:rPr>
        <w:t xml:space="preserve">Stephenson (2015) the </w:t>
      </w:r>
      <w:proofErr w:type="spellStart"/>
      <w:r w:rsidRPr="00D31A9B">
        <w:rPr>
          <w:rFonts w:ascii="Arial" w:hAnsi="Arial" w:cs="Arial"/>
        </w:rPr>
        <w:t>the</w:t>
      </w:r>
      <w:proofErr w:type="spellEnd"/>
      <w:r w:rsidRPr="00D31A9B">
        <w:rPr>
          <w:rFonts w:ascii="Arial" w:hAnsi="Arial" w:cs="Arial"/>
        </w:rPr>
        <w:t xml:space="preserve"> police, fire and ambulance services have developed separately as three different organisations and have different agendas and priorities which means they no longer understand each other.</w:t>
      </w:r>
    </w:p>
    <w:p w14:paraId="1CEB08DF" w14:textId="77777777" w:rsidR="00D31A9B" w:rsidRPr="00D31A9B" w:rsidRDefault="00D31A9B" w:rsidP="00D31A9B">
      <w:pPr>
        <w:rPr>
          <w:rFonts w:ascii="Arial" w:hAnsi="Arial" w:cs="Arial"/>
        </w:rPr>
      </w:pPr>
      <w:r w:rsidRPr="00D31A9B">
        <w:rPr>
          <w:rFonts w:ascii="Arial" w:hAnsi="Arial" w:cs="Arial"/>
        </w:rPr>
        <w:t xml:space="preserve">Interoperability refers to the way in which emergency responders work together during a multi-agency response. In 2012 the joint emergency services interoperability principles (JESIP) were created in an attempt to combat the challenges faced by emergency responders and ensure police, fire and ambulance work together on major or complex incidents.  JESIP is designed to give structure and ensures constant review of practices whilst giving a clear understanding on how to work together.  One such review is the Pollock report (2013) which evaluated interoperability incidents that had occurred since 1986. The study covers the common failure causes, discovered by those instances. It also indicated opportunities for strategic improvement. Among these options were clear guidelines; communications; situational awareness; and training and exercises. Further to this, The JESIP Ministerial Board requested an emergency services evaluation of JESIP in January 2015. HMIC (2016) looked at how well the three services have incorporated the concepts of collaborative working into their planning for major incident response. Again, the recommendations were centred around training and joint exercises. Brennan, Sage et al. (1994) conducted a survey on medical staff awareness of a major incident and concluded extensive training was required. Some of the recommendations included full scale exercises involving the emergency services and attendance at relevant training courses. This was concurred by </w:t>
      </w:r>
      <w:proofErr w:type="spellStart"/>
      <w:r w:rsidRPr="00D31A9B">
        <w:rPr>
          <w:rFonts w:ascii="Arial" w:hAnsi="Arial" w:cs="Arial"/>
        </w:rPr>
        <w:t>Skryabina</w:t>
      </w:r>
      <w:proofErr w:type="spellEnd"/>
      <w:r w:rsidRPr="00D31A9B">
        <w:rPr>
          <w:rFonts w:ascii="Arial" w:hAnsi="Arial" w:cs="Arial"/>
        </w:rPr>
        <w:t xml:space="preserve"> et al. (2020) whereby after participating in preparation exercises, respondents to an online poll felt more prepared to respond to a major incident.</w:t>
      </w:r>
    </w:p>
    <w:p w14:paraId="7FC00D9A" w14:textId="77777777" w:rsidR="00D31A9B" w:rsidRPr="00D31A9B" w:rsidRDefault="00D31A9B" w:rsidP="00D31A9B">
      <w:pPr>
        <w:pStyle w:val="NoSpacing"/>
        <w:rPr>
          <w:rFonts w:cs="Arial"/>
          <w:szCs w:val="24"/>
          <w:shd w:val="clear" w:color="auto" w:fill="FFFFFF"/>
        </w:rPr>
      </w:pPr>
      <w:r w:rsidRPr="00D31A9B">
        <w:rPr>
          <w:rFonts w:cs="Arial"/>
          <w:szCs w:val="24"/>
        </w:rPr>
        <w:t xml:space="preserve">According to </w:t>
      </w:r>
      <w:r w:rsidRPr="00D31A9B">
        <w:rPr>
          <w:rFonts w:cs="Arial"/>
          <w:color w:val="000000"/>
          <w:szCs w:val="24"/>
          <w:shd w:val="clear" w:color="auto" w:fill="FFFFFF"/>
        </w:rPr>
        <w:t xml:space="preserve">(Allen, </w:t>
      </w:r>
      <w:proofErr w:type="spellStart"/>
      <w:r w:rsidRPr="00D31A9B">
        <w:rPr>
          <w:rFonts w:cs="Arial"/>
          <w:color w:val="000000"/>
          <w:szCs w:val="24"/>
          <w:shd w:val="clear" w:color="auto" w:fill="FFFFFF"/>
        </w:rPr>
        <w:t>Karanasios</w:t>
      </w:r>
      <w:proofErr w:type="spellEnd"/>
      <w:r w:rsidRPr="00D31A9B">
        <w:rPr>
          <w:rFonts w:cs="Arial"/>
          <w:color w:val="000000"/>
          <w:szCs w:val="24"/>
          <w:shd w:val="clear" w:color="auto" w:fill="FFFFFF"/>
        </w:rPr>
        <w:t xml:space="preserve"> et al. 2014)</w:t>
      </w:r>
      <w:r w:rsidRPr="00D31A9B">
        <w:rPr>
          <w:rFonts w:cs="Arial"/>
          <w:szCs w:val="24"/>
        </w:rPr>
        <w:t xml:space="preserve"> emergency services often function in isolation. As a result, the shared object looks to be broken up. Services carried out specific procedures or activities, often without the assistance or cooperation of other services. This emphasises the strategic relevance of interoperability while challenging the emphasis on it at the operational or tactical levels. The Manchester Arena bombing is one example of this. According to Power (2022), the fire service wanted to ensure that safety standards were in place before conducting high-risk action, while the police service wanted to eliminate the threat and the paramedics sought to treat casualties. It was difficult to achieve all these objectives at the same time and ineffective communication between emergency services had a fatal outcome. However, </w:t>
      </w:r>
      <w:proofErr w:type="spellStart"/>
      <w:r w:rsidRPr="00D31A9B">
        <w:rPr>
          <w:rFonts w:cs="Arial"/>
          <w:szCs w:val="24"/>
        </w:rPr>
        <w:t>Wigget</w:t>
      </w:r>
      <w:proofErr w:type="spellEnd"/>
      <w:r w:rsidRPr="00D31A9B">
        <w:rPr>
          <w:rFonts w:cs="Arial"/>
          <w:szCs w:val="24"/>
        </w:rPr>
        <w:t xml:space="preserve"> (2018) argues “</w:t>
      </w:r>
      <w:r w:rsidRPr="00D31A9B">
        <w:rPr>
          <w:rFonts w:cs="Arial"/>
          <w:szCs w:val="24"/>
          <w:shd w:val="clear" w:color="auto" w:fill="FFFFFF"/>
        </w:rPr>
        <w:t xml:space="preserve">The major emergency plans worked well </w:t>
      </w:r>
      <w:r w:rsidRPr="00D31A9B">
        <w:rPr>
          <w:rFonts w:cs="Arial"/>
          <w:szCs w:val="24"/>
          <w:shd w:val="clear" w:color="auto" w:fill="FFFFFF"/>
        </w:rPr>
        <w:lastRenderedPageBreak/>
        <w:t>overall, and the strong team ethos provided the base to work through the pressures of the following weeks and months.”</w:t>
      </w:r>
    </w:p>
    <w:p w14:paraId="05D6CECD" w14:textId="77777777" w:rsidR="00D31A9B" w:rsidRPr="00D31A9B" w:rsidRDefault="00D31A9B" w:rsidP="00D31A9B">
      <w:pPr>
        <w:pStyle w:val="NoSpacing"/>
        <w:rPr>
          <w:rFonts w:cs="Arial"/>
          <w:szCs w:val="24"/>
        </w:rPr>
      </w:pPr>
    </w:p>
    <w:p w14:paraId="1CC839B5" w14:textId="77777777" w:rsidR="00D31A9B" w:rsidRPr="00D31A9B" w:rsidRDefault="00D31A9B" w:rsidP="00D31A9B">
      <w:pPr>
        <w:pStyle w:val="NoSpacing"/>
        <w:rPr>
          <w:rFonts w:cs="Arial"/>
          <w:szCs w:val="24"/>
        </w:rPr>
      </w:pPr>
      <w:r w:rsidRPr="00D31A9B">
        <w:rPr>
          <w:rFonts w:cs="Arial"/>
          <w:szCs w:val="24"/>
        </w:rPr>
        <w:t xml:space="preserve">Whether crime is involved or not, police will be the primary responder to a major incident, irrespective of rank. Officers must respond professionally to maintain trust with the public and whilst all emergency services will be aiming to protect and save lives, the police service will be the only organisation thinking about the crime aspect. The effectiveness of the police response can have an impact on confidence. It is the responsibility of the initial responder to act as the incident officer or scene commander until a command structure is implemented and they are relieved. Following the </w:t>
      </w:r>
      <w:proofErr w:type="spellStart"/>
      <w:r w:rsidRPr="00D31A9B">
        <w:rPr>
          <w:rFonts w:cs="Arial"/>
          <w:szCs w:val="24"/>
        </w:rPr>
        <w:t>Polock</w:t>
      </w:r>
      <w:proofErr w:type="spellEnd"/>
      <w:r w:rsidRPr="00D31A9B">
        <w:rPr>
          <w:rFonts w:cs="Arial"/>
          <w:szCs w:val="24"/>
        </w:rPr>
        <w:t xml:space="preserve"> report in 2013, JESIP developed the M/ETHANE report which lists in chronical order what information is needed by emergency services to assist at a Major Incident. The mnemonic stands for:</w:t>
      </w:r>
    </w:p>
    <w:p w14:paraId="485AA72D" w14:textId="77777777" w:rsidR="00D31A9B" w:rsidRPr="00D31A9B" w:rsidRDefault="00D31A9B" w:rsidP="00D31A9B">
      <w:pPr>
        <w:pStyle w:val="NoSpacing"/>
        <w:rPr>
          <w:rFonts w:cs="Arial"/>
          <w:szCs w:val="24"/>
        </w:rPr>
      </w:pPr>
    </w:p>
    <w:p w14:paraId="58CC3BB1" w14:textId="77777777" w:rsidR="00D31A9B" w:rsidRPr="00D31A9B" w:rsidRDefault="00D31A9B" w:rsidP="00D31A9B">
      <w:pPr>
        <w:pStyle w:val="NoSpacing"/>
        <w:rPr>
          <w:rFonts w:cs="Arial"/>
          <w:szCs w:val="24"/>
        </w:rPr>
      </w:pPr>
      <w:r w:rsidRPr="00D31A9B">
        <w:rPr>
          <w:rFonts w:cs="Arial"/>
          <w:b/>
          <w:bCs/>
          <w:szCs w:val="24"/>
        </w:rPr>
        <w:t>Exact</w:t>
      </w:r>
      <w:r w:rsidRPr="00D31A9B">
        <w:rPr>
          <w:rFonts w:cs="Arial"/>
          <w:szCs w:val="24"/>
        </w:rPr>
        <w:t xml:space="preserve"> location: The precise location of the incident.</w:t>
      </w:r>
    </w:p>
    <w:p w14:paraId="2E1AE70B" w14:textId="77777777" w:rsidR="00D31A9B" w:rsidRPr="00D31A9B" w:rsidRDefault="00D31A9B" w:rsidP="00D31A9B">
      <w:pPr>
        <w:pStyle w:val="NoSpacing"/>
        <w:rPr>
          <w:rFonts w:cs="Arial"/>
          <w:szCs w:val="24"/>
        </w:rPr>
      </w:pPr>
      <w:r w:rsidRPr="00D31A9B">
        <w:rPr>
          <w:rFonts w:cs="Arial"/>
          <w:b/>
          <w:bCs/>
          <w:szCs w:val="24"/>
        </w:rPr>
        <w:t>Type</w:t>
      </w:r>
      <w:r w:rsidRPr="00D31A9B">
        <w:rPr>
          <w:rFonts w:cs="Arial"/>
          <w:szCs w:val="24"/>
        </w:rPr>
        <w:t>: The nature of the incident, including how many vehicles, buildings and so on are involved.</w:t>
      </w:r>
    </w:p>
    <w:p w14:paraId="591E607E" w14:textId="77777777" w:rsidR="00D31A9B" w:rsidRPr="00D31A9B" w:rsidRDefault="00D31A9B" w:rsidP="00D31A9B">
      <w:pPr>
        <w:pStyle w:val="NoSpacing"/>
        <w:rPr>
          <w:rFonts w:cs="Arial"/>
          <w:szCs w:val="24"/>
        </w:rPr>
      </w:pPr>
      <w:r w:rsidRPr="00D31A9B">
        <w:rPr>
          <w:rFonts w:cs="Arial"/>
          <w:b/>
          <w:bCs/>
          <w:szCs w:val="24"/>
        </w:rPr>
        <w:t>Hazards</w:t>
      </w:r>
      <w:r w:rsidRPr="00D31A9B">
        <w:rPr>
          <w:rFonts w:cs="Arial"/>
          <w:szCs w:val="24"/>
        </w:rPr>
        <w:t>: Both present and potential.</w:t>
      </w:r>
    </w:p>
    <w:p w14:paraId="7D68B742" w14:textId="77777777" w:rsidR="00D31A9B" w:rsidRPr="00D31A9B" w:rsidRDefault="00D31A9B" w:rsidP="00D31A9B">
      <w:pPr>
        <w:pStyle w:val="NoSpacing"/>
        <w:rPr>
          <w:rFonts w:cs="Arial"/>
          <w:szCs w:val="24"/>
        </w:rPr>
      </w:pPr>
      <w:r w:rsidRPr="00D31A9B">
        <w:rPr>
          <w:rFonts w:cs="Arial"/>
          <w:b/>
          <w:bCs/>
          <w:szCs w:val="24"/>
        </w:rPr>
        <w:t>Access</w:t>
      </w:r>
      <w:r w:rsidRPr="00D31A9B">
        <w:rPr>
          <w:rFonts w:cs="Arial"/>
          <w:szCs w:val="24"/>
        </w:rPr>
        <w:t>: Best route for emergency services to access the site, or obstructions and bottlenecks to avoid.</w:t>
      </w:r>
    </w:p>
    <w:p w14:paraId="354B57FD" w14:textId="77777777" w:rsidR="00D31A9B" w:rsidRPr="00D31A9B" w:rsidRDefault="00D31A9B" w:rsidP="00D31A9B">
      <w:pPr>
        <w:pStyle w:val="NoSpacing"/>
        <w:rPr>
          <w:rFonts w:cs="Arial"/>
          <w:szCs w:val="24"/>
        </w:rPr>
      </w:pPr>
      <w:r w:rsidRPr="00D31A9B">
        <w:rPr>
          <w:rFonts w:cs="Arial"/>
          <w:b/>
          <w:bCs/>
          <w:szCs w:val="24"/>
        </w:rPr>
        <w:t>Numbers</w:t>
      </w:r>
      <w:r w:rsidRPr="00D31A9B">
        <w:rPr>
          <w:rFonts w:cs="Arial"/>
          <w:szCs w:val="24"/>
        </w:rPr>
        <w:t>: Numbers of casualties, dead and uninjured on scene.</w:t>
      </w:r>
    </w:p>
    <w:p w14:paraId="267B45E0" w14:textId="77777777" w:rsidR="00D31A9B" w:rsidRPr="00D31A9B" w:rsidRDefault="00D31A9B" w:rsidP="00D31A9B">
      <w:pPr>
        <w:pStyle w:val="NoSpacing"/>
        <w:rPr>
          <w:rFonts w:cs="Arial"/>
          <w:szCs w:val="24"/>
        </w:rPr>
      </w:pPr>
      <w:r w:rsidRPr="00D31A9B">
        <w:rPr>
          <w:rFonts w:cs="Arial"/>
          <w:b/>
          <w:bCs/>
          <w:szCs w:val="24"/>
        </w:rPr>
        <w:t>Emergency</w:t>
      </w:r>
      <w:r w:rsidRPr="00D31A9B">
        <w:rPr>
          <w:rFonts w:cs="Arial"/>
          <w:szCs w:val="24"/>
        </w:rPr>
        <w:t xml:space="preserve"> services: Which services are already on scene, and which others are required.</w:t>
      </w:r>
    </w:p>
    <w:p w14:paraId="6234685B" w14:textId="77777777" w:rsidR="00D31A9B" w:rsidRPr="00D31A9B" w:rsidRDefault="00D31A9B" w:rsidP="00D31A9B">
      <w:pPr>
        <w:pStyle w:val="NoSpacing"/>
        <w:rPr>
          <w:rFonts w:cs="Arial"/>
          <w:szCs w:val="24"/>
        </w:rPr>
      </w:pPr>
    </w:p>
    <w:p w14:paraId="0F945DED" w14:textId="77777777" w:rsidR="00D31A9B" w:rsidRPr="00D31A9B" w:rsidRDefault="00D31A9B" w:rsidP="00D31A9B">
      <w:pPr>
        <w:pStyle w:val="NoSpacing"/>
        <w:rPr>
          <w:rFonts w:cs="Arial"/>
          <w:szCs w:val="24"/>
        </w:rPr>
      </w:pPr>
      <w:r w:rsidRPr="00D31A9B">
        <w:rPr>
          <w:rFonts w:cs="Arial"/>
          <w:szCs w:val="24"/>
        </w:rPr>
        <w:t>The initial officer on scene should provide the control room with this methane report. The initial situation report could be brief, but subsequent reports must be more detailed.</w:t>
      </w:r>
    </w:p>
    <w:p w14:paraId="49E41208" w14:textId="77777777" w:rsidR="00D31A9B" w:rsidRPr="00D31A9B" w:rsidRDefault="00D31A9B" w:rsidP="00D31A9B">
      <w:pPr>
        <w:rPr>
          <w:rFonts w:ascii="Arial" w:hAnsi="Arial" w:cs="Arial"/>
        </w:rPr>
      </w:pPr>
    </w:p>
    <w:p w14:paraId="4D949AF1" w14:textId="77777777" w:rsidR="00D31A9B" w:rsidRPr="00D31A9B" w:rsidRDefault="00D31A9B" w:rsidP="00D31A9B">
      <w:pPr>
        <w:rPr>
          <w:rFonts w:ascii="Arial" w:hAnsi="Arial" w:cs="Arial"/>
        </w:rPr>
      </w:pPr>
      <w:r w:rsidRPr="00D31A9B">
        <w:rPr>
          <w:rFonts w:ascii="Arial" w:hAnsi="Arial" w:cs="Arial"/>
        </w:rPr>
        <w:t xml:space="preserve">Effective communication is imperative in a major incident and is core to joint operations. Prior to JESIP, each service may define a major incident differently and the actions of the first on scene can determine the response and what resources are to be deployed. According to </w:t>
      </w:r>
      <w:proofErr w:type="spellStart"/>
      <w:r w:rsidRPr="00D31A9B">
        <w:rPr>
          <w:rFonts w:ascii="Arial" w:hAnsi="Arial" w:cs="Arial"/>
        </w:rPr>
        <w:t>Dethick</w:t>
      </w:r>
      <w:proofErr w:type="spellEnd"/>
      <w:r w:rsidRPr="00D31A9B">
        <w:rPr>
          <w:rFonts w:ascii="Arial" w:hAnsi="Arial" w:cs="Arial"/>
        </w:rPr>
        <w:t xml:space="preserve"> (1999), declaring a major incident or communication was a difficult task in many major incidents including Kings Cross Underground fire where a nurse declared a major incident after several people with burns presented to A&amp;E and </w:t>
      </w:r>
      <w:r w:rsidRPr="00D31A9B">
        <w:rPr>
          <w:rFonts w:ascii="Arial" w:hAnsi="Arial" w:cs="Arial"/>
          <w:color w:val="555555"/>
          <w:shd w:val="clear" w:color="auto" w:fill="FFFFFF"/>
        </w:rPr>
        <w:t>the Canary Wharf Terrorist Bomb 1996 where a major incident was declared by a hospital after hearing an explosion.</w:t>
      </w:r>
      <w:r w:rsidRPr="00D31A9B">
        <w:rPr>
          <w:rFonts w:ascii="Arial" w:hAnsi="Arial" w:cs="Arial"/>
        </w:rPr>
        <w:t xml:space="preserve"> How and what information is passed will need to be established in the planning stages. If there is criminal activity such as terrorist threats this information will not be for open sharing and may be subject to national security. This is something the police service will assess as I t may be subject to intelligence and need an evaluation before being disseminated (NPIA, 2009). Even if one organisation announces a major incident, that does not imply that all other organisations will follow suit.</w:t>
      </w:r>
    </w:p>
    <w:p w14:paraId="5908E7D1" w14:textId="77777777" w:rsidR="00D31A9B" w:rsidRPr="00D31A9B" w:rsidRDefault="00D31A9B" w:rsidP="00D31A9B">
      <w:pPr>
        <w:rPr>
          <w:rFonts w:ascii="Arial" w:hAnsi="Arial" w:cs="Arial"/>
        </w:rPr>
      </w:pPr>
      <w:r w:rsidRPr="00D31A9B">
        <w:rPr>
          <w:rFonts w:ascii="Arial" w:hAnsi="Arial" w:cs="Arial"/>
        </w:rPr>
        <w:t xml:space="preserve">In order for operability to be established, JESIP (2021) have published a joint doctrine, outlining the responsibilities of responders to the incident to confirm joint working in multiple agencies. The publication is intended for use in development and guidance of a response to a major incident and provides a framework. The publication outlines the principles for joint working and is particularly important at the initial part of an incident as it coordinates the lead organisation and identifies priorities and resources needed. </w:t>
      </w:r>
    </w:p>
    <w:p w14:paraId="45B215B7" w14:textId="77777777" w:rsidR="00D31A9B" w:rsidRPr="00D31A9B" w:rsidRDefault="00D31A9B" w:rsidP="00D31A9B">
      <w:pPr>
        <w:pStyle w:val="NoSpacing"/>
        <w:rPr>
          <w:rFonts w:cs="Arial"/>
          <w:szCs w:val="24"/>
        </w:rPr>
      </w:pPr>
      <w:r w:rsidRPr="00D31A9B">
        <w:rPr>
          <w:rFonts w:cs="Arial"/>
          <w:szCs w:val="24"/>
        </w:rPr>
        <w:lastRenderedPageBreak/>
        <w:t xml:space="preserve">Decision making also needs to be effective in a major incident and so JESIP developed a Joint decision model (JDM). Understanding the JDM will help make decisions while under pressure. </w:t>
      </w:r>
    </w:p>
    <w:p w14:paraId="5BF7F0AF" w14:textId="77777777" w:rsidR="00D31A9B" w:rsidRPr="00D31A9B" w:rsidRDefault="00D31A9B" w:rsidP="00D31A9B">
      <w:pPr>
        <w:pStyle w:val="NoSpacing"/>
        <w:rPr>
          <w:rFonts w:cs="Arial"/>
          <w:szCs w:val="24"/>
        </w:rPr>
      </w:pPr>
    </w:p>
    <w:p w14:paraId="51D9564B" w14:textId="77777777" w:rsidR="00D31A9B" w:rsidRPr="00D31A9B" w:rsidRDefault="00D31A9B" w:rsidP="00D31A9B">
      <w:pPr>
        <w:pStyle w:val="NoSpacing"/>
        <w:rPr>
          <w:rFonts w:cs="Arial"/>
          <w:szCs w:val="24"/>
        </w:rPr>
      </w:pPr>
      <w:r w:rsidRPr="00D31A9B">
        <w:rPr>
          <w:rFonts w:cs="Arial"/>
          <w:noProof/>
          <w:szCs w:val="24"/>
        </w:rPr>
        <w:drawing>
          <wp:inline distT="0" distB="0" distL="0" distR="0" wp14:anchorId="71C3273A" wp14:editId="66C4D1DB">
            <wp:extent cx="2363518" cy="2251579"/>
            <wp:effectExtent l="0" t="0" r="0" b="0"/>
            <wp:docPr id="6" name="Picture 6" descr="A diagram of a joint decision mod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joint decision model&#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72570" cy="2260202"/>
                    </a:xfrm>
                    <a:prstGeom prst="rect">
                      <a:avLst/>
                    </a:prstGeom>
                  </pic:spPr>
                </pic:pic>
              </a:graphicData>
            </a:graphic>
          </wp:inline>
        </w:drawing>
      </w:r>
    </w:p>
    <w:p w14:paraId="19D06A98" w14:textId="77777777" w:rsidR="00D31A9B" w:rsidRPr="00D31A9B" w:rsidRDefault="00D31A9B" w:rsidP="00D31A9B">
      <w:pPr>
        <w:rPr>
          <w:rFonts w:ascii="Arial" w:hAnsi="Arial" w:cs="Arial"/>
        </w:rPr>
      </w:pPr>
    </w:p>
    <w:p w14:paraId="6B95F98C" w14:textId="77777777" w:rsidR="00D31A9B" w:rsidRPr="00D31A9B" w:rsidRDefault="00D31A9B" w:rsidP="00D31A9B">
      <w:pPr>
        <w:rPr>
          <w:rFonts w:ascii="Arial" w:hAnsi="Arial" w:cs="Arial"/>
        </w:rPr>
      </w:pPr>
    </w:p>
    <w:p w14:paraId="73934FC4" w14:textId="77777777" w:rsidR="00D31A9B" w:rsidRPr="00D31A9B" w:rsidRDefault="00D31A9B" w:rsidP="00D31A9B">
      <w:pPr>
        <w:rPr>
          <w:rFonts w:ascii="Arial" w:hAnsi="Arial" w:cs="Arial"/>
        </w:rPr>
      </w:pPr>
    </w:p>
    <w:p w14:paraId="7567FF39" w14:textId="77777777" w:rsidR="00D31A9B" w:rsidRPr="00D31A9B" w:rsidRDefault="00D31A9B" w:rsidP="00D31A9B">
      <w:pPr>
        <w:rPr>
          <w:rFonts w:ascii="Arial" w:hAnsi="Arial" w:cs="Arial"/>
        </w:rPr>
      </w:pPr>
    </w:p>
    <w:p w14:paraId="31B712A3" w14:textId="77777777" w:rsidR="00D31A9B" w:rsidRPr="00D31A9B" w:rsidRDefault="00D31A9B" w:rsidP="00D31A9B">
      <w:pPr>
        <w:rPr>
          <w:rFonts w:ascii="Arial" w:hAnsi="Arial" w:cs="Arial"/>
        </w:rPr>
      </w:pPr>
      <w:r w:rsidRPr="00D31A9B">
        <w:rPr>
          <w:rFonts w:ascii="Arial" w:hAnsi="Arial" w:cs="Arial"/>
        </w:rPr>
        <w:t>There are many roles the police will have at a major incident (Manchester Arena Inquiry, 2022). In a critical crisis, the primary function of the police is to maintain public safety, public security, and public order. Command and control structures and likely a Strategic Coordinating Group will be set up. This consists of senior police officers and senior officers from other agencies who come together, to coordinate and manage the incident and resources. (College of Policing, 2013a) The police will also be considering if the incident is a crime scene, looking at securing, protecting and preserving evidence and providing information that will help with a later investigation.</w:t>
      </w:r>
    </w:p>
    <w:p w14:paraId="5752C477" w14:textId="77777777" w:rsidR="00D31A9B" w:rsidRPr="00D31A9B" w:rsidRDefault="00D31A9B" w:rsidP="00D31A9B">
      <w:pPr>
        <w:pStyle w:val="NoSpacing"/>
        <w:rPr>
          <w:rFonts w:cs="Arial"/>
          <w:szCs w:val="24"/>
        </w:rPr>
      </w:pPr>
      <w:r w:rsidRPr="00D31A9B">
        <w:rPr>
          <w:rFonts w:cs="Arial"/>
          <w:szCs w:val="24"/>
        </w:rPr>
        <w:t xml:space="preserve">At the scene the police are responsible for the safety of the public and responders deployed to the incident and preventing escalation whilst still eliminating any further threats.  Once the threat and risk are eliminated police will start assessing how others can get access to the scene and managing how to keep the traffic moving, potentially putting cordons in and closing the road. Survivor Reception Centres will also receive support from the police, and casualty bureaus will be established so that people may call and report anyone who may be missing or who hasn't arrived home. The telephone communication system will be spread out across the UK, where other police forces will assist one another to support the host force (Wood-Heath; 1992). Family Liaison Officers (FLOs) will likely be appointed in this situation, to work with families and, if deemed necessary, Disaster Victim Identification officers deployed to try and identify a person if they have lost their life and to provide evidence to a coroner of exactly what has happened (Brine &amp; </w:t>
      </w:r>
      <w:proofErr w:type="spellStart"/>
      <w:r w:rsidRPr="00D31A9B">
        <w:rPr>
          <w:rFonts w:cs="Arial"/>
          <w:szCs w:val="24"/>
        </w:rPr>
        <w:t>Roycroft</w:t>
      </w:r>
      <w:proofErr w:type="spellEnd"/>
      <w:r w:rsidRPr="00D31A9B">
        <w:rPr>
          <w:rFonts w:cs="Arial"/>
          <w:szCs w:val="24"/>
        </w:rPr>
        <w:t>, 2021).</w:t>
      </w:r>
    </w:p>
    <w:p w14:paraId="1D47ED7D" w14:textId="77777777" w:rsidR="00D31A9B" w:rsidRPr="00D31A9B" w:rsidRDefault="00D31A9B" w:rsidP="00D31A9B">
      <w:pPr>
        <w:pStyle w:val="NoSpacing"/>
        <w:rPr>
          <w:rFonts w:cs="Arial"/>
          <w:szCs w:val="24"/>
        </w:rPr>
      </w:pPr>
    </w:p>
    <w:p w14:paraId="6B6E893B" w14:textId="77777777" w:rsidR="00D31A9B" w:rsidRPr="00D31A9B" w:rsidRDefault="00D31A9B" w:rsidP="00D31A9B">
      <w:pPr>
        <w:rPr>
          <w:rFonts w:ascii="Arial" w:hAnsi="Arial" w:cs="Arial"/>
        </w:rPr>
      </w:pPr>
      <w:r w:rsidRPr="00D31A9B">
        <w:rPr>
          <w:rFonts w:ascii="Arial" w:hAnsi="Arial" w:cs="Arial"/>
        </w:rPr>
        <w:t xml:space="preserve">Furthermore, community tension or reassuring the public must be considered and the most beneficial way to keep the public informed is via the media as this can also keep colleagues up to date. This information can be given via all media channels including social media, televised news reports and via the radio.  An organisation will be viewed detrimentally if it is unable to reply quickly with accurate information. (Gillingham, </w:t>
      </w:r>
      <w:proofErr w:type="spellStart"/>
      <w:r w:rsidRPr="00D31A9B">
        <w:rPr>
          <w:rFonts w:ascii="Arial" w:hAnsi="Arial" w:cs="Arial"/>
        </w:rPr>
        <w:t>Noizet</w:t>
      </w:r>
      <w:proofErr w:type="spellEnd"/>
      <w:r w:rsidRPr="00D31A9B">
        <w:rPr>
          <w:rFonts w:ascii="Arial" w:hAnsi="Arial" w:cs="Arial"/>
        </w:rPr>
        <w:t xml:space="preserve"> 2007)</w:t>
      </w:r>
    </w:p>
    <w:p w14:paraId="0A939ED0" w14:textId="77777777" w:rsidR="00D31A9B" w:rsidRPr="00D31A9B" w:rsidRDefault="00D31A9B" w:rsidP="00D31A9B">
      <w:pPr>
        <w:rPr>
          <w:rFonts w:ascii="Arial" w:hAnsi="Arial" w:cs="Arial"/>
        </w:rPr>
      </w:pPr>
      <w:r w:rsidRPr="00D31A9B">
        <w:rPr>
          <w:rFonts w:ascii="Arial" w:hAnsi="Arial" w:cs="Arial"/>
        </w:rPr>
        <w:lastRenderedPageBreak/>
        <w:t>Finally, holding a debrief after a major incident is essential for the recovery stage. This will assist in identifying positive practices and where improvements can be made. This also gives an opportunity for officers to recognise if anyone has been affected by the incident and allow support to be put in place.</w:t>
      </w:r>
    </w:p>
    <w:p w14:paraId="5C404723" w14:textId="77777777" w:rsidR="00D31A9B" w:rsidRPr="00D31A9B" w:rsidRDefault="00D31A9B" w:rsidP="00D31A9B">
      <w:pPr>
        <w:rPr>
          <w:rFonts w:ascii="Arial" w:hAnsi="Arial" w:cs="Arial"/>
        </w:rPr>
      </w:pPr>
    </w:p>
    <w:p w14:paraId="5EFB5CF5" w14:textId="77777777" w:rsidR="00D31A9B" w:rsidRPr="00D31A9B" w:rsidRDefault="00D31A9B" w:rsidP="00D31A9B">
      <w:pPr>
        <w:rPr>
          <w:rFonts w:ascii="Arial" w:hAnsi="Arial" w:cs="Arial"/>
        </w:rPr>
      </w:pPr>
      <w:r w:rsidRPr="00D31A9B">
        <w:rPr>
          <w:rFonts w:ascii="Arial" w:hAnsi="Arial" w:cs="Arial"/>
        </w:rPr>
        <w:t xml:space="preserve">According to Wagner, White et al. (2020), police officers have a higher rate of suffering with </w:t>
      </w:r>
      <w:proofErr w:type="spellStart"/>
      <w:r w:rsidRPr="00D31A9B">
        <w:rPr>
          <w:rFonts w:ascii="Arial" w:hAnsi="Arial" w:cs="Arial"/>
        </w:rPr>
        <w:t>post traumatic</w:t>
      </w:r>
      <w:proofErr w:type="spellEnd"/>
      <w:r w:rsidRPr="00D31A9B">
        <w:rPr>
          <w:rFonts w:ascii="Arial" w:hAnsi="Arial" w:cs="Arial"/>
        </w:rPr>
        <w:t xml:space="preserve"> stress disorder (PTSD), which appears to be significantly tied to exposure in the workplace. The vast majority of traumatic exposures endured by police officers are work-related. However, Brewin et al. (2020) studied exposure to stressful and traumatic situations in police officers, including traumatic events and concluded that complex PTSD (CPTSD) is more common than posttraumatic stress disorder (PTSD). Complex post-traumatic stress disorder is typically characterised by protracted stressful experiences that include many or recurring traumatic incidents. </w:t>
      </w:r>
    </w:p>
    <w:p w14:paraId="28F5DEAF" w14:textId="31E951FE" w:rsidR="00D31A9B" w:rsidRPr="00D31A9B" w:rsidRDefault="00D31A9B" w:rsidP="00D31A9B">
      <w:pPr>
        <w:rPr>
          <w:rFonts w:ascii="Arial" w:hAnsi="Arial" w:cs="Arial"/>
          <w:color w:val="FF0000"/>
        </w:rPr>
      </w:pPr>
      <w:r w:rsidRPr="00D31A9B">
        <w:rPr>
          <w:rFonts w:ascii="Arial" w:hAnsi="Arial" w:cs="Arial"/>
          <w:color w:val="FF0000"/>
        </w:rPr>
        <w:t>WHAT IS CPTSD</w:t>
      </w:r>
    </w:p>
    <w:p w14:paraId="71908A7D" w14:textId="4A050661" w:rsidR="00D31A9B" w:rsidRPr="00D31A9B" w:rsidRDefault="00D31A9B" w:rsidP="00D31A9B">
      <w:pPr>
        <w:rPr>
          <w:rFonts w:ascii="Arial" w:hAnsi="Arial" w:cs="Arial"/>
          <w:color w:val="FF0000"/>
        </w:rPr>
      </w:pPr>
      <w:r w:rsidRPr="00D31A9B">
        <w:rPr>
          <w:rFonts w:ascii="Arial" w:hAnsi="Arial" w:cs="Arial"/>
          <w:color w:val="FF0000"/>
        </w:rPr>
        <w:t>HOW DOES THIS AFFECT POLICE OFFICERS</w:t>
      </w:r>
    </w:p>
    <w:p w14:paraId="3DD2864A" w14:textId="23A2A6E5" w:rsidR="00D31A9B" w:rsidRPr="00D31A9B" w:rsidRDefault="00D31A9B" w:rsidP="00D31A9B">
      <w:pPr>
        <w:rPr>
          <w:rFonts w:ascii="Arial" w:hAnsi="Arial" w:cs="Arial"/>
          <w:b/>
          <w:bCs/>
        </w:rPr>
      </w:pPr>
      <w:r w:rsidRPr="00D31A9B">
        <w:rPr>
          <w:rFonts w:ascii="Arial" w:hAnsi="Arial" w:cs="Arial"/>
          <w:color w:val="FF0000"/>
        </w:rPr>
        <w:t>TRIM</w:t>
      </w:r>
    </w:p>
    <w:p w14:paraId="7B6CB8A9" w14:textId="77777777" w:rsidR="00D31A9B" w:rsidRPr="00D31A9B" w:rsidRDefault="00D31A9B" w:rsidP="00D31A9B">
      <w:pPr>
        <w:rPr>
          <w:rFonts w:ascii="Arial" w:hAnsi="Arial" w:cs="Arial"/>
        </w:rPr>
      </w:pPr>
    </w:p>
    <w:p w14:paraId="14F52A7A" w14:textId="77777777" w:rsidR="00D31A9B" w:rsidRPr="00D31A9B" w:rsidRDefault="00D31A9B" w:rsidP="00D31A9B">
      <w:pPr>
        <w:rPr>
          <w:rFonts w:ascii="Arial" w:hAnsi="Arial" w:cs="Arial"/>
        </w:rPr>
      </w:pPr>
      <w:r w:rsidRPr="00D31A9B">
        <w:rPr>
          <w:rFonts w:ascii="Arial" w:hAnsi="Arial" w:cs="Arial"/>
        </w:rPr>
        <w:t xml:space="preserve">In conclusion, the role of the police at a major incident is to work together in partnership with other emergency services to save lives. By Co-ordinating and communicating efficiently,  there can be some order behind what is likely to be a chaotic situation. </w:t>
      </w:r>
    </w:p>
    <w:p w14:paraId="1C6B4032" w14:textId="77777777" w:rsidR="00D31A9B" w:rsidRPr="00D31A9B" w:rsidRDefault="00D31A9B" w:rsidP="00D31A9B">
      <w:pPr>
        <w:rPr>
          <w:rFonts w:ascii="Arial" w:hAnsi="Arial" w:cs="Arial"/>
        </w:rPr>
      </w:pPr>
    </w:p>
    <w:p w14:paraId="598A88A4" w14:textId="77777777" w:rsidR="00D31A9B" w:rsidRPr="00D31A9B" w:rsidRDefault="00D31A9B" w:rsidP="00D31A9B">
      <w:pPr>
        <w:rPr>
          <w:rFonts w:ascii="Arial" w:hAnsi="Arial" w:cs="Arial"/>
        </w:rPr>
      </w:pPr>
    </w:p>
    <w:p w14:paraId="3AC3D0AE" w14:textId="5FC28D9F" w:rsidR="00D31A9B" w:rsidRPr="00D31A9B" w:rsidRDefault="00D31A9B" w:rsidP="00D31A9B">
      <w:pPr>
        <w:rPr>
          <w:rFonts w:ascii="Arial" w:hAnsi="Arial" w:cs="Arial"/>
        </w:rPr>
      </w:pPr>
    </w:p>
    <w:p w14:paraId="05297B41" w14:textId="77777777" w:rsidR="00D31A9B" w:rsidRPr="00D31A9B" w:rsidRDefault="00D31A9B" w:rsidP="00D31A9B">
      <w:pPr>
        <w:rPr>
          <w:rFonts w:ascii="Arial" w:hAnsi="Arial" w:cs="Arial"/>
        </w:rPr>
      </w:pPr>
      <w:r w:rsidRPr="00D31A9B">
        <w:rPr>
          <w:rFonts w:ascii="Arial" w:hAnsi="Arial" w:cs="Arial"/>
        </w:rPr>
        <w:br w:type="page"/>
      </w:r>
    </w:p>
    <w:p w14:paraId="236A3080" w14:textId="77777777" w:rsidR="00D31A9B" w:rsidRPr="00D31A9B" w:rsidRDefault="00D31A9B" w:rsidP="00D31A9B">
      <w:pPr>
        <w:rPr>
          <w:rFonts w:ascii="Arial" w:hAnsi="Arial" w:cs="Arial"/>
        </w:rPr>
      </w:pPr>
    </w:p>
    <w:p w14:paraId="3BD367B5" w14:textId="77777777" w:rsidR="00D31A9B" w:rsidRPr="00D31A9B" w:rsidRDefault="00D31A9B" w:rsidP="00D31A9B">
      <w:pPr>
        <w:rPr>
          <w:rFonts w:ascii="Arial" w:hAnsi="Arial" w:cs="Arial"/>
        </w:rPr>
      </w:pPr>
    </w:p>
    <w:p w14:paraId="383E4FFD" w14:textId="221E49C9" w:rsidR="00D31A9B" w:rsidRDefault="00D31A9B" w:rsidP="00D31A9B">
      <w:pPr>
        <w:rPr>
          <w:rFonts w:ascii="Arial" w:hAnsi="Arial" w:cs="Arial"/>
        </w:rPr>
      </w:pPr>
      <w:r w:rsidRPr="00D31A9B">
        <w:rPr>
          <w:rFonts w:ascii="Arial" w:hAnsi="Arial" w:cs="Arial"/>
        </w:rPr>
        <w:t>Bibliography</w:t>
      </w:r>
    </w:p>
    <w:p w14:paraId="7F017683" w14:textId="77777777" w:rsidR="00D31A9B" w:rsidRPr="00D31A9B" w:rsidRDefault="00D31A9B" w:rsidP="00D31A9B">
      <w:pPr>
        <w:rPr>
          <w:rFonts w:ascii="Arial" w:hAnsi="Arial" w:cs="Arial"/>
        </w:rPr>
      </w:pPr>
    </w:p>
    <w:p w14:paraId="498F7074" w14:textId="77777777" w:rsidR="00D31A9B" w:rsidRPr="00D31A9B" w:rsidRDefault="00D31A9B" w:rsidP="00D31A9B">
      <w:pPr>
        <w:rPr>
          <w:rStyle w:val="eop"/>
          <w:rFonts w:ascii="Arial" w:hAnsi="Arial" w:cs="Arial"/>
        </w:rPr>
      </w:pPr>
      <w:r w:rsidRPr="00D31A9B">
        <w:rPr>
          <w:rStyle w:val="normaltextrun"/>
          <w:rFonts w:ascii="Arial" w:hAnsi="Arial" w:cs="Arial"/>
        </w:rPr>
        <w:t xml:space="preserve">Power, N. (2022). What psychology tells us about the failure of the emergency services at the Manchester Arena bombing. [online] Policing Insight. Available at: </w:t>
      </w:r>
      <w:hyperlink r:id="rId6" w:tgtFrame="_blank" w:history="1">
        <w:r w:rsidRPr="00D31A9B">
          <w:rPr>
            <w:rStyle w:val="normaltextrun"/>
            <w:rFonts w:ascii="Arial" w:hAnsi="Arial" w:cs="Arial"/>
          </w:rPr>
          <w:t>https://policinginsight.com/features/opinion/what-psychology-tells-us-about-the-failure-of-the-emergency-services-at-the-manchester-arena-bombing/</w:t>
        </w:r>
      </w:hyperlink>
      <w:r w:rsidRPr="00D31A9B">
        <w:rPr>
          <w:rStyle w:val="normaltextrun"/>
          <w:rFonts w:ascii="Arial" w:hAnsi="Arial" w:cs="Arial"/>
        </w:rPr>
        <w:t xml:space="preserve"> [Accessed 9 Mar. 2023].</w:t>
      </w:r>
      <w:r w:rsidRPr="00D31A9B">
        <w:rPr>
          <w:rStyle w:val="eop"/>
          <w:rFonts w:ascii="Arial" w:hAnsi="Arial" w:cs="Arial"/>
        </w:rPr>
        <w:t> </w:t>
      </w:r>
    </w:p>
    <w:p w14:paraId="1EDA004A" w14:textId="77777777" w:rsidR="00D31A9B" w:rsidRPr="00D31A9B" w:rsidRDefault="00D31A9B" w:rsidP="00D31A9B">
      <w:pPr>
        <w:rPr>
          <w:rStyle w:val="eop"/>
          <w:rFonts w:ascii="Arial" w:hAnsi="Arial" w:cs="Arial"/>
        </w:rPr>
      </w:pPr>
    </w:p>
    <w:p w14:paraId="2C49CACF" w14:textId="77777777" w:rsidR="00D31A9B" w:rsidRPr="00D31A9B" w:rsidRDefault="00D31A9B" w:rsidP="00D31A9B">
      <w:pPr>
        <w:rPr>
          <w:rFonts w:ascii="Arial" w:hAnsi="Arial" w:cs="Arial"/>
          <w:shd w:val="clear" w:color="auto" w:fill="FFFFFF"/>
        </w:rPr>
      </w:pPr>
      <w:r w:rsidRPr="00D31A9B">
        <w:rPr>
          <w:rFonts w:ascii="Arial" w:hAnsi="Arial" w:cs="Arial"/>
          <w:shd w:val="clear" w:color="auto" w:fill="FFFFFF"/>
        </w:rPr>
        <w:t>ALLEN, D.K., KARANASIOS, S. and NORMAN, A., 2014. </w:t>
      </w:r>
      <w:r w:rsidRPr="00D31A9B">
        <w:rPr>
          <w:rFonts w:ascii="Arial" w:hAnsi="Arial" w:cs="Arial"/>
          <w:i/>
          <w:iCs/>
          <w:shd w:val="clear" w:color="auto" w:fill="FFFFFF"/>
        </w:rPr>
        <w:t>Information sharing and interoperability: the case of major incident management. </w:t>
      </w:r>
      <w:proofErr w:type="spellStart"/>
      <w:r w:rsidRPr="00D31A9B">
        <w:rPr>
          <w:rFonts w:ascii="Arial" w:hAnsi="Arial" w:cs="Arial"/>
          <w:shd w:val="clear" w:color="auto" w:fill="FFFFFF"/>
        </w:rPr>
        <w:t>Houndmills</w:t>
      </w:r>
      <w:proofErr w:type="spellEnd"/>
      <w:r w:rsidRPr="00D31A9B">
        <w:rPr>
          <w:rFonts w:ascii="Arial" w:hAnsi="Arial" w:cs="Arial"/>
          <w:shd w:val="clear" w:color="auto" w:fill="FFFFFF"/>
        </w:rPr>
        <w:t>, Basingstoke, Hampshire, UK] : Stockton Press.</w:t>
      </w:r>
    </w:p>
    <w:p w14:paraId="25F63C52" w14:textId="77777777" w:rsidR="00D31A9B" w:rsidRPr="00D31A9B" w:rsidRDefault="00D31A9B" w:rsidP="00D31A9B">
      <w:pPr>
        <w:rPr>
          <w:rFonts w:ascii="Arial" w:hAnsi="Arial" w:cs="Arial"/>
          <w:shd w:val="clear" w:color="auto" w:fill="FFFFFF"/>
        </w:rPr>
      </w:pPr>
    </w:p>
    <w:p w14:paraId="7274D673" w14:textId="77777777" w:rsidR="00D31A9B" w:rsidRPr="00D31A9B" w:rsidRDefault="00D31A9B" w:rsidP="00D31A9B">
      <w:pPr>
        <w:rPr>
          <w:rFonts w:ascii="Arial" w:hAnsi="Arial" w:cs="Arial"/>
        </w:rPr>
      </w:pPr>
      <w:r w:rsidRPr="00D31A9B">
        <w:rPr>
          <w:rFonts w:ascii="Arial" w:hAnsi="Arial" w:cs="Arial"/>
        </w:rPr>
        <w:t>Pollock, K. (2013). Emergency Planning College Occasional Papers New Series Number 6 Review of Persistent Lessons Identified Relating to Interoperability from Emergencies and Major Incidents since 1986 A report commissioned by the Cabinet Office Civil Contingencies Secretariat. [online] Available at: https://www.jesip.org.uk/uploads/media/pdf/Pollock_Review_Oct_2013.pdf [Accessed 28 Apr. 2023].</w:t>
      </w:r>
    </w:p>
    <w:p w14:paraId="0753F09E" w14:textId="77777777" w:rsidR="00D31A9B" w:rsidRPr="00D31A9B" w:rsidRDefault="00D31A9B" w:rsidP="00D31A9B">
      <w:pPr>
        <w:rPr>
          <w:rFonts w:ascii="Arial" w:hAnsi="Arial" w:cs="Arial"/>
        </w:rPr>
      </w:pPr>
    </w:p>
    <w:p w14:paraId="3A42942C" w14:textId="77777777" w:rsidR="00D31A9B" w:rsidRPr="00D31A9B" w:rsidRDefault="00D31A9B" w:rsidP="00D31A9B">
      <w:pPr>
        <w:pStyle w:val="NoSpacing"/>
        <w:rPr>
          <w:rFonts w:cs="Arial"/>
          <w:szCs w:val="24"/>
          <w:shd w:val="clear" w:color="auto" w:fill="FFFFFF"/>
        </w:rPr>
      </w:pPr>
      <w:r w:rsidRPr="00D31A9B">
        <w:rPr>
          <w:rFonts w:cs="Arial"/>
          <w:szCs w:val="24"/>
          <w:shd w:val="clear" w:color="auto" w:fill="FFFFFF"/>
        </w:rPr>
        <w:t>BRENNAN, L., SAGE, F.J. and SIMPSON, A., 1994. Major incident planning in South East Thames Region: a survey of medical staff awareness and training. Oxford : Blackwell Scientific Publications.</w:t>
      </w:r>
    </w:p>
    <w:p w14:paraId="273B2D5C" w14:textId="77777777" w:rsidR="00D31A9B" w:rsidRPr="00D31A9B" w:rsidRDefault="00D31A9B" w:rsidP="00D31A9B">
      <w:pPr>
        <w:pStyle w:val="NoSpacing"/>
        <w:rPr>
          <w:rFonts w:cs="Arial"/>
          <w:szCs w:val="24"/>
          <w:shd w:val="clear" w:color="auto" w:fill="FFFFFF"/>
        </w:rPr>
      </w:pPr>
    </w:p>
    <w:p w14:paraId="2447DFF1" w14:textId="77777777" w:rsidR="00D31A9B" w:rsidRPr="00D31A9B" w:rsidRDefault="00D31A9B" w:rsidP="00D31A9B">
      <w:pPr>
        <w:pStyle w:val="NoSpacing"/>
        <w:rPr>
          <w:rFonts w:cs="Arial"/>
          <w:szCs w:val="24"/>
          <w:shd w:val="clear" w:color="auto" w:fill="FFFFFF"/>
        </w:rPr>
      </w:pPr>
      <w:r w:rsidRPr="00D31A9B">
        <w:rPr>
          <w:rFonts w:cs="Arial"/>
          <w:szCs w:val="24"/>
          <w:shd w:val="clear" w:color="auto" w:fill="FFFFFF"/>
        </w:rPr>
        <w:t>DETHICK, L., 1999. Declaring a major incident. </w:t>
      </w:r>
      <w:r w:rsidRPr="00D31A9B">
        <w:rPr>
          <w:rFonts w:cs="Arial"/>
          <w:i/>
          <w:iCs/>
          <w:szCs w:val="24"/>
          <w:shd w:val="clear" w:color="auto" w:fill="FFFFFF"/>
        </w:rPr>
        <w:t>Emergency Nurse (through 2013), </w:t>
      </w:r>
      <w:r w:rsidRPr="00D31A9B">
        <w:rPr>
          <w:rFonts w:cs="Arial"/>
          <w:b/>
          <w:bCs/>
          <w:szCs w:val="24"/>
          <w:shd w:val="clear" w:color="auto" w:fill="FFFFFF"/>
        </w:rPr>
        <w:t>7</w:t>
      </w:r>
      <w:r w:rsidRPr="00D31A9B">
        <w:rPr>
          <w:rFonts w:cs="Arial"/>
          <w:szCs w:val="24"/>
          <w:shd w:val="clear" w:color="auto" w:fill="FFFFFF"/>
        </w:rPr>
        <w:t>(3), pp. 21-5.</w:t>
      </w:r>
    </w:p>
    <w:p w14:paraId="7466D8E5" w14:textId="77777777" w:rsidR="00D31A9B" w:rsidRPr="00D31A9B" w:rsidRDefault="00D31A9B" w:rsidP="00D31A9B">
      <w:pPr>
        <w:pStyle w:val="NoSpacing"/>
        <w:rPr>
          <w:rFonts w:cs="Arial"/>
          <w:szCs w:val="24"/>
          <w:shd w:val="clear" w:color="auto" w:fill="FFFFFF"/>
        </w:rPr>
      </w:pPr>
    </w:p>
    <w:p w14:paraId="289BB9CF" w14:textId="77777777" w:rsidR="00D31A9B" w:rsidRPr="00D31A9B" w:rsidRDefault="00D31A9B" w:rsidP="00D31A9B">
      <w:pPr>
        <w:pStyle w:val="NoSpacing"/>
        <w:rPr>
          <w:rFonts w:cs="Arial"/>
          <w:szCs w:val="24"/>
        </w:rPr>
      </w:pPr>
      <w:proofErr w:type="spellStart"/>
      <w:r w:rsidRPr="00D31A9B">
        <w:rPr>
          <w:rFonts w:cs="Arial"/>
          <w:szCs w:val="24"/>
        </w:rPr>
        <w:t>Skryabina</w:t>
      </w:r>
      <w:proofErr w:type="spellEnd"/>
      <w:r w:rsidRPr="00D31A9B">
        <w:rPr>
          <w:rFonts w:cs="Arial"/>
          <w:szCs w:val="24"/>
        </w:rPr>
        <w:t xml:space="preserve">, E.A., Betts, N., Reedy, G., Riley, P. and </w:t>
      </w:r>
      <w:proofErr w:type="spellStart"/>
      <w:r w:rsidRPr="00D31A9B">
        <w:rPr>
          <w:rFonts w:cs="Arial"/>
          <w:szCs w:val="24"/>
        </w:rPr>
        <w:t>Amlôt</w:t>
      </w:r>
      <w:proofErr w:type="spellEnd"/>
      <w:r w:rsidRPr="00D31A9B">
        <w:rPr>
          <w:rFonts w:cs="Arial"/>
          <w:szCs w:val="24"/>
        </w:rPr>
        <w:t xml:space="preserve">, R. (2020). The role of emergency preparedness exercises in the response to a mass casualty terrorist incident: A mixed methods study. </w:t>
      </w:r>
      <w:r w:rsidRPr="00D31A9B">
        <w:rPr>
          <w:rFonts w:cs="Arial"/>
          <w:i/>
          <w:iCs/>
          <w:szCs w:val="24"/>
        </w:rPr>
        <w:t>International Journal of Disaster Risk Reduction</w:t>
      </w:r>
      <w:r w:rsidRPr="00D31A9B">
        <w:rPr>
          <w:rFonts w:cs="Arial"/>
          <w:szCs w:val="24"/>
        </w:rPr>
        <w:t xml:space="preserve">, [online] 46, p.101503. </w:t>
      </w:r>
      <w:proofErr w:type="spellStart"/>
      <w:r w:rsidRPr="00D31A9B">
        <w:rPr>
          <w:rFonts w:cs="Arial"/>
          <w:szCs w:val="24"/>
        </w:rPr>
        <w:t>doi:https</w:t>
      </w:r>
      <w:proofErr w:type="spellEnd"/>
      <w:r w:rsidRPr="00D31A9B">
        <w:rPr>
          <w:rFonts w:cs="Arial"/>
          <w:szCs w:val="24"/>
        </w:rPr>
        <w:t>://doi.org/10.1016/j.ijdrr.2020.101503.</w:t>
      </w:r>
    </w:p>
    <w:p w14:paraId="79341456" w14:textId="77777777" w:rsidR="00D31A9B" w:rsidRPr="00D31A9B" w:rsidRDefault="00D31A9B" w:rsidP="00D31A9B">
      <w:pPr>
        <w:pStyle w:val="NoSpacing"/>
        <w:rPr>
          <w:rFonts w:cs="Arial"/>
          <w:szCs w:val="24"/>
        </w:rPr>
      </w:pPr>
    </w:p>
    <w:p w14:paraId="5DFD14C9" w14:textId="77777777" w:rsidR="00D31A9B" w:rsidRPr="00D31A9B" w:rsidRDefault="00D31A9B" w:rsidP="00D31A9B">
      <w:pPr>
        <w:pStyle w:val="NoSpacing"/>
        <w:rPr>
          <w:rFonts w:cs="Arial"/>
          <w:szCs w:val="24"/>
        </w:rPr>
      </w:pPr>
      <w:r w:rsidRPr="00D31A9B">
        <w:rPr>
          <w:rFonts w:cs="Arial"/>
          <w:szCs w:val="24"/>
        </w:rPr>
        <w:t xml:space="preserve">NPIA (2009). </w:t>
      </w:r>
      <w:r w:rsidRPr="00D31A9B">
        <w:rPr>
          <w:rFonts w:cs="Arial"/>
          <w:i/>
          <w:iCs/>
          <w:szCs w:val="24"/>
        </w:rPr>
        <w:t>Guidance on Multi-agency Interoperability</w:t>
      </w:r>
      <w:r w:rsidRPr="00D31A9B">
        <w:rPr>
          <w:rFonts w:cs="Arial"/>
          <w:szCs w:val="24"/>
        </w:rPr>
        <w:t>. [online] https://library.college.police.uk/. Available at: https://library.college.police.uk/docs/acpo/Multi-agency-Interoperability-130609.pdf [Accessed 17 May 2023].</w:t>
      </w:r>
    </w:p>
    <w:p w14:paraId="51135270" w14:textId="77777777" w:rsidR="00D31A9B" w:rsidRPr="00D31A9B" w:rsidRDefault="00D31A9B" w:rsidP="00D31A9B">
      <w:pPr>
        <w:pStyle w:val="NoSpacing"/>
        <w:rPr>
          <w:rFonts w:cs="Arial"/>
          <w:szCs w:val="24"/>
        </w:rPr>
      </w:pPr>
    </w:p>
    <w:p w14:paraId="6D4E7058" w14:textId="77777777" w:rsidR="00D31A9B" w:rsidRPr="00D31A9B" w:rsidRDefault="00D31A9B" w:rsidP="00D31A9B">
      <w:pPr>
        <w:pStyle w:val="NoSpacing"/>
        <w:rPr>
          <w:rFonts w:cs="Arial"/>
          <w:szCs w:val="24"/>
        </w:rPr>
      </w:pPr>
      <w:r w:rsidRPr="00D31A9B">
        <w:rPr>
          <w:rFonts w:cs="Arial"/>
          <w:szCs w:val="24"/>
        </w:rPr>
        <w:t xml:space="preserve">JESIP (2021). </w:t>
      </w:r>
      <w:r w:rsidRPr="00D31A9B">
        <w:rPr>
          <w:rFonts w:cs="Arial"/>
          <w:i/>
          <w:iCs/>
          <w:szCs w:val="24"/>
        </w:rPr>
        <w:t>Download the Joint Doctrine | JESIP Website</w:t>
      </w:r>
      <w:r w:rsidRPr="00D31A9B">
        <w:rPr>
          <w:rFonts w:cs="Arial"/>
          <w:szCs w:val="24"/>
        </w:rPr>
        <w:t>. [online] www.jesip.org.uk. Available at: https://www.jesip.org.uk/downloads/joint-doctrine-guide/.</w:t>
      </w:r>
    </w:p>
    <w:p w14:paraId="7538E21E" w14:textId="77777777" w:rsidR="00D31A9B" w:rsidRPr="00D31A9B" w:rsidRDefault="00D31A9B" w:rsidP="00D31A9B">
      <w:pPr>
        <w:pStyle w:val="NoSpacing"/>
        <w:rPr>
          <w:rFonts w:cs="Arial"/>
          <w:szCs w:val="24"/>
        </w:rPr>
      </w:pPr>
    </w:p>
    <w:p w14:paraId="2247865F" w14:textId="77777777" w:rsidR="00D31A9B" w:rsidRPr="00D31A9B" w:rsidRDefault="00D31A9B" w:rsidP="00D31A9B">
      <w:pPr>
        <w:pStyle w:val="NoSpacing"/>
        <w:rPr>
          <w:rFonts w:cs="Arial"/>
          <w:szCs w:val="24"/>
        </w:rPr>
      </w:pPr>
      <w:r w:rsidRPr="00D31A9B">
        <w:rPr>
          <w:rFonts w:cs="Arial"/>
          <w:szCs w:val="24"/>
        </w:rPr>
        <w:t xml:space="preserve">HMIC (2016). </w:t>
      </w:r>
      <w:r w:rsidRPr="00D31A9B">
        <w:rPr>
          <w:rFonts w:cs="Arial"/>
          <w:i/>
          <w:iCs/>
          <w:szCs w:val="24"/>
        </w:rPr>
        <w:t>The tri-service review of the Joint Emergency Services Interoperability Principles (JESIP)</w:t>
      </w:r>
      <w:r w:rsidRPr="00D31A9B">
        <w:rPr>
          <w:rFonts w:cs="Arial"/>
          <w:szCs w:val="24"/>
        </w:rPr>
        <w:t>. [online] Available at: https://www.justiceinspectorates.gov.uk/hmicfrs/wp-content/uploads/joint-emergency-services-interoperability-principles-review.pdf [Accessed 17 May 2023].</w:t>
      </w:r>
    </w:p>
    <w:p w14:paraId="2CFAAC86" w14:textId="77777777" w:rsidR="00D31A9B" w:rsidRPr="00D31A9B" w:rsidRDefault="00D31A9B" w:rsidP="00D31A9B">
      <w:pPr>
        <w:pStyle w:val="NoSpacing"/>
        <w:rPr>
          <w:rFonts w:cs="Arial"/>
          <w:szCs w:val="24"/>
        </w:rPr>
      </w:pPr>
    </w:p>
    <w:p w14:paraId="27B96B7F" w14:textId="77777777" w:rsidR="00D31A9B" w:rsidRPr="00D31A9B" w:rsidRDefault="00D31A9B" w:rsidP="00D31A9B">
      <w:pPr>
        <w:pStyle w:val="NoSpacing"/>
        <w:rPr>
          <w:rFonts w:cs="Arial"/>
          <w:szCs w:val="24"/>
        </w:rPr>
      </w:pPr>
      <w:proofErr w:type="spellStart"/>
      <w:r w:rsidRPr="00D31A9B">
        <w:rPr>
          <w:rFonts w:cs="Arial"/>
          <w:szCs w:val="24"/>
        </w:rPr>
        <w:t>Wiggett</w:t>
      </w:r>
      <w:proofErr w:type="spellEnd"/>
      <w:r w:rsidRPr="00D31A9B">
        <w:rPr>
          <w:rFonts w:cs="Arial"/>
          <w:szCs w:val="24"/>
        </w:rPr>
        <w:t xml:space="preserve">, I. (2018). </w:t>
      </w:r>
      <w:r w:rsidRPr="00D31A9B">
        <w:rPr>
          <w:rFonts w:cs="Arial"/>
          <w:i/>
          <w:iCs/>
          <w:szCs w:val="24"/>
        </w:rPr>
        <w:t xml:space="preserve">Manchester Arena attack: The </w:t>
      </w:r>
      <w:proofErr w:type="spellStart"/>
      <w:r w:rsidRPr="00D31A9B">
        <w:rPr>
          <w:rFonts w:cs="Arial"/>
          <w:i/>
          <w:iCs/>
          <w:szCs w:val="24"/>
        </w:rPr>
        <w:t>bluelight</w:t>
      </w:r>
      <w:proofErr w:type="spellEnd"/>
      <w:r w:rsidRPr="00D31A9B">
        <w:rPr>
          <w:rFonts w:cs="Arial"/>
          <w:i/>
          <w:iCs/>
          <w:szCs w:val="24"/>
        </w:rPr>
        <w:t xml:space="preserve"> response and lessons to be learnt</w:t>
      </w:r>
      <w:r w:rsidRPr="00D31A9B">
        <w:rPr>
          <w:rFonts w:cs="Arial"/>
          <w:szCs w:val="24"/>
        </w:rPr>
        <w:t xml:space="preserve">. [online] Policing Insight. Available at: </w:t>
      </w:r>
      <w:r w:rsidRPr="00D31A9B">
        <w:rPr>
          <w:rFonts w:cs="Arial"/>
          <w:szCs w:val="24"/>
        </w:rPr>
        <w:lastRenderedPageBreak/>
        <w:t>https://policinginsight.com/features/opinion/manchester-arena-attack-the-bluelight-response-and-lessons-to-be-learnt/ [Accessed 17 May 2023].</w:t>
      </w:r>
    </w:p>
    <w:p w14:paraId="0F5DA04F" w14:textId="77777777" w:rsidR="00D31A9B" w:rsidRPr="00D31A9B" w:rsidRDefault="00D31A9B" w:rsidP="00D31A9B">
      <w:pPr>
        <w:pStyle w:val="NoSpacing"/>
        <w:rPr>
          <w:rFonts w:cs="Arial"/>
          <w:szCs w:val="24"/>
        </w:rPr>
      </w:pPr>
    </w:p>
    <w:p w14:paraId="15DBC0E2" w14:textId="77777777" w:rsidR="00D31A9B" w:rsidRPr="00D31A9B" w:rsidRDefault="00D31A9B" w:rsidP="00D31A9B">
      <w:pPr>
        <w:pStyle w:val="NoSpacing"/>
        <w:rPr>
          <w:rFonts w:cs="Arial"/>
          <w:szCs w:val="24"/>
        </w:rPr>
      </w:pPr>
      <w:r w:rsidRPr="00D31A9B">
        <w:rPr>
          <w:rFonts w:cs="Arial"/>
          <w:szCs w:val="24"/>
        </w:rPr>
        <w:t xml:space="preserve">Manchester Arena Inquiry (2022). </w:t>
      </w:r>
      <w:r w:rsidRPr="00D31A9B">
        <w:rPr>
          <w:rFonts w:cs="Arial"/>
          <w:i/>
          <w:iCs/>
          <w:szCs w:val="24"/>
        </w:rPr>
        <w:t>Greater Manchester Police Major Incident Plan</w:t>
      </w:r>
      <w:r w:rsidRPr="00D31A9B">
        <w:rPr>
          <w:rFonts w:cs="Arial"/>
          <w:szCs w:val="24"/>
        </w:rPr>
        <w:t>. [online] manchesterarenainquiry.org.uk. Available at: https://files.manchesterarenainquiry.org.uk/live/uploads/2022/02/15094539/INQ007279_7-8.pdf [Accessed 17 May 2023].</w:t>
      </w:r>
    </w:p>
    <w:p w14:paraId="2A834AD6" w14:textId="77777777" w:rsidR="00D31A9B" w:rsidRPr="00D31A9B" w:rsidRDefault="00D31A9B" w:rsidP="00D31A9B">
      <w:pPr>
        <w:pStyle w:val="NoSpacing"/>
        <w:rPr>
          <w:rFonts w:cs="Arial"/>
          <w:szCs w:val="24"/>
        </w:rPr>
      </w:pPr>
    </w:p>
    <w:p w14:paraId="09DAB815" w14:textId="6C29FB1E" w:rsidR="00D31A9B" w:rsidRPr="00D31A9B" w:rsidRDefault="00D31A9B" w:rsidP="00D31A9B">
      <w:pPr>
        <w:rPr>
          <w:rFonts w:ascii="Arial" w:hAnsi="Arial" w:cs="Arial"/>
          <w:shd w:val="clear" w:color="auto" w:fill="FFFFFF"/>
        </w:rPr>
      </w:pPr>
      <w:r w:rsidRPr="00D31A9B">
        <w:rPr>
          <w:rFonts w:ascii="Arial" w:hAnsi="Arial" w:cs="Arial"/>
          <w:shd w:val="clear" w:color="auto" w:fill="FFFFFF"/>
        </w:rPr>
        <w:t>Stephenson, J., 2015. Interoperability and multiagency cooperation. </w:t>
      </w:r>
      <w:r w:rsidRPr="00D31A9B">
        <w:rPr>
          <w:rFonts w:ascii="Arial" w:hAnsi="Arial" w:cs="Arial"/>
          <w:i/>
          <w:iCs/>
          <w:shd w:val="clear" w:color="auto" w:fill="FFFFFF"/>
        </w:rPr>
        <w:t>Ambulance Services: Leadership and Management Perspectives</w:t>
      </w:r>
      <w:r w:rsidRPr="00D31A9B">
        <w:rPr>
          <w:rFonts w:ascii="Arial" w:hAnsi="Arial" w:cs="Arial"/>
          <w:shd w:val="clear" w:color="auto" w:fill="FFFFFF"/>
        </w:rPr>
        <w:t>, pp.107-117.</w:t>
      </w:r>
    </w:p>
    <w:p w14:paraId="21939F1E" w14:textId="77777777" w:rsidR="00D31A9B" w:rsidRPr="00D31A9B" w:rsidRDefault="00D31A9B" w:rsidP="00D31A9B">
      <w:pPr>
        <w:rPr>
          <w:rFonts w:ascii="Arial" w:hAnsi="Arial" w:cs="Arial"/>
        </w:rPr>
      </w:pPr>
    </w:p>
    <w:p w14:paraId="26D4A3EB" w14:textId="374C070F" w:rsidR="00D31A9B" w:rsidRPr="00D31A9B" w:rsidRDefault="00D31A9B" w:rsidP="00D31A9B">
      <w:pPr>
        <w:rPr>
          <w:rFonts w:ascii="Arial" w:hAnsi="Arial" w:cs="Arial"/>
        </w:rPr>
      </w:pPr>
      <w:r w:rsidRPr="00D31A9B">
        <w:rPr>
          <w:rFonts w:ascii="Arial" w:hAnsi="Arial" w:cs="Arial"/>
        </w:rPr>
        <w:t xml:space="preserve">College of Policing (2013a). </w:t>
      </w:r>
      <w:r w:rsidRPr="00D31A9B">
        <w:rPr>
          <w:rFonts w:ascii="Arial" w:hAnsi="Arial" w:cs="Arial"/>
          <w:i/>
          <w:iCs/>
        </w:rPr>
        <w:t>Command, control and coordination</w:t>
      </w:r>
      <w:r w:rsidRPr="00D31A9B">
        <w:rPr>
          <w:rFonts w:ascii="Arial" w:hAnsi="Arial" w:cs="Arial"/>
        </w:rPr>
        <w:t>. [online] College of Policing. Available at: https://www.college.police.uk/app/civil-emergencies/civil-contingencies/command-control-and-coordination [Accessed 17 May 2023].</w:t>
      </w:r>
    </w:p>
    <w:p w14:paraId="7AB79706" w14:textId="77777777" w:rsidR="00D31A9B" w:rsidRPr="00D31A9B" w:rsidRDefault="00D31A9B" w:rsidP="00D31A9B">
      <w:pPr>
        <w:rPr>
          <w:rFonts w:ascii="Arial" w:hAnsi="Arial" w:cs="Arial"/>
        </w:rPr>
      </w:pPr>
    </w:p>
    <w:p w14:paraId="46A1413E" w14:textId="7029B371" w:rsidR="00D31A9B" w:rsidRPr="00D31A9B" w:rsidRDefault="00D31A9B" w:rsidP="00D31A9B">
      <w:pPr>
        <w:rPr>
          <w:rFonts w:ascii="Arial" w:hAnsi="Arial" w:cs="Arial"/>
          <w:shd w:val="clear" w:color="auto" w:fill="FFFFFF"/>
        </w:rPr>
      </w:pPr>
      <w:r w:rsidRPr="00D31A9B">
        <w:rPr>
          <w:rFonts w:ascii="Arial" w:hAnsi="Arial" w:cs="Arial"/>
          <w:shd w:val="clear" w:color="auto" w:fill="FFFFFF"/>
        </w:rPr>
        <w:t>Wood</w:t>
      </w:r>
      <w:r w:rsidRPr="00D31A9B">
        <w:rPr>
          <w:rFonts w:ascii="Cambria Math" w:hAnsi="Cambria Math" w:cs="Cambria Math"/>
          <w:shd w:val="clear" w:color="auto" w:fill="FFFFFF"/>
        </w:rPr>
        <w:t>‐</w:t>
      </w:r>
      <w:r w:rsidRPr="00D31A9B">
        <w:rPr>
          <w:rFonts w:ascii="Arial" w:hAnsi="Arial" w:cs="Arial"/>
          <w:shd w:val="clear" w:color="auto" w:fill="FFFFFF"/>
        </w:rPr>
        <w:t>Heath, M., 1992. The National Casualty Bureau Project. </w:t>
      </w:r>
      <w:r w:rsidRPr="00D31A9B">
        <w:rPr>
          <w:rFonts w:ascii="Arial" w:hAnsi="Arial" w:cs="Arial"/>
          <w:i/>
          <w:iCs/>
          <w:shd w:val="clear" w:color="auto" w:fill="FFFFFF"/>
        </w:rPr>
        <w:t>Disaster Prevention and Management: An International Journal</w:t>
      </w:r>
      <w:r w:rsidRPr="00D31A9B">
        <w:rPr>
          <w:rFonts w:ascii="Arial" w:hAnsi="Arial" w:cs="Arial"/>
          <w:shd w:val="clear" w:color="auto" w:fill="FFFFFF"/>
        </w:rPr>
        <w:t>, </w:t>
      </w:r>
      <w:r w:rsidRPr="00D31A9B">
        <w:rPr>
          <w:rFonts w:ascii="Arial" w:hAnsi="Arial" w:cs="Arial"/>
          <w:i/>
          <w:iCs/>
          <w:shd w:val="clear" w:color="auto" w:fill="FFFFFF"/>
        </w:rPr>
        <w:t>1</w:t>
      </w:r>
      <w:r w:rsidRPr="00D31A9B">
        <w:rPr>
          <w:rFonts w:ascii="Arial" w:hAnsi="Arial" w:cs="Arial"/>
          <w:shd w:val="clear" w:color="auto" w:fill="FFFFFF"/>
        </w:rPr>
        <w:t>(2).</w:t>
      </w:r>
    </w:p>
    <w:p w14:paraId="0AD5F668" w14:textId="77777777" w:rsidR="00D31A9B" w:rsidRPr="00D31A9B" w:rsidRDefault="00D31A9B" w:rsidP="00D31A9B">
      <w:pPr>
        <w:rPr>
          <w:rFonts w:ascii="Arial" w:hAnsi="Arial" w:cs="Arial"/>
          <w:shd w:val="clear" w:color="auto" w:fill="FFFFFF"/>
        </w:rPr>
      </w:pPr>
    </w:p>
    <w:p w14:paraId="3350BD51" w14:textId="4D5AAD1A" w:rsidR="00D31A9B" w:rsidRPr="00D31A9B" w:rsidRDefault="00D31A9B" w:rsidP="00D31A9B">
      <w:pPr>
        <w:rPr>
          <w:rStyle w:val="Hyperlink"/>
          <w:rFonts w:ascii="Arial" w:hAnsi="Arial" w:cs="Arial"/>
          <w:color w:val="auto"/>
        </w:rPr>
      </w:pPr>
      <w:r w:rsidRPr="00D31A9B">
        <w:rPr>
          <w:rFonts w:ascii="Arial" w:hAnsi="Arial" w:cs="Arial"/>
        </w:rPr>
        <w:t xml:space="preserve">Gillingham, &amp; </w:t>
      </w:r>
      <w:proofErr w:type="spellStart"/>
      <w:r w:rsidRPr="00D31A9B">
        <w:rPr>
          <w:rFonts w:ascii="Arial" w:hAnsi="Arial" w:cs="Arial"/>
        </w:rPr>
        <w:t>Noizet</w:t>
      </w:r>
      <w:proofErr w:type="spellEnd"/>
      <w:r w:rsidRPr="00D31A9B">
        <w:rPr>
          <w:rFonts w:ascii="Arial" w:hAnsi="Arial" w:cs="Arial"/>
        </w:rPr>
        <w:t xml:space="preserve">, J. (2007). A response model for the public relations management of a critical incident. Disaster Prevention and Management., 16(4), 545–550. </w:t>
      </w:r>
      <w:hyperlink r:id="rId7" w:history="1">
        <w:r w:rsidRPr="00D31A9B">
          <w:rPr>
            <w:rStyle w:val="Hyperlink"/>
            <w:rFonts w:ascii="Arial" w:hAnsi="Arial" w:cs="Arial"/>
            <w:color w:val="auto"/>
          </w:rPr>
          <w:t>https://doi.org/10.1108/09653560710817020</w:t>
        </w:r>
      </w:hyperlink>
    </w:p>
    <w:p w14:paraId="2AAF9690" w14:textId="77777777" w:rsidR="00D31A9B" w:rsidRPr="00D31A9B" w:rsidRDefault="00D31A9B" w:rsidP="00D31A9B">
      <w:pPr>
        <w:rPr>
          <w:rFonts w:ascii="Arial" w:hAnsi="Arial" w:cs="Arial"/>
        </w:rPr>
      </w:pPr>
    </w:p>
    <w:p w14:paraId="3B7BA571" w14:textId="2D2FDD2B" w:rsidR="00D31A9B" w:rsidRPr="00D31A9B" w:rsidRDefault="00D31A9B" w:rsidP="00D31A9B">
      <w:pPr>
        <w:rPr>
          <w:rStyle w:val="Hyperlink"/>
          <w:rFonts w:ascii="Arial" w:hAnsi="Arial" w:cs="Arial"/>
          <w:color w:val="auto"/>
          <w:shd w:val="clear" w:color="auto" w:fill="FCFCFC"/>
        </w:rPr>
      </w:pPr>
      <w:r w:rsidRPr="00D31A9B">
        <w:rPr>
          <w:rFonts w:ascii="Arial" w:hAnsi="Arial" w:cs="Arial"/>
          <w:shd w:val="clear" w:color="auto" w:fill="FCFCFC"/>
        </w:rPr>
        <w:t xml:space="preserve">Brine, L., </w:t>
      </w:r>
      <w:proofErr w:type="spellStart"/>
      <w:r w:rsidRPr="00D31A9B">
        <w:rPr>
          <w:rFonts w:ascii="Arial" w:hAnsi="Arial" w:cs="Arial"/>
          <w:shd w:val="clear" w:color="auto" w:fill="FCFCFC"/>
        </w:rPr>
        <w:t>Roycroft</w:t>
      </w:r>
      <w:proofErr w:type="spellEnd"/>
      <w:r w:rsidRPr="00D31A9B">
        <w:rPr>
          <w:rFonts w:ascii="Arial" w:hAnsi="Arial" w:cs="Arial"/>
          <w:shd w:val="clear" w:color="auto" w:fill="FCFCFC"/>
        </w:rPr>
        <w:t xml:space="preserve">, M. (2021). Crisis and Disaster Management and Disaster Victim Identification (DVI). In: </w:t>
      </w:r>
      <w:proofErr w:type="spellStart"/>
      <w:r w:rsidRPr="00D31A9B">
        <w:rPr>
          <w:rFonts w:ascii="Arial" w:hAnsi="Arial" w:cs="Arial"/>
          <w:shd w:val="clear" w:color="auto" w:fill="FCFCFC"/>
        </w:rPr>
        <w:t>Roycroft</w:t>
      </w:r>
      <w:proofErr w:type="spellEnd"/>
      <w:r w:rsidRPr="00D31A9B">
        <w:rPr>
          <w:rFonts w:ascii="Arial" w:hAnsi="Arial" w:cs="Arial"/>
          <w:shd w:val="clear" w:color="auto" w:fill="FCFCFC"/>
        </w:rPr>
        <w:t xml:space="preserve">, M., Brine, L. (eds) Modern Police Leadership. Palgrave Macmillan, Cham. </w:t>
      </w:r>
      <w:hyperlink r:id="rId8" w:history="1">
        <w:r w:rsidRPr="00D31A9B">
          <w:rPr>
            <w:rStyle w:val="Hyperlink"/>
            <w:rFonts w:ascii="Arial" w:hAnsi="Arial" w:cs="Arial"/>
            <w:color w:val="auto"/>
            <w:shd w:val="clear" w:color="auto" w:fill="FCFCFC"/>
          </w:rPr>
          <w:t>https://doi.org/10.1007/978-3-030-63930-3_10</w:t>
        </w:r>
      </w:hyperlink>
    </w:p>
    <w:p w14:paraId="20447FB5" w14:textId="77777777" w:rsidR="00D31A9B" w:rsidRPr="00D31A9B" w:rsidRDefault="00D31A9B" w:rsidP="00D31A9B">
      <w:pPr>
        <w:rPr>
          <w:rFonts w:ascii="Arial" w:hAnsi="Arial" w:cs="Arial"/>
          <w:shd w:val="clear" w:color="auto" w:fill="FCFCFC"/>
        </w:rPr>
      </w:pPr>
    </w:p>
    <w:p w14:paraId="1186B1CD" w14:textId="7EE4085C" w:rsidR="00D31A9B" w:rsidRPr="00D31A9B" w:rsidRDefault="00D31A9B" w:rsidP="00D31A9B">
      <w:pPr>
        <w:rPr>
          <w:rFonts w:ascii="Arial" w:hAnsi="Arial" w:cs="Arial"/>
          <w:shd w:val="clear" w:color="auto" w:fill="FFFFFF"/>
        </w:rPr>
      </w:pPr>
      <w:r w:rsidRPr="00D31A9B">
        <w:rPr>
          <w:rFonts w:ascii="Arial" w:hAnsi="Arial" w:cs="Arial"/>
          <w:shd w:val="clear" w:color="auto" w:fill="FFFFFF"/>
        </w:rPr>
        <w:t xml:space="preserve">Wagner, S.L., White, N., Fyfe, T., Matthews, L.R., Randall, C., </w:t>
      </w:r>
      <w:proofErr w:type="spellStart"/>
      <w:r w:rsidRPr="00D31A9B">
        <w:rPr>
          <w:rFonts w:ascii="Arial" w:hAnsi="Arial" w:cs="Arial"/>
          <w:shd w:val="clear" w:color="auto" w:fill="FFFFFF"/>
        </w:rPr>
        <w:t>Regehr</w:t>
      </w:r>
      <w:proofErr w:type="spellEnd"/>
      <w:r w:rsidRPr="00D31A9B">
        <w:rPr>
          <w:rFonts w:ascii="Arial" w:hAnsi="Arial" w:cs="Arial"/>
          <w:shd w:val="clear" w:color="auto" w:fill="FFFFFF"/>
        </w:rPr>
        <w:t>, C., White, M., Alden, L.E., Buys, N., Carey, M.G. and Corneil, W., 2020. Systematic review of posttraumatic stress disorder in police officers following routine work</w:t>
      </w:r>
      <w:r w:rsidRPr="00D31A9B">
        <w:rPr>
          <w:rFonts w:ascii="Cambria Math" w:hAnsi="Cambria Math" w:cs="Cambria Math"/>
          <w:shd w:val="clear" w:color="auto" w:fill="FFFFFF"/>
        </w:rPr>
        <w:t>‐</w:t>
      </w:r>
      <w:r w:rsidRPr="00D31A9B">
        <w:rPr>
          <w:rFonts w:ascii="Arial" w:hAnsi="Arial" w:cs="Arial"/>
          <w:shd w:val="clear" w:color="auto" w:fill="FFFFFF"/>
        </w:rPr>
        <w:t>related critical incident exposure. </w:t>
      </w:r>
      <w:r w:rsidRPr="00D31A9B">
        <w:rPr>
          <w:rFonts w:ascii="Arial" w:hAnsi="Arial" w:cs="Arial"/>
          <w:i/>
          <w:iCs/>
          <w:shd w:val="clear" w:color="auto" w:fill="FFFFFF"/>
        </w:rPr>
        <w:t>American Journal of Industrial Medicine</w:t>
      </w:r>
      <w:r w:rsidRPr="00D31A9B">
        <w:rPr>
          <w:rFonts w:ascii="Arial" w:hAnsi="Arial" w:cs="Arial"/>
          <w:shd w:val="clear" w:color="auto" w:fill="FFFFFF"/>
        </w:rPr>
        <w:t>, </w:t>
      </w:r>
      <w:r w:rsidRPr="00D31A9B">
        <w:rPr>
          <w:rFonts w:ascii="Arial" w:hAnsi="Arial" w:cs="Arial"/>
          <w:i/>
          <w:iCs/>
          <w:shd w:val="clear" w:color="auto" w:fill="FFFFFF"/>
        </w:rPr>
        <w:t>63</w:t>
      </w:r>
      <w:r w:rsidRPr="00D31A9B">
        <w:rPr>
          <w:rFonts w:ascii="Arial" w:hAnsi="Arial" w:cs="Arial"/>
          <w:shd w:val="clear" w:color="auto" w:fill="FFFFFF"/>
        </w:rPr>
        <w:t>(7), pp.600-615.</w:t>
      </w:r>
    </w:p>
    <w:p w14:paraId="0D21A7D0" w14:textId="77777777" w:rsidR="00D31A9B" w:rsidRPr="00D31A9B" w:rsidRDefault="00D31A9B" w:rsidP="00D31A9B">
      <w:pPr>
        <w:rPr>
          <w:rFonts w:ascii="Arial" w:hAnsi="Arial" w:cs="Arial"/>
          <w:shd w:val="clear" w:color="auto" w:fill="FFFFFF"/>
        </w:rPr>
      </w:pPr>
    </w:p>
    <w:p w14:paraId="775FBF77" w14:textId="77777777" w:rsidR="00D31A9B" w:rsidRPr="00D31A9B" w:rsidRDefault="00D31A9B" w:rsidP="00D31A9B">
      <w:pPr>
        <w:rPr>
          <w:rFonts w:ascii="Arial" w:hAnsi="Arial" w:cs="Arial"/>
        </w:rPr>
      </w:pPr>
      <w:r w:rsidRPr="00D31A9B">
        <w:rPr>
          <w:rFonts w:ascii="Arial" w:hAnsi="Arial" w:cs="Arial"/>
        </w:rPr>
        <w:t xml:space="preserve">Brewin, C.R., Miller, J.K., </w:t>
      </w:r>
      <w:proofErr w:type="spellStart"/>
      <w:r w:rsidRPr="00D31A9B">
        <w:rPr>
          <w:rFonts w:ascii="Arial" w:hAnsi="Arial" w:cs="Arial"/>
        </w:rPr>
        <w:t>Soffia</w:t>
      </w:r>
      <w:proofErr w:type="spellEnd"/>
      <w:r w:rsidRPr="00D31A9B">
        <w:rPr>
          <w:rFonts w:ascii="Arial" w:hAnsi="Arial" w:cs="Arial"/>
        </w:rPr>
        <w:t xml:space="preserve">, M., Peart, A. and Burchell, B. (2020). Posttraumatic stress disorder and complex posttraumatic stress disorder in UK police officers. </w:t>
      </w:r>
      <w:r w:rsidRPr="00D31A9B">
        <w:rPr>
          <w:rFonts w:ascii="Arial" w:hAnsi="Arial" w:cs="Arial"/>
          <w:i/>
          <w:iCs/>
        </w:rPr>
        <w:t>Psychological Medicine</w:t>
      </w:r>
      <w:r w:rsidRPr="00D31A9B">
        <w:rPr>
          <w:rFonts w:ascii="Arial" w:hAnsi="Arial" w:cs="Arial"/>
        </w:rPr>
        <w:t xml:space="preserve">, 52(7), pp.1–9. </w:t>
      </w:r>
      <w:proofErr w:type="spellStart"/>
      <w:r w:rsidRPr="00D31A9B">
        <w:rPr>
          <w:rFonts w:ascii="Arial" w:hAnsi="Arial" w:cs="Arial"/>
        </w:rPr>
        <w:t>doi:https</w:t>
      </w:r>
      <w:proofErr w:type="spellEnd"/>
      <w:r w:rsidRPr="00D31A9B">
        <w:rPr>
          <w:rFonts w:ascii="Arial" w:hAnsi="Arial" w:cs="Arial"/>
        </w:rPr>
        <w:t>://doi.org/10.1017/s0033291720003025.</w:t>
      </w:r>
    </w:p>
    <w:p w14:paraId="2F4128B3" w14:textId="77777777" w:rsidR="00D31A9B" w:rsidRPr="00D31A9B" w:rsidRDefault="00D31A9B" w:rsidP="00D31A9B">
      <w:pPr>
        <w:rPr>
          <w:rFonts w:ascii="Arial" w:hAnsi="Arial" w:cs="Arial"/>
        </w:rPr>
      </w:pPr>
    </w:p>
    <w:p w14:paraId="776F9587" w14:textId="77777777" w:rsidR="00D31A9B" w:rsidRPr="00D31A9B" w:rsidRDefault="00D31A9B" w:rsidP="00D31A9B">
      <w:pPr>
        <w:rPr>
          <w:rFonts w:ascii="Arial" w:hAnsi="Arial" w:cs="Arial"/>
        </w:rPr>
      </w:pPr>
    </w:p>
    <w:p w14:paraId="0EC85355" w14:textId="77777777" w:rsidR="00D31A9B" w:rsidRPr="00D31A9B" w:rsidRDefault="00D31A9B" w:rsidP="00D31A9B">
      <w:pPr>
        <w:pStyle w:val="NoSpacing"/>
        <w:rPr>
          <w:rFonts w:cs="Arial"/>
          <w:szCs w:val="24"/>
        </w:rPr>
      </w:pPr>
      <w:r w:rsidRPr="00D31A9B">
        <w:rPr>
          <w:rFonts w:cs="Arial"/>
          <w:szCs w:val="24"/>
        </w:rPr>
        <w:t xml:space="preserve">IOPC (2022). </w:t>
      </w:r>
      <w:r w:rsidRPr="00D31A9B">
        <w:rPr>
          <w:rFonts w:cs="Arial"/>
          <w:i/>
          <w:iCs/>
          <w:szCs w:val="24"/>
        </w:rPr>
        <w:t>IOPC Public Perceptions Tracker Summary Report, Waves 5.1 -5.3</w:t>
      </w:r>
      <w:r w:rsidRPr="00D31A9B">
        <w:rPr>
          <w:rFonts w:cs="Arial"/>
          <w:szCs w:val="24"/>
        </w:rPr>
        <w:t>. [online] Available at: https://www.policeconduct.gov.uk/sites/default/files/Documents/statistics/IOPC_Yonder_Public_Perceptions_Tracker_Annual_Summary_Report_2021_22_Final.pdf [Accessed 12 Apr. 2023].</w:t>
      </w:r>
    </w:p>
    <w:p w14:paraId="36319DF3" w14:textId="77777777" w:rsidR="00D31A9B" w:rsidRPr="00D31A9B" w:rsidRDefault="00D31A9B" w:rsidP="00D31A9B">
      <w:pPr>
        <w:rPr>
          <w:rFonts w:ascii="Arial" w:hAnsi="Arial" w:cs="Arial"/>
        </w:rPr>
      </w:pPr>
    </w:p>
    <w:p w14:paraId="2885445A" w14:textId="77777777" w:rsidR="00D31A9B" w:rsidRPr="00D31A9B" w:rsidRDefault="00D31A9B" w:rsidP="00D31A9B">
      <w:pPr>
        <w:pStyle w:val="NoSpacing"/>
        <w:rPr>
          <w:rFonts w:cs="Arial"/>
          <w:szCs w:val="24"/>
        </w:rPr>
      </w:pPr>
      <w:r w:rsidRPr="00D31A9B">
        <w:rPr>
          <w:rFonts w:cs="Arial"/>
          <w:szCs w:val="24"/>
        </w:rPr>
        <w:t xml:space="preserve">Statista (2022). </w:t>
      </w:r>
      <w:r w:rsidRPr="00D31A9B">
        <w:rPr>
          <w:rFonts w:cs="Arial"/>
          <w:i/>
          <w:iCs/>
          <w:szCs w:val="24"/>
        </w:rPr>
        <w:t>PCSOs in England and Wales 2003-2017 | Statista</w:t>
      </w:r>
      <w:r w:rsidRPr="00D31A9B">
        <w:rPr>
          <w:rFonts w:cs="Arial"/>
          <w:szCs w:val="24"/>
        </w:rPr>
        <w:t>. [online] Statista. Available at: https://www.statista.com/statistics/382512/number-of-police-community-support-officers-in-england-and-wales-yearly/ [Accessed 15 Apr. 2023].</w:t>
      </w:r>
    </w:p>
    <w:p w14:paraId="1B9BF8B4" w14:textId="77777777" w:rsidR="00D31A9B" w:rsidRPr="00D31A9B" w:rsidRDefault="00D31A9B" w:rsidP="00D31A9B">
      <w:pPr>
        <w:rPr>
          <w:rFonts w:ascii="Arial" w:hAnsi="Arial" w:cs="Arial"/>
        </w:rPr>
      </w:pPr>
    </w:p>
    <w:p w14:paraId="49A0DA38" w14:textId="77777777" w:rsidR="00D31A9B" w:rsidRPr="00D31A9B" w:rsidRDefault="00D31A9B" w:rsidP="00D31A9B">
      <w:pPr>
        <w:pStyle w:val="NoSpacing"/>
        <w:rPr>
          <w:rFonts w:cs="Arial"/>
          <w:szCs w:val="24"/>
        </w:rPr>
      </w:pPr>
      <w:r w:rsidRPr="00D31A9B">
        <w:rPr>
          <w:rFonts w:cs="Arial"/>
          <w:szCs w:val="24"/>
        </w:rPr>
        <w:t xml:space="preserve">Office for National Statistics (2022). </w:t>
      </w:r>
      <w:r w:rsidRPr="00D31A9B">
        <w:rPr>
          <w:rFonts w:cs="Arial"/>
          <w:i/>
          <w:iCs/>
          <w:szCs w:val="24"/>
        </w:rPr>
        <w:t>Gypsies’ and Travellers’ lived experiences, overview, England and Wales - Office for National Statistics</w:t>
      </w:r>
      <w:r w:rsidRPr="00D31A9B">
        <w:rPr>
          <w:rFonts w:cs="Arial"/>
          <w:szCs w:val="24"/>
        </w:rPr>
        <w:t xml:space="preserve">. [online] www.ons.gov.uk. Available at: </w:t>
      </w:r>
      <w:r w:rsidRPr="00D31A9B">
        <w:rPr>
          <w:rFonts w:cs="Arial"/>
          <w:szCs w:val="24"/>
        </w:rPr>
        <w:lastRenderedPageBreak/>
        <w:t>https://www.ons.gov.uk/peoplepopulationandcommunity/culturalidentity/ethnicity/articles/gypsiesandtravellerslivedexperiencesoverviewenglandandwales/2022 [Accessed 27 Apr. 2023].</w:t>
      </w:r>
    </w:p>
    <w:p w14:paraId="3AE08577" w14:textId="77777777" w:rsidR="00D31A9B" w:rsidRPr="00D31A9B" w:rsidRDefault="00D31A9B" w:rsidP="00D31A9B">
      <w:pPr>
        <w:rPr>
          <w:rFonts w:ascii="Arial" w:hAnsi="Arial" w:cs="Arial"/>
        </w:rPr>
      </w:pPr>
    </w:p>
    <w:p w14:paraId="526CE804" w14:textId="77777777" w:rsidR="00D31A9B" w:rsidRPr="00D31A9B" w:rsidRDefault="00D31A9B" w:rsidP="00D31A9B">
      <w:pPr>
        <w:rPr>
          <w:rFonts w:ascii="Arial" w:hAnsi="Arial" w:cs="Arial"/>
        </w:rPr>
      </w:pPr>
      <w:r w:rsidRPr="00D31A9B">
        <w:rPr>
          <w:rFonts w:ascii="Arial" w:hAnsi="Arial" w:cs="Arial"/>
          <w:i/>
          <w:iCs/>
        </w:rPr>
        <w:t>Scrap Metal Dealers Act 2013</w:t>
      </w:r>
      <w:r w:rsidRPr="00D31A9B">
        <w:rPr>
          <w:rFonts w:ascii="Arial" w:hAnsi="Arial" w:cs="Arial"/>
        </w:rPr>
        <w:t>. c. 10. Available at: https://www.legislation.gov.uk/ukpga/2013/10/enacted (Accessed 27 Apr. 2023).</w:t>
      </w:r>
    </w:p>
    <w:p w14:paraId="370DCDBA" w14:textId="77777777" w:rsidR="00D31A9B" w:rsidRPr="00D31A9B" w:rsidRDefault="00D31A9B" w:rsidP="00D31A9B">
      <w:pPr>
        <w:rPr>
          <w:rFonts w:ascii="Arial" w:hAnsi="Arial" w:cs="Arial"/>
        </w:rPr>
      </w:pPr>
    </w:p>
    <w:p w14:paraId="279A1E1B" w14:textId="77777777" w:rsidR="00D31A9B" w:rsidRPr="00D31A9B" w:rsidRDefault="00D31A9B" w:rsidP="00D31A9B">
      <w:pPr>
        <w:rPr>
          <w:rFonts w:ascii="Arial" w:hAnsi="Arial" w:cs="Arial"/>
        </w:rPr>
      </w:pPr>
      <w:r w:rsidRPr="00D31A9B">
        <w:rPr>
          <w:rFonts w:ascii="Arial" w:hAnsi="Arial" w:cs="Arial"/>
        </w:rPr>
        <w:t>Control of Horses Act 2015 c. 23. Available at: https://www.legislation.gov.uk/ukpga/2015/23/section/1/enacted (Accessed 27 Apr. 2023).</w:t>
      </w:r>
    </w:p>
    <w:p w14:paraId="5E81BADD" w14:textId="77777777" w:rsidR="00D31A9B" w:rsidRPr="00D31A9B" w:rsidRDefault="00D31A9B" w:rsidP="00D31A9B">
      <w:pPr>
        <w:rPr>
          <w:rFonts w:ascii="Arial" w:hAnsi="Arial" w:cs="Arial"/>
        </w:rPr>
      </w:pPr>
    </w:p>
    <w:p w14:paraId="31EA8DF2" w14:textId="77777777" w:rsidR="00D31A9B" w:rsidRPr="00D31A9B" w:rsidRDefault="00D31A9B" w:rsidP="00D31A9B">
      <w:pPr>
        <w:pStyle w:val="NoSpacing"/>
        <w:rPr>
          <w:rFonts w:cs="Arial"/>
          <w:szCs w:val="24"/>
        </w:rPr>
      </w:pPr>
      <w:r w:rsidRPr="00D31A9B">
        <w:rPr>
          <w:rFonts w:cs="Arial"/>
          <w:szCs w:val="24"/>
        </w:rPr>
        <w:t xml:space="preserve">The Traveller Movement (2018). </w:t>
      </w:r>
      <w:r w:rsidRPr="00D31A9B">
        <w:rPr>
          <w:rFonts w:cs="Arial"/>
          <w:i/>
          <w:iCs/>
          <w:szCs w:val="24"/>
        </w:rPr>
        <w:t>Policing by consent: Understanding and improving relations between Gypsies, Roma, Irish Travellers and the police</w:t>
      </w:r>
      <w:r w:rsidRPr="00D31A9B">
        <w:rPr>
          <w:rFonts w:cs="Arial"/>
          <w:szCs w:val="24"/>
        </w:rPr>
        <w:t>. [online] Available at: Policing by consent: Understanding and improving relations between Gypsies, Roma, Irish Travellers and the police’ [Accessed 27 Apr. 2023].</w:t>
      </w:r>
    </w:p>
    <w:p w14:paraId="0E5458B4" w14:textId="77777777" w:rsidR="00D31A9B" w:rsidRPr="00D31A9B" w:rsidRDefault="00D31A9B" w:rsidP="00D31A9B">
      <w:pPr>
        <w:rPr>
          <w:rFonts w:ascii="Arial" w:hAnsi="Arial" w:cs="Arial"/>
        </w:rPr>
      </w:pPr>
    </w:p>
    <w:p w14:paraId="54DBB86C" w14:textId="77777777" w:rsidR="00D31A9B" w:rsidRPr="00D31A9B" w:rsidRDefault="00D31A9B" w:rsidP="00D31A9B">
      <w:pPr>
        <w:pStyle w:val="NoSpacing"/>
        <w:rPr>
          <w:rFonts w:cs="Arial"/>
          <w:szCs w:val="24"/>
        </w:rPr>
      </w:pPr>
      <w:r w:rsidRPr="00D31A9B">
        <w:rPr>
          <w:rFonts w:cs="Arial"/>
          <w:szCs w:val="24"/>
        </w:rPr>
        <w:t xml:space="preserve">Citizen Advice (2023). </w:t>
      </w:r>
      <w:r w:rsidRPr="00D31A9B">
        <w:rPr>
          <w:rFonts w:cs="Arial"/>
          <w:i/>
          <w:iCs/>
          <w:szCs w:val="24"/>
        </w:rPr>
        <w:t>Gypsies and Travellers - race discrimination</w:t>
      </w:r>
      <w:r w:rsidRPr="00D31A9B">
        <w:rPr>
          <w:rFonts w:cs="Arial"/>
          <w:szCs w:val="24"/>
        </w:rPr>
        <w:t>. [online] www.citizensadvice.org.uk. Available at: https://www.citizensadvice.org.uk/law-and-courts/discrimination/check-if-youre-protected-from-discrimination/gypsies-and-travellers-race-discrimination/ [Accessed 27 Apr. 2023].</w:t>
      </w:r>
    </w:p>
    <w:p w14:paraId="0C3EE892" w14:textId="77777777" w:rsidR="00D31A9B" w:rsidRPr="00D31A9B" w:rsidRDefault="00D31A9B" w:rsidP="00D31A9B">
      <w:pPr>
        <w:rPr>
          <w:rFonts w:ascii="Arial" w:hAnsi="Arial" w:cs="Arial"/>
        </w:rPr>
      </w:pPr>
    </w:p>
    <w:p w14:paraId="646CDAA4" w14:textId="77777777" w:rsidR="00D31A9B" w:rsidRPr="00D31A9B" w:rsidRDefault="00D31A9B" w:rsidP="00D31A9B">
      <w:pPr>
        <w:pStyle w:val="NoSpacing"/>
        <w:rPr>
          <w:rFonts w:cs="Arial"/>
          <w:szCs w:val="24"/>
        </w:rPr>
      </w:pPr>
      <w:r w:rsidRPr="00D31A9B">
        <w:rPr>
          <w:rFonts w:cs="Arial"/>
          <w:szCs w:val="24"/>
        </w:rPr>
        <w:t xml:space="preserve">Sussex Police (2023). </w:t>
      </w:r>
      <w:r w:rsidRPr="00D31A9B">
        <w:rPr>
          <w:rFonts w:cs="Arial"/>
          <w:i/>
          <w:iCs/>
          <w:szCs w:val="24"/>
        </w:rPr>
        <w:t>Gypsies and travellers</w:t>
      </w:r>
      <w:r w:rsidRPr="00D31A9B">
        <w:rPr>
          <w:rFonts w:cs="Arial"/>
          <w:szCs w:val="24"/>
        </w:rPr>
        <w:t>. https://www.sussex.police.uk/police-forces/sussex-police/areas/au/about-us/governance-and-processes/equality-diversity-inclusion/gypsies-and-travellers/.</w:t>
      </w:r>
    </w:p>
    <w:p w14:paraId="3F0CA8DC" w14:textId="77777777" w:rsidR="00D31A9B" w:rsidRPr="00D31A9B" w:rsidRDefault="00D31A9B" w:rsidP="00D31A9B">
      <w:pPr>
        <w:pStyle w:val="NoSpacing"/>
        <w:rPr>
          <w:rFonts w:cs="Arial"/>
          <w:szCs w:val="24"/>
        </w:rPr>
      </w:pPr>
    </w:p>
    <w:p w14:paraId="63B6CD3F" w14:textId="77777777" w:rsidR="00D31A9B" w:rsidRPr="00D31A9B" w:rsidRDefault="00D31A9B" w:rsidP="00D31A9B">
      <w:pPr>
        <w:pStyle w:val="NoSpacing"/>
        <w:rPr>
          <w:rFonts w:cs="Arial"/>
          <w:szCs w:val="24"/>
        </w:rPr>
      </w:pPr>
      <w:r w:rsidRPr="00D31A9B">
        <w:rPr>
          <w:rFonts w:cs="Arial"/>
          <w:szCs w:val="24"/>
        </w:rPr>
        <w:t>James, Z. (2014). "Fifteen: Policing hate against Gypsies and Travellers: dealing with the dark side". In </w:t>
      </w:r>
      <w:r w:rsidRPr="00D31A9B">
        <w:rPr>
          <w:rStyle w:val="Emphasis"/>
          <w:rFonts w:cs="Arial"/>
          <w:szCs w:val="24"/>
        </w:rPr>
        <w:t>Responding to Hate Crime</w:t>
      </w:r>
      <w:r w:rsidRPr="00D31A9B">
        <w:rPr>
          <w:rFonts w:cs="Arial"/>
          <w:szCs w:val="24"/>
        </w:rPr>
        <w:t>. Bristol, UK: Policy Press. P. 215-230 Retrieved Apr 29, 2023, from </w:t>
      </w:r>
      <w:hyperlink r:id="rId9" w:history="1">
        <w:r w:rsidRPr="00D31A9B">
          <w:rPr>
            <w:rStyle w:val="Hyperlink"/>
            <w:rFonts w:cs="Arial"/>
            <w:color w:val="auto"/>
            <w:szCs w:val="24"/>
          </w:rPr>
          <w:t>https://doi.org/10.51952/9781447308782.ch015</w:t>
        </w:r>
      </w:hyperlink>
    </w:p>
    <w:p w14:paraId="76ECD51B" w14:textId="77777777" w:rsidR="00D31A9B" w:rsidRPr="00D31A9B" w:rsidRDefault="00D31A9B" w:rsidP="00D31A9B">
      <w:pPr>
        <w:pStyle w:val="NoSpacing"/>
        <w:rPr>
          <w:rFonts w:cs="Arial"/>
          <w:szCs w:val="24"/>
        </w:rPr>
      </w:pPr>
    </w:p>
    <w:p w14:paraId="76B86A3C" w14:textId="77777777" w:rsidR="00D31A9B" w:rsidRPr="00D31A9B" w:rsidRDefault="00D31A9B" w:rsidP="00D31A9B">
      <w:pPr>
        <w:pStyle w:val="NoSpacing"/>
        <w:rPr>
          <w:rFonts w:cs="Arial"/>
          <w:szCs w:val="24"/>
        </w:rPr>
      </w:pPr>
      <w:r w:rsidRPr="00D31A9B">
        <w:rPr>
          <w:rFonts w:cs="Arial"/>
          <w:szCs w:val="24"/>
        </w:rPr>
        <w:t xml:space="preserve">Martin, R. (2022). Lethal Force, Legal Consciousness and the Social Field of Policing. Social &amp; Legal Studies, 0(0). </w:t>
      </w:r>
      <w:hyperlink r:id="rId10" w:history="1">
        <w:r w:rsidRPr="00D31A9B">
          <w:rPr>
            <w:rStyle w:val="Hyperlink"/>
            <w:rFonts w:cs="Arial"/>
            <w:color w:val="auto"/>
            <w:szCs w:val="24"/>
          </w:rPr>
          <w:t>https://doi.org/10.1177/09646639221115699</w:t>
        </w:r>
      </w:hyperlink>
    </w:p>
    <w:p w14:paraId="1BD082B3" w14:textId="77777777" w:rsidR="00D31A9B" w:rsidRPr="00D31A9B" w:rsidRDefault="00D31A9B" w:rsidP="00D31A9B">
      <w:pPr>
        <w:pStyle w:val="NoSpacing"/>
        <w:rPr>
          <w:rFonts w:cs="Arial"/>
          <w:szCs w:val="24"/>
        </w:rPr>
      </w:pPr>
    </w:p>
    <w:p w14:paraId="2932CD18" w14:textId="77777777" w:rsidR="00D31A9B" w:rsidRPr="00D31A9B" w:rsidRDefault="00D31A9B" w:rsidP="00D31A9B">
      <w:pPr>
        <w:pStyle w:val="NoSpacing"/>
        <w:rPr>
          <w:rFonts w:cs="Arial"/>
          <w:szCs w:val="24"/>
        </w:rPr>
      </w:pPr>
      <w:r w:rsidRPr="00D31A9B">
        <w:rPr>
          <w:rFonts w:cs="Arial"/>
          <w:szCs w:val="24"/>
        </w:rPr>
        <w:t>GATE Herts (2021). A guide for police officers dealing with hate crime directed at Gypsy Roma and Traveller people. [online] Available at: https://gateherts.org.uk/wp-content/uploads/2021/10/Hatecrime-guidlines-Police-review-J-fin2.pdf [Accessed 15 May 2023].</w:t>
      </w:r>
    </w:p>
    <w:p w14:paraId="1CF2D0D0" w14:textId="77777777" w:rsidR="00D31A9B" w:rsidRPr="00D31A9B" w:rsidRDefault="00D31A9B" w:rsidP="00D31A9B">
      <w:pPr>
        <w:pStyle w:val="NoSpacing"/>
        <w:rPr>
          <w:rFonts w:cs="Arial"/>
          <w:szCs w:val="24"/>
        </w:rPr>
      </w:pPr>
    </w:p>
    <w:p w14:paraId="2A416CCB" w14:textId="77777777" w:rsidR="00D31A9B" w:rsidRPr="00D31A9B" w:rsidRDefault="00D31A9B" w:rsidP="00D31A9B">
      <w:pPr>
        <w:pStyle w:val="NoSpacing"/>
        <w:rPr>
          <w:rFonts w:cs="Arial"/>
          <w:szCs w:val="24"/>
        </w:rPr>
      </w:pPr>
      <w:r w:rsidRPr="00D31A9B">
        <w:rPr>
          <w:rFonts w:cs="Arial"/>
          <w:szCs w:val="24"/>
        </w:rPr>
        <w:t xml:space="preserve">Lorenzo, I. (2019). The Stonewall uprising: 50 years of LGBT history. [online] Stonewall. Available at: </w:t>
      </w:r>
      <w:hyperlink r:id="rId11" w:history="1">
        <w:r w:rsidRPr="00D31A9B">
          <w:rPr>
            <w:rStyle w:val="Hyperlink"/>
            <w:rFonts w:cs="Arial"/>
            <w:color w:val="auto"/>
            <w:szCs w:val="24"/>
          </w:rPr>
          <w:t>https://www.stonewall.org.uk/about-us/news/stonewall-uprising-50-years-lgbt-history</w:t>
        </w:r>
      </w:hyperlink>
      <w:r w:rsidRPr="00D31A9B">
        <w:rPr>
          <w:rFonts w:cs="Arial"/>
          <w:szCs w:val="24"/>
        </w:rPr>
        <w:t>.</w:t>
      </w:r>
    </w:p>
    <w:p w14:paraId="2AF76830" w14:textId="77777777" w:rsidR="00D31A9B" w:rsidRPr="00D31A9B" w:rsidRDefault="00D31A9B" w:rsidP="00D31A9B">
      <w:pPr>
        <w:pStyle w:val="NoSpacing"/>
        <w:rPr>
          <w:rFonts w:cs="Arial"/>
          <w:szCs w:val="24"/>
        </w:rPr>
      </w:pPr>
    </w:p>
    <w:p w14:paraId="7064B501" w14:textId="77777777" w:rsidR="00D31A9B" w:rsidRPr="00D31A9B" w:rsidRDefault="00D31A9B" w:rsidP="00D31A9B">
      <w:pPr>
        <w:pStyle w:val="NoSpacing"/>
        <w:rPr>
          <w:rFonts w:cs="Arial"/>
          <w:szCs w:val="24"/>
        </w:rPr>
      </w:pPr>
      <w:r w:rsidRPr="00D31A9B">
        <w:rPr>
          <w:rFonts w:cs="Arial"/>
          <w:szCs w:val="24"/>
        </w:rPr>
        <w:t xml:space="preserve">Hubbard, L. (2021). the LGBT+ anti-abuse charity Hate Crime Report 2021 Supporting LGBT+ victims of hate crime. [online] Available at: </w:t>
      </w:r>
      <w:hyperlink r:id="rId12" w:history="1">
        <w:r w:rsidRPr="00D31A9B">
          <w:rPr>
            <w:rStyle w:val="Hyperlink"/>
            <w:rFonts w:cs="Arial"/>
            <w:color w:val="auto"/>
            <w:szCs w:val="24"/>
          </w:rPr>
          <w:t>https://galop.org.uk/wp-content/uploads/2021/06/Galop-Hate-Crime-Report-2021-1.pdf</w:t>
        </w:r>
      </w:hyperlink>
      <w:r w:rsidRPr="00D31A9B">
        <w:rPr>
          <w:rFonts w:cs="Arial"/>
          <w:szCs w:val="24"/>
        </w:rPr>
        <w:t>.</w:t>
      </w:r>
    </w:p>
    <w:p w14:paraId="6280D0B6" w14:textId="77777777" w:rsidR="00D31A9B" w:rsidRPr="00D31A9B" w:rsidRDefault="00D31A9B" w:rsidP="00D31A9B">
      <w:pPr>
        <w:pStyle w:val="NoSpacing"/>
        <w:rPr>
          <w:rFonts w:cs="Arial"/>
          <w:szCs w:val="24"/>
        </w:rPr>
      </w:pPr>
    </w:p>
    <w:p w14:paraId="02D3BEF2" w14:textId="77777777" w:rsidR="00D31A9B" w:rsidRPr="00D31A9B" w:rsidRDefault="00D31A9B" w:rsidP="00D31A9B">
      <w:pPr>
        <w:pStyle w:val="NoSpacing"/>
        <w:rPr>
          <w:rFonts w:cs="Arial"/>
          <w:szCs w:val="24"/>
        </w:rPr>
      </w:pPr>
      <w:r w:rsidRPr="00D31A9B">
        <w:rPr>
          <w:rFonts w:cs="Arial"/>
          <w:szCs w:val="24"/>
        </w:rPr>
        <w:t xml:space="preserve">James. (2007). Policing marginal spaces. Criminology &amp; Criminal Justice : CCJ., 7(4), 367–389. </w:t>
      </w:r>
      <w:hyperlink r:id="rId13" w:history="1">
        <w:r w:rsidRPr="00D31A9B">
          <w:rPr>
            <w:rStyle w:val="Hyperlink"/>
            <w:rFonts w:cs="Arial"/>
            <w:color w:val="auto"/>
            <w:szCs w:val="24"/>
          </w:rPr>
          <w:t>https://doi.org/10.1177/1748895807082062</w:t>
        </w:r>
      </w:hyperlink>
    </w:p>
    <w:p w14:paraId="105101D0" w14:textId="77777777" w:rsidR="00D31A9B" w:rsidRPr="00D31A9B" w:rsidRDefault="00D31A9B" w:rsidP="00D31A9B">
      <w:pPr>
        <w:pStyle w:val="NoSpacing"/>
        <w:rPr>
          <w:rFonts w:cs="Arial"/>
          <w:szCs w:val="24"/>
        </w:rPr>
      </w:pPr>
    </w:p>
    <w:p w14:paraId="0EBF4F60" w14:textId="77777777" w:rsidR="00D31A9B" w:rsidRPr="00D31A9B" w:rsidRDefault="00D31A9B" w:rsidP="00D31A9B">
      <w:pPr>
        <w:pStyle w:val="NoSpacing"/>
        <w:rPr>
          <w:rFonts w:cs="Arial"/>
          <w:szCs w:val="24"/>
        </w:rPr>
      </w:pPr>
      <w:r w:rsidRPr="00D31A9B">
        <w:rPr>
          <w:rFonts w:cs="Arial"/>
          <w:szCs w:val="24"/>
        </w:rPr>
        <w:lastRenderedPageBreak/>
        <w:t>Friends, Families and Travellers (2023). Frequently Asked Questions. [online] Friends, Families and Travellers. Available at: https://www.gypsy-traveller.org/about-us/frequently-asked-questions/#:~:text=There%20is%20no%20king%20or [Accessed 15 May 2023].</w:t>
      </w:r>
    </w:p>
    <w:p w14:paraId="5C54D2F1" w14:textId="77777777" w:rsidR="00D31A9B" w:rsidRPr="00D31A9B" w:rsidRDefault="00D31A9B" w:rsidP="00D31A9B">
      <w:pPr>
        <w:rPr>
          <w:rFonts w:ascii="Arial" w:hAnsi="Arial" w:cs="Arial"/>
        </w:rPr>
      </w:pPr>
    </w:p>
    <w:p w14:paraId="3D2D42D0" w14:textId="77777777" w:rsidR="00D31A9B" w:rsidRPr="00D31A9B" w:rsidRDefault="00D31A9B" w:rsidP="00D31A9B">
      <w:pPr>
        <w:pStyle w:val="NoSpacing"/>
        <w:rPr>
          <w:rFonts w:cs="Arial"/>
          <w:szCs w:val="24"/>
        </w:rPr>
      </w:pPr>
      <w:r w:rsidRPr="00D31A9B">
        <w:rPr>
          <w:rFonts w:cs="Arial"/>
          <w:szCs w:val="24"/>
        </w:rPr>
        <w:t xml:space="preserve">West Yorkshire Police (2023). </w:t>
      </w:r>
      <w:r w:rsidRPr="00D31A9B">
        <w:rPr>
          <w:rFonts w:cs="Arial"/>
          <w:i/>
          <w:iCs/>
          <w:szCs w:val="24"/>
        </w:rPr>
        <w:t>Key Individual Network</w:t>
      </w:r>
      <w:r w:rsidRPr="00D31A9B">
        <w:rPr>
          <w:rFonts w:cs="Arial"/>
          <w:szCs w:val="24"/>
        </w:rPr>
        <w:t>. [online] West Yorkshire Police. Available at: https://www.westyorkshire.police.uk/about-us/diversity-equality-and-inclusion/how-you-can-get-involved-west-yorkshire-police/kin#:~:text=A%20KIN%20is%20a%20network [Accessed 15 May 2023].</w:t>
      </w:r>
    </w:p>
    <w:p w14:paraId="0C69088C" w14:textId="77777777" w:rsidR="00D31A9B" w:rsidRPr="00D31A9B" w:rsidRDefault="00D31A9B" w:rsidP="00D31A9B">
      <w:pPr>
        <w:pStyle w:val="NoSpacing"/>
        <w:rPr>
          <w:rFonts w:cs="Arial"/>
          <w:szCs w:val="24"/>
        </w:rPr>
      </w:pPr>
    </w:p>
    <w:p w14:paraId="34799450" w14:textId="77777777" w:rsidR="00D31A9B" w:rsidRPr="00D31A9B" w:rsidRDefault="00D31A9B" w:rsidP="00D31A9B">
      <w:pPr>
        <w:pStyle w:val="NoSpacing"/>
        <w:rPr>
          <w:rFonts w:cs="Arial"/>
          <w:szCs w:val="24"/>
        </w:rPr>
      </w:pPr>
      <w:r w:rsidRPr="00D31A9B">
        <w:rPr>
          <w:rFonts w:cs="Arial"/>
          <w:szCs w:val="24"/>
        </w:rPr>
        <w:t xml:space="preserve">Watkins, R. (2022) </w:t>
      </w:r>
      <w:r w:rsidRPr="00D31A9B">
        <w:rPr>
          <w:rFonts w:cs="Arial"/>
          <w:i/>
          <w:iCs/>
          <w:szCs w:val="24"/>
        </w:rPr>
        <w:t>City Centre KINS</w:t>
      </w:r>
      <w:r w:rsidRPr="00D31A9B">
        <w:rPr>
          <w:rFonts w:cs="Arial"/>
          <w:szCs w:val="24"/>
        </w:rPr>
        <w:t>. Internal report – South Wales Police unpublished.</w:t>
      </w:r>
    </w:p>
    <w:p w14:paraId="373B9668" w14:textId="77777777" w:rsidR="00D31A9B" w:rsidRPr="00D31A9B" w:rsidRDefault="00D31A9B" w:rsidP="00D31A9B">
      <w:pPr>
        <w:pStyle w:val="NoSpacing"/>
        <w:rPr>
          <w:rFonts w:cs="Arial"/>
          <w:szCs w:val="24"/>
        </w:rPr>
      </w:pPr>
    </w:p>
    <w:p w14:paraId="0405E95A" w14:textId="77777777" w:rsidR="00D31A9B" w:rsidRPr="00D31A9B" w:rsidRDefault="00D31A9B" w:rsidP="00D31A9B">
      <w:pPr>
        <w:pStyle w:val="NoSpacing"/>
        <w:rPr>
          <w:rFonts w:cs="Arial"/>
          <w:szCs w:val="24"/>
        </w:rPr>
      </w:pPr>
      <w:r w:rsidRPr="00D31A9B">
        <w:rPr>
          <w:rFonts w:cs="Arial"/>
          <w:szCs w:val="24"/>
        </w:rPr>
        <w:t xml:space="preserve">Pride in London (n.d.). </w:t>
      </w:r>
      <w:r w:rsidRPr="00D31A9B">
        <w:rPr>
          <w:rFonts w:cs="Arial"/>
          <w:i/>
          <w:iCs/>
          <w:szCs w:val="24"/>
        </w:rPr>
        <w:t>Our story</w:t>
      </w:r>
      <w:r w:rsidRPr="00D31A9B">
        <w:rPr>
          <w:rFonts w:cs="Arial"/>
          <w:szCs w:val="24"/>
        </w:rPr>
        <w:t>. [online] Pride in London. Available at: https://prideinlondon.org/about-us/ [Accessed 16 May 2023].</w:t>
      </w:r>
    </w:p>
    <w:p w14:paraId="71D5E5CD" w14:textId="77777777" w:rsidR="00D31A9B" w:rsidRPr="00D31A9B" w:rsidRDefault="00D31A9B" w:rsidP="00D31A9B">
      <w:pPr>
        <w:pStyle w:val="NoSpacing"/>
        <w:rPr>
          <w:rFonts w:cs="Arial"/>
          <w:szCs w:val="24"/>
        </w:rPr>
      </w:pPr>
    </w:p>
    <w:p w14:paraId="35DDEDF2" w14:textId="77777777" w:rsidR="00D31A9B" w:rsidRPr="00D31A9B" w:rsidRDefault="00D31A9B" w:rsidP="00D31A9B">
      <w:pPr>
        <w:pStyle w:val="NoSpacing"/>
        <w:rPr>
          <w:rFonts w:cs="Arial"/>
          <w:szCs w:val="24"/>
        </w:rPr>
      </w:pPr>
      <w:r w:rsidRPr="00D31A9B">
        <w:rPr>
          <w:rFonts w:cs="Arial"/>
          <w:szCs w:val="24"/>
        </w:rPr>
        <w:t xml:space="preserve">The National LGBT+ Police Network (n.d.). </w:t>
      </w:r>
      <w:r w:rsidRPr="00D31A9B">
        <w:rPr>
          <w:rFonts w:cs="Arial"/>
          <w:i/>
          <w:iCs/>
          <w:szCs w:val="24"/>
        </w:rPr>
        <w:t>About Us – The National LGBT Police Network</w:t>
      </w:r>
      <w:r w:rsidRPr="00D31A9B">
        <w:rPr>
          <w:rFonts w:cs="Arial"/>
          <w:szCs w:val="24"/>
        </w:rPr>
        <w:t>. [online] The National LGBT+ Police Network. Available at: https://lgbt.police.uk/about-us/ [Accessed 16 May 2023].</w:t>
      </w:r>
    </w:p>
    <w:p w14:paraId="1DFE3C26" w14:textId="77777777" w:rsidR="00D31A9B" w:rsidRPr="00D31A9B" w:rsidRDefault="00D31A9B" w:rsidP="00D31A9B">
      <w:pPr>
        <w:pStyle w:val="NoSpacing"/>
        <w:rPr>
          <w:rFonts w:cs="Arial"/>
          <w:szCs w:val="24"/>
        </w:rPr>
      </w:pPr>
    </w:p>
    <w:p w14:paraId="3D565279" w14:textId="77777777" w:rsidR="00D31A9B" w:rsidRPr="00D31A9B" w:rsidRDefault="00D31A9B" w:rsidP="00D31A9B">
      <w:pPr>
        <w:pStyle w:val="NoSpacing"/>
        <w:rPr>
          <w:rFonts w:cs="Arial"/>
          <w:szCs w:val="24"/>
        </w:rPr>
      </w:pPr>
      <w:r w:rsidRPr="00D31A9B">
        <w:rPr>
          <w:rFonts w:cs="Arial"/>
          <w:szCs w:val="24"/>
        </w:rPr>
        <w:t xml:space="preserve">LGBT Traveller Pride (2019). </w:t>
      </w:r>
      <w:r w:rsidRPr="00D31A9B">
        <w:rPr>
          <w:rFonts w:cs="Arial"/>
          <w:i/>
          <w:iCs/>
          <w:szCs w:val="24"/>
        </w:rPr>
        <w:t>Pride</w:t>
      </w:r>
      <w:r w:rsidRPr="00D31A9B">
        <w:rPr>
          <w:rFonts w:cs="Arial"/>
          <w:szCs w:val="24"/>
        </w:rPr>
        <w:t>. [online] LGBT Traveller Pride. Available at: https://www.lgbttravellerpride.com/pride [Accessed 16 May 2023].</w:t>
      </w:r>
    </w:p>
    <w:p w14:paraId="33A6CF8A" w14:textId="77777777" w:rsidR="00D31A9B" w:rsidRPr="00D31A9B" w:rsidRDefault="00D31A9B" w:rsidP="00D31A9B">
      <w:pPr>
        <w:pStyle w:val="NoSpacing"/>
        <w:rPr>
          <w:rFonts w:cs="Arial"/>
          <w:szCs w:val="24"/>
        </w:rPr>
      </w:pPr>
    </w:p>
    <w:p w14:paraId="2174A3F9" w14:textId="77777777" w:rsidR="00D31A9B" w:rsidRPr="00D31A9B" w:rsidRDefault="00D31A9B" w:rsidP="00D31A9B">
      <w:pPr>
        <w:pStyle w:val="NoSpacing"/>
        <w:rPr>
          <w:rFonts w:cs="Arial"/>
          <w:szCs w:val="24"/>
        </w:rPr>
      </w:pPr>
      <w:r w:rsidRPr="00D31A9B">
        <w:rPr>
          <w:rFonts w:cs="Arial"/>
          <w:szCs w:val="24"/>
        </w:rPr>
        <w:t xml:space="preserve">College of Policing (2013). </w:t>
      </w:r>
      <w:r w:rsidRPr="00D31A9B">
        <w:rPr>
          <w:rFonts w:cs="Arial"/>
          <w:i/>
          <w:iCs/>
          <w:szCs w:val="24"/>
        </w:rPr>
        <w:t>Engagement</w:t>
      </w:r>
      <w:r w:rsidRPr="00D31A9B">
        <w:rPr>
          <w:rFonts w:cs="Arial"/>
          <w:szCs w:val="24"/>
        </w:rPr>
        <w:t>. [online] College of Policing. Available at: https://www.college.police.uk/app/engagement-and-communication/engagement#community-impact-assessment [Accessed 16 May 2023].</w:t>
      </w:r>
    </w:p>
    <w:p w14:paraId="12C33BD6" w14:textId="77777777" w:rsidR="00D31A9B" w:rsidRPr="00D31A9B" w:rsidRDefault="00D31A9B" w:rsidP="00D31A9B">
      <w:pPr>
        <w:pStyle w:val="NoSpacing"/>
        <w:rPr>
          <w:rFonts w:cs="Arial"/>
          <w:szCs w:val="24"/>
        </w:rPr>
      </w:pPr>
    </w:p>
    <w:p w14:paraId="66DB32F1" w14:textId="77777777" w:rsidR="00D31A9B" w:rsidRPr="00D31A9B" w:rsidRDefault="00D31A9B" w:rsidP="00D31A9B">
      <w:pPr>
        <w:pStyle w:val="NoSpacing"/>
        <w:rPr>
          <w:rFonts w:cs="Arial"/>
          <w:szCs w:val="24"/>
        </w:rPr>
      </w:pPr>
      <w:r w:rsidRPr="00D31A9B">
        <w:rPr>
          <w:rFonts w:cs="Arial"/>
          <w:szCs w:val="24"/>
        </w:rPr>
        <w:t>BMG Research (2018). Public Perceptions of Policing in England and Wales 2018 Public Perceptions of Policing in England and Wales 2018 Prepared for: Her Majesty’s Inspectorate of Constabulary and Fire &amp; Rescue Services Prepared by: BMG Research. [online] Available at: https://www.bmgresearch.co.uk/wp-content/uploads/2019/01/1578-HMICFRS-Public-Perceptions-of-Policing-2018_FINAL.pdf [Accessed 16 May 2023].</w:t>
      </w:r>
    </w:p>
    <w:p w14:paraId="023E3C38" w14:textId="77777777" w:rsidR="00D31A9B" w:rsidRPr="00D31A9B" w:rsidRDefault="00D31A9B" w:rsidP="00D31A9B">
      <w:pPr>
        <w:pStyle w:val="NoSpacing"/>
        <w:rPr>
          <w:rFonts w:cs="Arial"/>
          <w:szCs w:val="24"/>
        </w:rPr>
      </w:pPr>
    </w:p>
    <w:p w14:paraId="2898DCB4" w14:textId="77777777" w:rsidR="00D31A9B" w:rsidRPr="00D31A9B" w:rsidRDefault="00D31A9B" w:rsidP="00D31A9B">
      <w:pPr>
        <w:pStyle w:val="NoSpacing"/>
        <w:rPr>
          <w:rFonts w:cs="Arial"/>
          <w:szCs w:val="24"/>
        </w:rPr>
      </w:pPr>
      <w:proofErr w:type="spellStart"/>
      <w:r w:rsidRPr="00D31A9B">
        <w:rPr>
          <w:rFonts w:cs="Arial"/>
          <w:szCs w:val="24"/>
        </w:rPr>
        <w:t>Stergioulis</w:t>
      </w:r>
      <w:proofErr w:type="spellEnd"/>
      <w:r w:rsidRPr="00D31A9B">
        <w:rPr>
          <w:rFonts w:cs="Arial"/>
          <w:szCs w:val="24"/>
        </w:rPr>
        <w:t xml:space="preserve">, E. (2017). Police and Diversity. </w:t>
      </w:r>
      <w:r w:rsidRPr="00D31A9B">
        <w:rPr>
          <w:rFonts w:cs="Arial"/>
          <w:i/>
          <w:iCs/>
          <w:szCs w:val="24"/>
        </w:rPr>
        <w:t>The Police Journal: Theory, Practice and Principles</w:t>
      </w:r>
      <w:r w:rsidRPr="00D31A9B">
        <w:rPr>
          <w:rFonts w:cs="Arial"/>
          <w:szCs w:val="24"/>
        </w:rPr>
        <w:t xml:space="preserve">, 91(3), pp.264–274. </w:t>
      </w:r>
      <w:proofErr w:type="spellStart"/>
      <w:r w:rsidRPr="00D31A9B">
        <w:rPr>
          <w:rFonts w:cs="Arial"/>
          <w:szCs w:val="24"/>
        </w:rPr>
        <w:t>doi:https</w:t>
      </w:r>
      <w:proofErr w:type="spellEnd"/>
      <w:r w:rsidRPr="00D31A9B">
        <w:rPr>
          <w:rFonts w:cs="Arial"/>
          <w:szCs w:val="24"/>
        </w:rPr>
        <w:t>://doi.org/10.1177/0032258x17721136.</w:t>
      </w:r>
    </w:p>
    <w:p w14:paraId="0B57AD41" w14:textId="77777777" w:rsidR="00D31A9B" w:rsidRPr="00D31A9B" w:rsidRDefault="00D31A9B" w:rsidP="00D31A9B">
      <w:pPr>
        <w:pStyle w:val="NoSpacing"/>
        <w:rPr>
          <w:rFonts w:cs="Arial"/>
          <w:szCs w:val="24"/>
        </w:rPr>
      </w:pPr>
    </w:p>
    <w:p w14:paraId="3D9E4226" w14:textId="77777777" w:rsidR="00D31A9B" w:rsidRPr="00D31A9B" w:rsidRDefault="00D31A9B" w:rsidP="00D31A9B">
      <w:pPr>
        <w:pStyle w:val="NoSpacing"/>
        <w:rPr>
          <w:rFonts w:cs="Arial"/>
          <w:szCs w:val="24"/>
        </w:rPr>
      </w:pPr>
      <w:proofErr w:type="spellStart"/>
      <w:r w:rsidRPr="00D31A9B">
        <w:rPr>
          <w:rFonts w:cs="Arial"/>
          <w:szCs w:val="24"/>
        </w:rPr>
        <w:t>Langness</w:t>
      </w:r>
      <w:proofErr w:type="spellEnd"/>
      <w:r w:rsidRPr="00D31A9B">
        <w:rPr>
          <w:rFonts w:cs="Arial"/>
          <w:szCs w:val="24"/>
        </w:rPr>
        <w:t xml:space="preserve">, M. and Velasco, G. (2020). </w:t>
      </w:r>
      <w:r w:rsidRPr="00D31A9B">
        <w:rPr>
          <w:rFonts w:cs="Arial"/>
          <w:i/>
          <w:iCs/>
          <w:szCs w:val="24"/>
        </w:rPr>
        <w:t>‘No Cops at Pride’: How the Criminal Justice System Harms LGBTQ People</w:t>
      </w:r>
      <w:r w:rsidRPr="00D31A9B">
        <w:rPr>
          <w:rFonts w:cs="Arial"/>
          <w:szCs w:val="24"/>
        </w:rPr>
        <w:t>. [online] Urban Institute. Available at: https://www.urban.org/urban-wire/no-cops-pride-how-criminal-justice-system-harms-lgbtq-people [Accessed 16 May 2023].</w:t>
      </w:r>
    </w:p>
    <w:p w14:paraId="7B5C73BC" w14:textId="77777777" w:rsidR="00D31A9B" w:rsidRPr="00D31A9B" w:rsidRDefault="00D31A9B" w:rsidP="00D31A9B">
      <w:pPr>
        <w:pStyle w:val="NoSpacing"/>
        <w:rPr>
          <w:rFonts w:cs="Arial"/>
          <w:szCs w:val="24"/>
        </w:rPr>
      </w:pPr>
    </w:p>
    <w:p w14:paraId="24D0DB86" w14:textId="77777777" w:rsidR="00D31A9B" w:rsidRPr="00D31A9B" w:rsidRDefault="00D31A9B" w:rsidP="00D31A9B">
      <w:pPr>
        <w:pStyle w:val="NoSpacing"/>
        <w:rPr>
          <w:rFonts w:cs="Arial"/>
          <w:szCs w:val="24"/>
        </w:rPr>
      </w:pPr>
      <w:r w:rsidRPr="00D31A9B">
        <w:rPr>
          <w:rFonts w:cs="Arial"/>
          <w:szCs w:val="24"/>
        </w:rPr>
        <w:t xml:space="preserve">Adamson, D., </w:t>
      </w:r>
      <w:proofErr w:type="spellStart"/>
      <w:r w:rsidRPr="00D31A9B">
        <w:rPr>
          <w:rFonts w:cs="Arial"/>
          <w:szCs w:val="24"/>
        </w:rPr>
        <w:t>Bere</w:t>
      </w:r>
      <w:proofErr w:type="spellEnd"/>
      <w:r w:rsidRPr="00D31A9B">
        <w:rPr>
          <w:rFonts w:cs="Arial"/>
          <w:szCs w:val="24"/>
        </w:rPr>
        <w:t xml:space="preserve">, J., Bevan, J., Dakin, A., Isherwood, N., </w:t>
      </w:r>
      <w:proofErr w:type="spellStart"/>
      <w:r w:rsidRPr="00D31A9B">
        <w:rPr>
          <w:rFonts w:cs="Arial"/>
          <w:szCs w:val="24"/>
        </w:rPr>
        <w:t>Macnamara</w:t>
      </w:r>
      <w:proofErr w:type="spellEnd"/>
      <w:r w:rsidRPr="00D31A9B">
        <w:rPr>
          <w:rFonts w:cs="Arial"/>
          <w:szCs w:val="24"/>
        </w:rPr>
        <w:t xml:space="preserve">, H. and Southall, A. (2018). </w:t>
      </w:r>
      <w:r w:rsidRPr="00D31A9B">
        <w:rPr>
          <w:rFonts w:cs="Arial"/>
          <w:i/>
          <w:iCs/>
          <w:szCs w:val="24"/>
        </w:rPr>
        <w:t>With contributions from A Guide to Effective Community Engagement</w:t>
      </w:r>
      <w:r w:rsidRPr="00D31A9B">
        <w:rPr>
          <w:rFonts w:cs="Arial"/>
          <w:szCs w:val="24"/>
        </w:rPr>
        <w:t>. [online] Available at: https://growthorientedsustainableentrepreneurship.files.wordpress.com/2018/09/cei-a-guide-to-effective-community-engagement.pdf [Accessed 16 May 2023].</w:t>
      </w:r>
    </w:p>
    <w:p w14:paraId="7B8270A1" w14:textId="77777777" w:rsidR="00D31A9B" w:rsidRPr="00D31A9B" w:rsidRDefault="00D31A9B" w:rsidP="00D31A9B">
      <w:pPr>
        <w:pStyle w:val="NoSpacing"/>
        <w:rPr>
          <w:rFonts w:cs="Arial"/>
          <w:szCs w:val="24"/>
        </w:rPr>
      </w:pPr>
    </w:p>
    <w:p w14:paraId="39F8FB7F" w14:textId="77777777" w:rsidR="00CC0216" w:rsidRPr="00D31A9B" w:rsidRDefault="00CC0216">
      <w:pPr>
        <w:rPr>
          <w:rFonts w:ascii="Arial" w:hAnsi="Arial" w:cs="Arial"/>
        </w:rPr>
      </w:pPr>
    </w:p>
    <w:sectPr w:rsidR="00CC0216" w:rsidRPr="00D31A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E40D0"/>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924074897">
    <w:abstractNumId w:val="1"/>
  </w:num>
  <w:num w:numId="2" w16cid:durableId="775561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A9B"/>
    <w:rsid w:val="000941A3"/>
    <w:rsid w:val="00305DCC"/>
    <w:rsid w:val="00B81914"/>
    <w:rsid w:val="00CC0216"/>
    <w:rsid w:val="00D31A9B"/>
    <w:rsid w:val="00F7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5DB3F7"/>
  <w15:chartTrackingRefBased/>
  <w15:docId w15:val="{6EA90E20-186C-4A3B-B46F-A08584EEA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A9B"/>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A9B"/>
    <w:pPr>
      <w:ind w:left="720"/>
      <w:contextualSpacing/>
    </w:pPr>
  </w:style>
  <w:style w:type="character" w:styleId="Hyperlink">
    <w:name w:val="Hyperlink"/>
    <w:basedOn w:val="DefaultParagraphFont"/>
    <w:uiPriority w:val="99"/>
    <w:unhideWhenUsed/>
    <w:rsid w:val="00D31A9B"/>
    <w:rPr>
      <w:color w:val="0000FF"/>
      <w:u w:val="single"/>
    </w:rPr>
  </w:style>
  <w:style w:type="paragraph" w:styleId="NoSpacing">
    <w:name w:val="No Spacing"/>
    <w:uiPriority w:val="1"/>
    <w:qFormat/>
    <w:rsid w:val="00D31A9B"/>
    <w:pPr>
      <w:spacing w:after="0" w:line="240" w:lineRule="auto"/>
    </w:pPr>
    <w:rPr>
      <w:rFonts w:ascii="Arial" w:hAnsi="Arial"/>
      <w:sz w:val="24"/>
    </w:rPr>
  </w:style>
  <w:style w:type="character" w:styleId="Emphasis">
    <w:name w:val="Emphasis"/>
    <w:basedOn w:val="DefaultParagraphFont"/>
    <w:uiPriority w:val="20"/>
    <w:qFormat/>
    <w:rsid w:val="00D31A9B"/>
    <w:rPr>
      <w:i/>
      <w:iCs/>
    </w:rPr>
  </w:style>
  <w:style w:type="character" w:customStyle="1" w:styleId="normaltextrun">
    <w:name w:val="normaltextrun"/>
    <w:basedOn w:val="DefaultParagraphFont"/>
    <w:rsid w:val="00D31A9B"/>
  </w:style>
  <w:style w:type="character" w:customStyle="1" w:styleId="eop">
    <w:name w:val="eop"/>
    <w:basedOn w:val="DefaultParagraphFont"/>
    <w:rsid w:val="00D31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63930-3_10" TargetMode="External"/><Relationship Id="rId13" Type="http://schemas.openxmlformats.org/officeDocument/2006/relationships/hyperlink" Target="https://doi.org/10.1177/1748895807082062" TargetMode="External"/><Relationship Id="rId3" Type="http://schemas.openxmlformats.org/officeDocument/2006/relationships/settings" Target="settings.xml"/><Relationship Id="rId7" Type="http://schemas.openxmlformats.org/officeDocument/2006/relationships/hyperlink" Target="https://doi.org/10.1108/09653560710817020" TargetMode="External"/><Relationship Id="rId12" Type="http://schemas.openxmlformats.org/officeDocument/2006/relationships/hyperlink" Target="https://galop.org.uk/wp-content/uploads/2021/06/Galop-Hate-Crime-Report-2021-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br01.safelinks.protection.outlook.com/?url=https%3A%2F%2Fpolicinginsight.com%2Ffeatures%2Fopinion%2Fwhat-psychology-tells-us-about-the-failure-of-the-emergency-services-at-the-manchester-arena-bombing%2F&amp;data=05%7C01%7CEmma.Thomas%40south-wales.police.uk%7C946e4e05eeec4dff21f408db2c4ce4c3%7C270c2f4dfd0c4f0892a9e5bdd8a87e09%7C0%7C0%7C638152481004512993%7CUnknown%7CTWFpbGZsb3d8eyJWIjoiMC4wLjAwMDAiLCJQIjoiV2luMzIiLCJBTiI6Ik1haWwiLCJXVCI6Mn0%3D%7C3000%7C%7C%7C&amp;sdata=gMmnv5li8fKZjbiBjhQgIzwFKXvsXL82FxXc97LWffA%3D&amp;reserved=0" TargetMode="External"/><Relationship Id="rId11" Type="http://schemas.openxmlformats.org/officeDocument/2006/relationships/hyperlink" Target="https://www.stonewall.org.uk/about-us/news/stonewall-uprising-50-years-lgbt-history"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doi.org/10.1177/09646639221115699" TargetMode="External"/><Relationship Id="rId4" Type="http://schemas.openxmlformats.org/officeDocument/2006/relationships/webSettings" Target="webSettings.xml"/><Relationship Id="rId9" Type="http://schemas.openxmlformats.org/officeDocument/2006/relationships/hyperlink" Target="https://doi.org/10.51952/9781447308782.ch0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5236</Words>
  <Characters>29850</Characters>
  <Application>Microsoft Office Word</Application>
  <DocSecurity>0</DocSecurity>
  <Lines>248</Lines>
  <Paragraphs>70</Paragraphs>
  <ScaleCrop>false</ScaleCrop>
  <Company/>
  <LinksUpToDate>false</LinksUpToDate>
  <CharactersWithSpaces>35016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Thomas,Emma swp8099</dc:creator>
  <cp:keywords/>
  <dc:description/>
  <cp:lastModifiedBy>Thomas,Emma swp8099</cp:lastModifiedBy>
  <cp:revision>2</cp:revision>
  <dcterms:created xsi:type="dcterms:W3CDTF">2023-05-22T01:51:00Z</dcterms:created>
  <dcterms:modified xsi:type="dcterms:W3CDTF">2023-05-22T02:00:00Z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2023-05-22T01:51:08Z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26ca15bd-6284-4d0a-8e32-2d7e741da1f7</vt:lpwstr>
  </property>
  <property fmtid="{D5CDD505-2E9C-101B-9397-08002B2CF9AE}" pid="8" name="MSIP_Label_66cf8fe5-b7b7-4df7-b38d-1c61ac2f6639_ContentBits">
    <vt:lpwstr>0</vt:lpwstr>
  </property>
</Properties>
</file>