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314A29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5A0E33">
              <w:rPr>
                <w:b/>
                <w:color w:val="auto"/>
                <w:sz w:val="32"/>
              </w:rPr>
              <w:t>Benjamin John Howells</w:t>
            </w:r>
            <w:r>
              <w:rPr>
                <w:b/>
                <w:color w:val="auto"/>
                <w:sz w:val="32"/>
              </w:rPr>
              <w:t>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5BD9D07" w:rsidR="00575A8F" w:rsidRDefault="00575A8F" w:rsidP="00E6298B">
            <w:pPr>
              <w:overflowPunct/>
              <w:autoSpaceDE/>
              <w:autoSpaceDN/>
              <w:adjustRightInd/>
              <w:ind w:right="107"/>
              <w:textAlignment w:val="auto"/>
              <w:rPr>
                <w:b/>
                <w:color w:val="auto"/>
                <w:sz w:val="32"/>
              </w:rPr>
            </w:pPr>
            <w:r>
              <w:rPr>
                <w:b/>
                <w:color w:val="auto"/>
                <w:sz w:val="32"/>
              </w:rPr>
              <w:t>_</w:t>
            </w:r>
            <w:r w:rsidR="005A0E33">
              <w:rPr>
                <w:b/>
                <w:color w:val="auto"/>
                <w:sz w:val="32"/>
              </w:rPr>
              <w:t>2236203</w:t>
            </w:r>
            <w:r>
              <w:rPr>
                <w:b/>
                <w:color w:val="auto"/>
                <w:sz w:val="32"/>
              </w:rPr>
              <w:t>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A51B0A3" w14:textId="77777777" w:rsidR="005A0E33" w:rsidRPr="005A0E33" w:rsidRDefault="005A0E33" w:rsidP="005A0E33">
      <w:pPr>
        <w:rPr>
          <w14:ligatures w14:val="standardContextual"/>
        </w:rPr>
      </w:pPr>
      <w:r w:rsidRPr="005A0E33">
        <w:rPr>
          <w14:ligatures w14:val="standardContextual"/>
        </w:rPr>
        <w:t>I will discuss and compare the coping strategies I have applied to develop resilience and minimise stress during the 6-month training period. I will utilise the Gibbs Reflective Cycle (Gibbs 1988) to understand what I’ve learned from each strategy and how it impacted upon my resilience and stress levels. The Gibbs Model is comprised of five stages:</w:t>
      </w:r>
    </w:p>
    <w:p w14:paraId="6AF21E8D" w14:textId="77777777" w:rsidR="005A0E33" w:rsidRPr="005A0E33" w:rsidRDefault="005A0E33" w:rsidP="005A0E33">
      <w:pPr>
        <w:rPr>
          <w14:ligatures w14:val="standardContextual"/>
        </w:rPr>
      </w:pPr>
    </w:p>
    <w:p w14:paraId="658AF00C" w14:textId="77777777" w:rsidR="005A0E33" w:rsidRPr="005A0E33" w:rsidRDefault="005A0E33" w:rsidP="005A0E33">
      <w:pPr>
        <w:numPr>
          <w:ilvl w:val="0"/>
          <w:numId w:val="52"/>
        </w:numPr>
        <w:contextualSpacing/>
        <w:rPr>
          <w14:ligatures w14:val="standardContextual"/>
        </w:rPr>
      </w:pPr>
      <w:r w:rsidRPr="005A0E33">
        <w:rPr>
          <w14:ligatures w14:val="standardContextual"/>
        </w:rPr>
        <w:t xml:space="preserve">Description </w:t>
      </w:r>
    </w:p>
    <w:p w14:paraId="1E27DAB2" w14:textId="77777777" w:rsidR="005A0E33" w:rsidRPr="005A0E33" w:rsidRDefault="005A0E33" w:rsidP="005A0E33">
      <w:pPr>
        <w:numPr>
          <w:ilvl w:val="0"/>
          <w:numId w:val="52"/>
        </w:numPr>
        <w:contextualSpacing/>
        <w:rPr>
          <w14:ligatures w14:val="standardContextual"/>
        </w:rPr>
      </w:pPr>
      <w:r w:rsidRPr="005A0E33">
        <w:rPr>
          <w14:ligatures w14:val="standardContextual"/>
        </w:rPr>
        <w:t>Feelings</w:t>
      </w:r>
    </w:p>
    <w:p w14:paraId="79FDAC70" w14:textId="77777777" w:rsidR="005A0E33" w:rsidRPr="005A0E33" w:rsidRDefault="005A0E33" w:rsidP="005A0E33">
      <w:pPr>
        <w:numPr>
          <w:ilvl w:val="0"/>
          <w:numId w:val="52"/>
        </w:numPr>
        <w:contextualSpacing/>
        <w:rPr>
          <w14:ligatures w14:val="standardContextual"/>
        </w:rPr>
      </w:pPr>
      <w:r w:rsidRPr="005A0E33">
        <w:rPr>
          <w14:ligatures w14:val="standardContextual"/>
        </w:rPr>
        <w:t xml:space="preserve">Evaluation </w:t>
      </w:r>
    </w:p>
    <w:p w14:paraId="13CD335C" w14:textId="77777777" w:rsidR="005A0E33" w:rsidRPr="005A0E33" w:rsidRDefault="005A0E33" w:rsidP="005A0E33">
      <w:pPr>
        <w:numPr>
          <w:ilvl w:val="0"/>
          <w:numId w:val="52"/>
        </w:numPr>
        <w:contextualSpacing/>
        <w:rPr>
          <w14:ligatures w14:val="standardContextual"/>
        </w:rPr>
      </w:pPr>
      <w:r w:rsidRPr="005A0E33">
        <w:rPr>
          <w14:ligatures w14:val="standardContextual"/>
        </w:rPr>
        <w:t xml:space="preserve">Conclusions </w:t>
      </w:r>
    </w:p>
    <w:p w14:paraId="42380ED6" w14:textId="77777777" w:rsidR="005A0E33" w:rsidRPr="005A0E33" w:rsidRDefault="005A0E33" w:rsidP="005A0E33">
      <w:pPr>
        <w:numPr>
          <w:ilvl w:val="0"/>
          <w:numId w:val="52"/>
        </w:numPr>
        <w:contextualSpacing/>
        <w:rPr>
          <w14:ligatures w14:val="standardContextual"/>
        </w:rPr>
      </w:pPr>
      <w:r w:rsidRPr="005A0E33">
        <w:rPr>
          <w14:ligatures w14:val="standardContextual"/>
        </w:rPr>
        <w:t xml:space="preserve">Action </w:t>
      </w:r>
    </w:p>
    <w:p w14:paraId="7B9E0D57" w14:textId="77777777" w:rsidR="005A0E33" w:rsidRPr="005A0E33" w:rsidRDefault="005A0E33" w:rsidP="005A0E33">
      <w:pPr>
        <w:rPr>
          <w14:ligatures w14:val="standardContextual"/>
        </w:rPr>
      </w:pPr>
    </w:p>
    <w:p w14:paraId="7972CE7E" w14:textId="77777777" w:rsidR="005A0E33" w:rsidRPr="005A0E33" w:rsidRDefault="005A0E33" w:rsidP="005A0E33">
      <w:pPr>
        <w:rPr>
          <w14:ligatures w14:val="standardContextual"/>
        </w:rPr>
      </w:pPr>
      <w:r w:rsidRPr="005A0E33">
        <w:rPr>
          <w14:ligatures w14:val="standardContextual"/>
        </w:rPr>
        <w:t xml:space="preserve">I will go through each of these five stages for every coping strategy I applied during the 6-month training period, this will allow me to structure my reflection of how these strategies performed. Finally, I will conclude by comparing these strategies to understand the impact they had on my ability to develop resilience and minimise stress.  </w:t>
      </w:r>
    </w:p>
    <w:p w14:paraId="4468BCC5" w14:textId="77777777" w:rsidR="005A0E33" w:rsidRPr="005A0E33" w:rsidRDefault="005A0E33" w:rsidP="005A0E33">
      <w:pPr>
        <w:rPr>
          <w14:ligatures w14:val="standardContextual"/>
        </w:rPr>
      </w:pPr>
    </w:p>
    <w:p w14:paraId="011EBB4B" w14:textId="77777777" w:rsidR="005A0E33" w:rsidRPr="005A0E33" w:rsidRDefault="005A0E33" w:rsidP="005A0E33">
      <w:pPr>
        <w:rPr>
          <w14:ligatures w14:val="standardContextual"/>
        </w:rPr>
      </w:pPr>
      <w:r w:rsidRPr="005A0E33">
        <w:rPr>
          <w14:ligatures w14:val="standardContextual"/>
        </w:rPr>
        <w:t xml:space="preserve">Before reflecting upon each coping strategy, I think it is beneficial to define the key topics I will explore in this essay. The UCLA Semel Institute for Neuroscience and Human Behaviour defines coping strategies as having an “awareness of the stressor, followed by attempts to reduce the negative outcome.” (UCLA Semel Institute for Neuroscience and Human Behaviour 2023) When I reflect upon my initial 6 months training, the stressor presented itself in the form of two exams, several practical assessments, presentations and assessed statement writing. Resilience is understood to be one’s capacity to overcome stress and adversity whilst upholding normal psychological and physical functioning. (Russo et al, Rutter, Southwick and Charney 2012) The World Health Organization defines stress as “a state of worry or mental tension caused by a difficult situation.” (World Health Organisation 2023) </w:t>
      </w:r>
    </w:p>
    <w:p w14:paraId="1303EB0A" w14:textId="77777777" w:rsidR="005A0E33" w:rsidRPr="005A0E33" w:rsidRDefault="005A0E33" w:rsidP="005A0E33">
      <w:pPr>
        <w:rPr>
          <w14:ligatures w14:val="standardContextual"/>
        </w:rPr>
      </w:pPr>
    </w:p>
    <w:p w14:paraId="185C9A5B" w14:textId="74FC6788" w:rsidR="005A0E33" w:rsidRPr="005A0E33" w:rsidRDefault="005A0E33" w:rsidP="005A0E33">
      <w:pPr>
        <w:rPr>
          <w:color w:val="auto"/>
          <w14:ligatures w14:val="standardContextual"/>
        </w:rPr>
      </w:pPr>
      <w:r w:rsidRPr="005A0E33">
        <w:rPr>
          <w14:ligatures w14:val="standardContextual"/>
        </w:rPr>
        <w:t xml:space="preserve">In taking the cited definition of coping strategies, one of my most consistent attempts throughout the six months to reduce stress and develop resilience was to exercise, specifically by strength training. I have been passionate about strength training for several years. It typically involves using weights as a resistance to build strength and muscle mass, examples of which include the barbell squat, bench press, deadlift and overhead press to name a few. Whenever I train this way, I always feel energised and positive afterwards, in fact studies have shown that exercise releases endorphins and reduces stress hormones such as cortisol and adrenaline. (Harvard Health Publishing 2020) This type of training was beneficial in the pursuit of my goals as I was able to utilise </w:t>
      </w:r>
      <w:r w:rsidRPr="005A0E33">
        <w:rPr>
          <w:color w:val="auto"/>
          <w14:ligatures w14:val="standardContextual"/>
        </w:rPr>
        <w:t xml:space="preserve">the progressive overload method to gradually increase the weight used on each exercise, resulting in steady improvements in strength. Also, recent psychological research suggests that the brain reacts to stressful situations and better prepares you for the next time you encounter a similar situation. This process is referred to as stress inoculation and suggests that voluntary exposure to stressful experiences enables you to learn and grow from them. (William J Kraemer, Nicholas A </w:t>
      </w:r>
      <w:r w:rsidRPr="005A0E33">
        <w:rPr>
          <w:color w:val="auto"/>
          <w14:ligatures w14:val="standardContextual"/>
        </w:rPr>
        <w:t>Radames</w:t>
      </w:r>
      <w:r w:rsidRPr="005A0E33">
        <w:rPr>
          <w:color w:val="auto"/>
          <w14:ligatures w14:val="standardContextual"/>
        </w:rPr>
        <w:t xml:space="preserve">, Duncan N French 2002) Conversely, I would sometimes become obsessive with my progression which sometimes led me to prioritise training over spending time with family and friends. If faced with these circumstances in the future I would </w:t>
      </w:r>
      <w:r w:rsidRPr="005A0E33">
        <w:rPr>
          <w:color w:val="auto"/>
          <w14:ligatures w14:val="standardContextual"/>
        </w:rPr>
        <w:lastRenderedPageBreak/>
        <w:t xml:space="preserve">ensure to create a schedule to better organise my training sessions to allow for more time with friends and family. </w:t>
      </w:r>
    </w:p>
    <w:p w14:paraId="339A4B1F" w14:textId="77777777" w:rsidR="005A0E33" w:rsidRPr="005A0E33" w:rsidRDefault="005A0E33" w:rsidP="005A0E33">
      <w:pPr>
        <w:rPr>
          <w14:ligatures w14:val="standardContextual"/>
        </w:rPr>
      </w:pPr>
    </w:p>
    <w:p w14:paraId="4140ACFB" w14:textId="77777777" w:rsidR="005A0E33" w:rsidRPr="005A0E33" w:rsidRDefault="005A0E33" w:rsidP="005A0E33">
      <w:pPr>
        <w:rPr>
          <w14:ligatures w14:val="standardContextual"/>
        </w:rPr>
      </w:pPr>
      <w:r w:rsidRPr="005A0E33">
        <w:rPr>
          <w14:ligatures w14:val="standardContextual"/>
        </w:rPr>
        <w:t xml:space="preserve">Another key coping strategy applied throughout my initial 6 months training was to engage in supportive relationships with my fellow students. Myself and my colleagues regularly met after working hours and on rest days to study and air our concerns regarding the upcoming exams and assessments. I found these sessions were a powerful tool in reducing my stress levels and allowed me to compartmentalise my worries and tackle them individually. Contemporary psychology recognises that face to face interaction and socialisation reduces stress by activating neurotransmitters that regulate stress and anxiety. (Susan Pinker 2018) Furthermore, socialisation can help employees of an organisation recover from work related stress and lessen the strain of work-related demand (Oerlemans et al., 2014). What worked particularly well when we met was the knowledge we shared with each other, if someone was struggling with a particular topic or query, we were able to resolve it as a team. Also, by meeting regularly we got to know each other at a faster rate, so the socialisation was also a positive factor of meeting up regularly outside of work. On the other hand, some people found these sessions were inconvenient and unnecessary as they were being held outside of working hours. In addition, some students were frustrated that others attending the meetings were not contributing as much as they should. A survey conducted by law students at Murdoch University in Perth, Western Australia found that 83% of respondents disagreed with asked if all group members contribute equally to project. (Archie Zariski 1997) Upon reflection I feel that I could have been more organised and encouraged the sessions to occur on days that were convenient for everyone. Additionally, it may have been more beneficial to have prepared an agenda for each session to make the meetings more productive. Going forward, when involved in a task with my colleagues I will be more thoughtful and consider everyone’s needs and daily schedules before arranging the sessions. </w:t>
      </w:r>
    </w:p>
    <w:p w14:paraId="6938EAAA" w14:textId="77777777" w:rsidR="005A0E33" w:rsidRPr="005A0E33" w:rsidRDefault="005A0E33" w:rsidP="005A0E33">
      <w:pPr>
        <w:rPr>
          <w14:ligatures w14:val="standardContextual"/>
        </w:rPr>
      </w:pPr>
    </w:p>
    <w:p w14:paraId="478F7D3C" w14:textId="77777777" w:rsidR="005A0E33" w:rsidRPr="005A0E33" w:rsidRDefault="005A0E33" w:rsidP="005A0E33">
      <w:pPr>
        <w:rPr>
          <w14:ligatures w14:val="standardContextual"/>
        </w:rPr>
      </w:pPr>
      <w:r w:rsidRPr="005A0E33">
        <w:rPr>
          <w14:ligatures w14:val="standardContextual"/>
        </w:rPr>
        <w:t xml:space="preserve">In summary, the two strategies discussed in this essay were the primary tools I used to reduce stress and develop my resilience in the initial 6 months of learning as a police constable. Strength training was effective as it offered physiological benefits such as the release of endorphins, confidence in being physically fit and a sense of being better prepared for stress. Now that I am out on division as an operational police officer, I will reduce the amount of training sessions I do. This will enable me to spend more time with my family and friends and keep up with the physical demands of the job. Whereas my engagement in supportive relationships with colleagues offered more physiological and emotional benefits. Regularly meeting with colleagues reassured me that I was not the only one feeling stressed, it allowed me to communicate my concerns to the group and resolve them as a collective. Now that I am out on division, I will use this experience to engage with my new colleagues and consult with them when confronted with stressful situations. </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26F72B1" w14:textId="77777777" w:rsidR="005A0E33" w:rsidRPr="005A0E33" w:rsidRDefault="005A0E33" w:rsidP="005A0E33">
      <w:pPr>
        <w:rPr>
          <w:color w:val="auto"/>
          <w14:ligatures w14:val="standardContextual"/>
        </w:rPr>
      </w:pPr>
      <w:r w:rsidRPr="005A0E33">
        <w:rPr>
          <w:color w:val="auto"/>
          <w14:ligatures w14:val="standardContextual"/>
        </w:rPr>
        <w:t>Conflict can take many forms in a policing context, from physical confrontation with a member of the public to a dispute with a colleague, there are a variety of policing incidents that may involve conflict. During my short time as a student police officer, I have already attended incidents involving conflict where I was required to use effective communication to resolve them. Within this essay I will critically assess one of these incidents and evaluate my performance, I will do so by utilising a reflective model such as the Driscoll What Model (</w:t>
      </w:r>
      <w:r w:rsidRPr="005A0E33">
        <w:rPr>
          <w:color w:val="333333"/>
          <w:shd w:val="clear" w:color="auto" w:fill="FFFFFF"/>
          <w14:ligatures w14:val="standardContextual"/>
        </w:rPr>
        <w:t xml:space="preserve">Driscoll 2007, p.43) </w:t>
      </w:r>
      <w:r w:rsidRPr="005A0E33">
        <w:rPr>
          <w:color w:val="auto"/>
          <w14:ligatures w14:val="standardContextual"/>
        </w:rPr>
        <w:t xml:space="preserve">and a conflict management model such as the Thomas-Kilmann Conflict Model (Thomas-Kilmann 1974). In addition I will explore the social and legislative issues within the incident and any cultural, ethnicity and language issues if applicable. </w:t>
      </w:r>
    </w:p>
    <w:p w14:paraId="288FA86D" w14:textId="77777777" w:rsidR="005A0E33" w:rsidRPr="005A0E33" w:rsidRDefault="005A0E33" w:rsidP="005A0E33">
      <w:pPr>
        <w:rPr>
          <w:color w:val="auto"/>
          <w14:ligatures w14:val="standardContextual"/>
        </w:rPr>
      </w:pPr>
    </w:p>
    <w:p w14:paraId="2A3D12F3" w14:textId="77777777" w:rsidR="005A0E33" w:rsidRPr="005A0E33" w:rsidRDefault="005A0E33" w:rsidP="005A0E33">
      <w:pPr>
        <w:rPr>
          <w:bCs/>
          <w:color w:val="auto"/>
        </w:rPr>
      </w:pPr>
      <w:r w:rsidRPr="005A0E33">
        <w:rPr>
          <w:bCs/>
          <w:color w:val="auto"/>
        </w:rPr>
        <w:t xml:space="preserve">To begin the essay I will detail the two academic models I will employ to structure my assessment of the incident and communication skills used. The Driscoll What Model is a method of reflection to assess one’s performance in a particular activity. Initially developed by John Driscoll in 1994, the model comprises of 3 stages: </w:t>
      </w:r>
    </w:p>
    <w:p w14:paraId="040CB458" w14:textId="77777777" w:rsidR="005A0E33" w:rsidRPr="005A0E33" w:rsidRDefault="005A0E33" w:rsidP="005A0E33">
      <w:pPr>
        <w:rPr>
          <w:bCs/>
          <w:color w:val="auto"/>
        </w:rPr>
      </w:pPr>
    </w:p>
    <w:p w14:paraId="766F530E" w14:textId="77777777" w:rsidR="005A0E33" w:rsidRPr="005A0E33" w:rsidRDefault="005A0E33" w:rsidP="005A0E33">
      <w:pPr>
        <w:numPr>
          <w:ilvl w:val="0"/>
          <w:numId w:val="50"/>
        </w:numPr>
        <w:contextualSpacing/>
        <w:rPr>
          <w:bCs/>
          <w:color w:val="auto"/>
        </w:rPr>
      </w:pPr>
      <w:r w:rsidRPr="005A0E33">
        <w:rPr>
          <w:bCs/>
          <w:color w:val="auto"/>
        </w:rPr>
        <w:t>“</w:t>
      </w:r>
      <w:r w:rsidRPr="005A0E33">
        <w:rPr>
          <w:b/>
          <w:color w:val="auto"/>
        </w:rPr>
        <w:t>What</w:t>
      </w:r>
      <w:r w:rsidRPr="005A0E33">
        <w:rPr>
          <w:bCs/>
          <w:color w:val="auto"/>
        </w:rPr>
        <w:t xml:space="preserve">” – This stage simply requires the person to describe the experience that they wish to reflect upon. </w:t>
      </w:r>
    </w:p>
    <w:p w14:paraId="27D23E0B" w14:textId="77777777" w:rsidR="005A0E33" w:rsidRPr="005A0E33" w:rsidRDefault="005A0E33" w:rsidP="005A0E33">
      <w:pPr>
        <w:ind w:left="720"/>
        <w:contextualSpacing/>
        <w:rPr>
          <w:bCs/>
          <w:color w:val="auto"/>
        </w:rPr>
      </w:pPr>
    </w:p>
    <w:p w14:paraId="47A2EC82" w14:textId="77777777" w:rsidR="005A0E33" w:rsidRPr="005A0E33" w:rsidRDefault="005A0E33" w:rsidP="005A0E33">
      <w:pPr>
        <w:numPr>
          <w:ilvl w:val="0"/>
          <w:numId w:val="50"/>
        </w:numPr>
        <w:contextualSpacing/>
        <w:rPr>
          <w:bCs/>
          <w:color w:val="auto"/>
        </w:rPr>
      </w:pPr>
      <w:r w:rsidRPr="005A0E33">
        <w:rPr>
          <w:bCs/>
          <w:color w:val="auto"/>
        </w:rPr>
        <w:t>“</w:t>
      </w:r>
      <w:r w:rsidRPr="005A0E33">
        <w:rPr>
          <w:b/>
          <w:color w:val="auto"/>
        </w:rPr>
        <w:t>So What</w:t>
      </w:r>
      <w:r w:rsidRPr="005A0E33">
        <w:rPr>
          <w:bCs/>
          <w:color w:val="auto"/>
        </w:rPr>
        <w:t xml:space="preserve">” – The second stage asks the person to think about the impact the experience has had on them, how they reacted and what feelings the experience conjured. Additionally it asks the person to reflect on whether their performance was successful or not. </w:t>
      </w:r>
    </w:p>
    <w:p w14:paraId="50582020" w14:textId="77777777" w:rsidR="005A0E33" w:rsidRPr="005A0E33" w:rsidRDefault="005A0E33" w:rsidP="005A0E33">
      <w:pPr>
        <w:rPr>
          <w:bCs/>
          <w:color w:val="auto"/>
        </w:rPr>
      </w:pPr>
    </w:p>
    <w:p w14:paraId="5FD550DA" w14:textId="77777777" w:rsidR="005A0E33" w:rsidRPr="005A0E33" w:rsidRDefault="005A0E33" w:rsidP="005A0E33">
      <w:pPr>
        <w:numPr>
          <w:ilvl w:val="0"/>
          <w:numId w:val="50"/>
        </w:numPr>
        <w:contextualSpacing/>
        <w:rPr>
          <w:bCs/>
          <w:color w:val="auto"/>
        </w:rPr>
      </w:pPr>
      <w:r w:rsidRPr="005A0E33">
        <w:rPr>
          <w:bCs/>
          <w:color w:val="auto"/>
        </w:rPr>
        <w:t>“</w:t>
      </w:r>
      <w:r w:rsidRPr="005A0E33">
        <w:rPr>
          <w:b/>
          <w:color w:val="auto"/>
        </w:rPr>
        <w:t>Now What</w:t>
      </w:r>
      <w:r w:rsidRPr="005A0E33">
        <w:rPr>
          <w:bCs/>
          <w:color w:val="auto"/>
        </w:rPr>
        <w:t xml:space="preserve">” – The final stage is to review the experience and its impact on the person and reflect on what lessons were learnt and how they can be implemented in future situations. </w:t>
      </w:r>
    </w:p>
    <w:p w14:paraId="158BA43F" w14:textId="77777777" w:rsidR="005A0E33" w:rsidRPr="005A0E33" w:rsidRDefault="005A0E33" w:rsidP="005A0E33">
      <w:pPr>
        <w:rPr>
          <w:bCs/>
          <w:color w:val="auto"/>
        </w:rPr>
      </w:pPr>
    </w:p>
    <w:p w14:paraId="2928D1B1" w14:textId="77777777" w:rsidR="005A0E33" w:rsidRPr="005A0E33" w:rsidRDefault="005A0E33" w:rsidP="005A0E33">
      <w:pPr>
        <w:rPr>
          <w:bCs/>
          <w:color w:val="auto"/>
        </w:rPr>
      </w:pPr>
      <w:r w:rsidRPr="005A0E33">
        <w:rPr>
          <w:bCs/>
          <w:color w:val="auto"/>
        </w:rPr>
        <w:t xml:space="preserve">The Thomas-Kilmann Conflict Model (TKI) was designed to address inefficiencies in the way conflict-handling was being assessed. Thomas and Kilmann found that respondents to existing models possessed a social desirability bias and would subconsciously respond and act in ways they thought society would expect them to, rather than how they really would when faced with conflict. The model they developed in 1974 has allegedly negated this bias by placing social desirability at the end of each outcome, so no matter which direction the participant went in they would feel socially desirable, meaning they now chose a direction based solely on its contents. (The Social Desirability Variable in Organizational Research: An Alternative Explanation </w:t>
      </w:r>
      <w:r w:rsidRPr="005A0E33">
        <w:rPr>
          <w:bCs/>
          <w:color w:val="auto"/>
        </w:rPr>
        <w:lastRenderedPageBreak/>
        <w:t>for Reported Findings) Thomas and Kilmann found that in a conflict-handling situation there are two primary metrics; Assertiveness, which is someone’s desire to satisfy their own needs and Cooperativeness which conversely is someone’s desire to satisfy the other person’s needs. Within these two metrics there are 5 behaviours people will display when faced with conflict:</w:t>
      </w:r>
    </w:p>
    <w:p w14:paraId="1E012DBF" w14:textId="77777777" w:rsidR="005A0E33" w:rsidRPr="005A0E33" w:rsidRDefault="005A0E33" w:rsidP="005A0E33">
      <w:pPr>
        <w:rPr>
          <w:bCs/>
          <w:color w:val="auto"/>
        </w:rPr>
      </w:pPr>
    </w:p>
    <w:p w14:paraId="2E44C5F0" w14:textId="77777777" w:rsidR="005A0E33" w:rsidRPr="005A0E33" w:rsidRDefault="005A0E33" w:rsidP="005A0E33">
      <w:pPr>
        <w:numPr>
          <w:ilvl w:val="0"/>
          <w:numId w:val="51"/>
        </w:numPr>
        <w:contextualSpacing/>
        <w:rPr>
          <w:bCs/>
          <w:color w:val="auto"/>
        </w:rPr>
      </w:pPr>
      <w:r w:rsidRPr="005A0E33">
        <w:rPr>
          <w:b/>
          <w:color w:val="auto"/>
        </w:rPr>
        <w:t>Competing</w:t>
      </w:r>
      <w:r w:rsidRPr="005A0E33">
        <w:rPr>
          <w:bCs/>
          <w:color w:val="auto"/>
        </w:rPr>
        <w:t xml:space="preserve"> (Highly assertive and uncooperative, solely with their own needs in mind)</w:t>
      </w:r>
    </w:p>
    <w:p w14:paraId="1F6A61F4" w14:textId="77777777" w:rsidR="005A0E33" w:rsidRPr="005A0E33" w:rsidRDefault="005A0E33" w:rsidP="005A0E33">
      <w:pPr>
        <w:ind w:left="720" w:firstLine="60"/>
        <w:contextualSpacing/>
        <w:rPr>
          <w:bCs/>
          <w:color w:val="auto"/>
        </w:rPr>
      </w:pPr>
    </w:p>
    <w:p w14:paraId="4F3C9858" w14:textId="77777777" w:rsidR="005A0E33" w:rsidRPr="005A0E33" w:rsidRDefault="005A0E33" w:rsidP="005A0E33">
      <w:pPr>
        <w:numPr>
          <w:ilvl w:val="0"/>
          <w:numId w:val="51"/>
        </w:numPr>
        <w:contextualSpacing/>
        <w:rPr>
          <w:bCs/>
          <w:color w:val="auto"/>
        </w:rPr>
      </w:pPr>
      <w:r w:rsidRPr="005A0E33">
        <w:rPr>
          <w:b/>
          <w:color w:val="auto"/>
        </w:rPr>
        <w:t>Accommodating</w:t>
      </w:r>
      <w:r w:rsidRPr="005A0E33">
        <w:rPr>
          <w:bCs/>
          <w:color w:val="auto"/>
        </w:rPr>
        <w:t xml:space="preserve"> (Highly cooperative and unassertive, solely with the others’ needs in mind)</w:t>
      </w:r>
    </w:p>
    <w:p w14:paraId="62AD457A" w14:textId="77777777" w:rsidR="005A0E33" w:rsidRPr="005A0E33" w:rsidRDefault="005A0E33" w:rsidP="005A0E33">
      <w:pPr>
        <w:rPr>
          <w:bCs/>
          <w:color w:val="auto"/>
        </w:rPr>
      </w:pPr>
    </w:p>
    <w:p w14:paraId="2C4F4D89" w14:textId="77777777" w:rsidR="005A0E33" w:rsidRPr="005A0E33" w:rsidRDefault="005A0E33" w:rsidP="005A0E33">
      <w:pPr>
        <w:numPr>
          <w:ilvl w:val="0"/>
          <w:numId w:val="51"/>
        </w:numPr>
        <w:contextualSpacing/>
        <w:rPr>
          <w:bCs/>
          <w:color w:val="auto"/>
        </w:rPr>
      </w:pPr>
      <w:r w:rsidRPr="005A0E33">
        <w:rPr>
          <w:b/>
          <w:color w:val="auto"/>
        </w:rPr>
        <w:t>Avoiding</w:t>
      </w:r>
      <w:r w:rsidRPr="005A0E33">
        <w:rPr>
          <w:bCs/>
          <w:color w:val="auto"/>
        </w:rPr>
        <w:t xml:space="preserve"> (Uncooperative and Unassertive, withdrawing from the situation entirely)</w:t>
      </w:r>
    </w:p>
    <w:p w14:paraId="795E500A" w14:textId="77777777" w:rsidR="005A0E33" w:rsidRPr="005A0E33" w:rsidRDefault="005A0E33" w:rsidP="005A0E33">
      <w:pPr>
        <w:rPr>
          <w:bCs/>
          <w:color w:val="auto"/>
        </w:rPr>
      </w:pPr>
    </w:p>
    <w:p w14:paraId="32319694" w14:textId="77777777" w:rsidR="005A0E33" w:rsidRPr="005A0E33" w:rsidRDefault="005A0E33" w:rsidP="005A0E33">
      <w:pPr>
        <w:numPr>
          <w:ilvl w:val="0"/>
          <w:numId w:val="51"/>
        </w:numPr>
        <w:contextualSpacing/>
        <w:rPr>
          <w:bCs/>
          <w:color w:val="auto"/>
        </w:rPr>
      </w:pPr>
      <w:r w:rsidRPr="005A0E33">
        <w:rPr>
          <w:b/>
          <w:color w:val="auto"/>
        </w:rPr>
        <w:t>Collaborating</w:t>
      </w:r>
      <w:r w:rsidRPr="005A0E33">
        <w:rPr>
          <w:bCs/>
          <w:color w:val="auto"/>
        </w:rPr>
        <w:t xml:space="preserve"> (Both assertive and cooperative to find a solution)  </w:t>
      </w:r>
    </w:p>
    <w:p w14:paraId="336A8ADA" w14:textId="77777777" w:rsidR="005A0E33" w:rsidRPr="005A0E33" w:rsidRDefault="005A0E33" w:rsidP="005A0E33">
      <w:pPr>
        <w:rPr>
          <w:bCs/>
          <w:color w:val="auto"/>
        </w:rPr>
      </w:pPr>
    </w:p>
    <w:p w14:paraId="195D93EE" w14:textId="77777777" w:rsidR="005A0E33" w:rsidRPr="005A0E33" w:rsidRDefault="005A0E33" w:rsidP="005A0E33">
      <w:pPr>
        <w:numPr>
          <w:ilvl w:val="0"/>
          <w:numId w:val="51"/>
        </w:numPr>
        <w:contextualSpacing/>
        <w:rPr>
          <w:bCs/>
          <w:color w:val="auto"/>
        </w:rPr>
      </w:pPr>
      <w:r w:rsidRPr="005A0E33">
        <w:rPr>
          <w:b/>
          <w:color w:val="auto"/>
        </w:rPr>
        <w:t>Compromising</w:t>
      </w:r>
      <w:r w:rsidRPr="005A0E33">
        <w:rPr>
          <w:bCs/>
          <w:color w:val="auto"/>
        </w:rPr>
        <w:t xml:space="preserve"> (Somewhat assertive and cooperative, attempting to satisfy the needs of both parties) </w:t>
      </w:r>
    </w:p>
    <w:p w14:paraId="3600D6EC" w14:textId="77777777" w:rsidR="005A0E33" w:rsidRPr="005A0E33" w:rsidRDefault="005A0E33" w:rsidP="005A0E33">
      <w:pPr>
        <w:rPr>
          <w:color w:val="auto"/>
          <w14:ligatures w14:val="standardContextual"/>
        </w:rPr>
      </w:pPr>
    </w:p>
    <w:p w14:paraId="5941DDD2" w14:textId="77777777" w:rsidR="005A0E33" w:rsidRPr="005A0E33" w:rsidRDefault="005A0E33" w:rsidP="005A0E33">
      <w:pPr>
        <w:rPr>
          <w:color w:val="auto"/>
          <w14:ligatures w14:val="standardContextual"/>
        </w:rPr>
      </w:pPr>
      <w:r w:rsidRPr="005A0E33">
        <w:rPr>
          <w:color w:val="auto"/>
          <w14:ligatures w14:val="standardContextual"/>
        </w:rPr>
        <w:t xml:space="preserve">The incident I will discuss occurred during my first week of tutorship however for data protection reasons I will omit personal details of all parties involved. I was on duty in full police uniform with a colleague, we were responding to a category 1 call from a distressed member of the public who had witnessed a male hit his partner, a female, over the head with a road sign as they walked past their house. My colleague and I arrived at the scene and a short distance from the call takers address we found a male and a female sitting on a bench looking out onto the road. I instantly noticed that the male was agitated, therefore I initially approached with open body language, meaning I kept a confident stance, held eye contact, and presented positive gestures such as a smile. Owing to the domestic nature of the call we separated the parties so that we could establish both of their accounts as to what happened. The female went a distance away with my colleague whilst I was left with the male to take his account. </w:t>
      </w:r>
    </w:p>
    <w:p w14:paraId="4EE7A312" w14:textId="77777777" w:rsidR="005A0E33" w:rsidRPr="005A0E33" w:rsidRDefault="005A0E33" w:rsidP="005A0E33">
      <w:pPr>
        <w:rPr>
          <w:color w:val="auto"/>
          <w14:ligatures w14:val="standardContextual"/>
        </w:rPr>
      </w:pPr>
    </w:p>
    <w:p w14:paraId="2767C4F4" w14:textId="77777777" w:rsidR="005A0E33" w:rsidRPr="005A0E33" w:rsidRDefault="005A0E33" w:rsidP="005A0E33">
      <w:pPr>
        <w:rPr>
          <w:color w:val="auto"/>
          <w14:ligatures w14:val="standardContextual"/>
        </w:rPr>
      </w:pPr>
      <w:r w:rsidRPr="005A0E33">
        <w:rPr>
          <w:color w:val="auto"/>
          <w14:ligatures w14:val="standardContextual"/>
        </w:rPr>
        <w:t>The male was difficult to talk to and would not engage in my questioning, he remained agitated and unwilling to co-operate. As his mood continued to sour, I thought it best to try and build a human connection between us to build trust and ultimately calm him down.</w:t>
      </w:r>
      <w:r w:rsidRPr="005A0E33">
        <w:rPr>
          <w:color w:val="FF0000"/>
          <w14:ligatures w14:val="standardContextual"/>
        </w:rPr>
        <w:t xml:space="preserve"> </w:t>
      </w:r>
      <w:r w:rsidRPr="005A0E33">
        <w:rPr>
          <w:color w:val="auto"/>
          <w14:ligatures w14:val="standardContextual"/>
        </w:rPr>
        <w:t>I noticed that he was wearing an Arsenal football shirt, a football club I happened to support. I used this as common ground and initially began to discuss football rather than the incident itself to which he reacted positively too and began opening up. Once I had established a rapport with the male, I explained the allegation made against him in an open and honest manner and asked him for his version of events. I was frank about the nature of the allegation and transparent about the consequences of him assaulting his partner with a road sign, explaining that it would result in his arrest for assault. The male then began telling me his side of the story, detailing what happened that day until the time the assault was reported. I ensured to repeat segments of his account back to him and follow with open questions to demonstrate that I was actively listening to his account. After quarter of an hour my colleague approached me and notified me that the female has disclosed an assault on her by the male I was questioning. With this information I placed the male under arrest for common assault, I applied handcuffs to the subject and then carried out search of his outer clothing. Once complete the male was then conveyed to custody where he was detained.</w:t>
      </w:r>
    </w:p>
    <w:p w14:paraId="52FB8F32" w14:textId="77777777" w:rsidR="005A0E33" w:rsidRPr="005A0E33" w:rsidRDefault="005A0E33" w:rsidP="005A0E33">
      <w:pPr>
        <w:rPr>
          <w:color w:val="auto"/>
          <w14:ligatures w14:val="standardContextual"/>
        </w:rPr>
      </w:pPr>
    </w:p>
    <w:p w14:paraId="17B140BE" w14:textId="77777777" w:rsidR="005A0E33" w:rsidRPr="005A0E33" w:rsidRDefault="005A0E33" w:rsidP="005A0E33">
      <w:pPr>
        <w:rPr>
          <w:color w:val="auto"/>
          <w14:ligatures w14:val="standardContextual"/>
        </w:rPr>
      </w:pPr>
      <w:r w:rsidRPr="005A0E33">
        <w:rPr>
          <w:color w:val="auto"/>
          <w14:ligatures w14:val="standardContextual"/>
        </w:rPr>
        <w:t xml:space="preserve">Now that I have described the incident, I will consider what impact the experience had on me, whether I considered it a success and finally what behaviours I displayed in the TKI. Due to the violent nature of the allegation and the male’s initial agitation towards me at the beginning of the encounter, I was feeling tense. I think when reviewing the TKI and my description of the incident, at the beginning I was displaying an Accommodating behaviour, ultimately trying to gain the male’s trust rather than considering my own objectives. As the incident developed, I believe I grew in confidence, I remembered that effective communication is reliant upon building rapport and used our affinity towards Arsenal as a way of building trust between us. Despite possessing an affinity bias towards Arsenal football club, I did not offer preferential treatment and continued to outline the consequences of his alleged actions bluntly but respectfully. At this stage my behaviour on the TKI spectrum moved more towards Collaborating, as I took control of the conversation and enabled the male to disclose his version of events. This shift in behaviour continued into the latter stages of the incident where I had to confidently inform the male he was under arrest and place him in the back of our police vehicle. I believe that from building rapport with the male I developed confidence in my communication and overall handling of the situation that only continued to grow. This notion of psychological momentum can be evidenced in many walks of life, as seen in team or individual sports the importance of psychological momentum cannot be understated. For example, the 2022/23 Premier League football season saw Manchester City come back to win the league from an eight-point deficit by winning eleven games in </w:t>
      </w:r>
      <w:r w:rsidRPr="005A0E33">
        <w:rPr>
          <w:color w:val="auto"/>
          <w14:ligatures w14:val="standardContextual"/>
        </w:rPr>
        <w:lastRenderedPageBreak/>
        <w:t>succession. Psychological momentum is defined as “a psychological force in which several factors or qualities converge in a synergistic way to enable one to perform at a level not ordinarily possible”</w:t>
      </w:r>
      <w:r w:rsidRPr="005A0E33">
        <w:rPr>
          <w14:ligatures w14:val="standardContextual"/>
        </w:rPr>
        <w:t xml:space="preserve"> </w:t>
      </w:r>
      <w:r w:rsidRPr="005A0E33">
        <w:rPr>
          <w:color w:val="auto"/>
          <w14:ligatures w14:val="standardContextual"/>
        </w:rPr>
        <w:t xml:space="preserve">(Iso-Ahola and Dotson, 2014, p. 20). Whilst I do not believe my performance is not ordinarily possible, I do believe that the confidence I had in building rapport with the male compounded and allowed me to handle conflict effectively in a collaborative way in using the TKI. </w:t>
      </w:r>
    </w:p>
    <w:p w14:paraId="060D68C2" w14:textId="77777777" w:rsidR="005A0E33" w:rsidRPr="005A0E33" w:rsidRDefault="005A0E33" w:rsidP="005A0E33">
      <w:pPr>
        <w:rPr>
          <w:color w:val="auto"/>
          <w14:ligatures w14:val="standardContextual"/>
        </w:rPr>
      </w:pPr>
    </w:p>
    <w:p w14:paraId="4B7882A3" w14:textId="77777777" w:rsidR="005A0E33" w:rsidRPr="005A0E33" w:rsidRDefault="005A0E33" w:rsidP="005A0E33">
      <w:pPr>
        <w:rPr>
          <w:color w:val="auto"/>
          <w14:ligatures w14:val="standardContextual"/>
        </w:rPr>
      </w:pPr>
      <w:r w:rsidRPr="005A0E33">
        <w:rPr>
          <w:color w:val="auto"/>
          <w14:ligatures w14:val="standardContextual"/>
        </w:rPr>
        <w:t xml:space="preserve">Finally, in applying the final stage of Driscoll’s model there are several skills I have acquired that I can take forward and apply to future situations. I now know that it isn’t beneficial to be accommodating in a situation involving conflict, prioritising someone’s intentions over my own can jeopardise my ability to take control of the situation. Furthermore, I have learned that by building a human connection with someone I am able to empower them to trust me and disclose their version of events. Although, I do believe I have not sufficiently developed my ability to find common grounds where there are no obvious means to do so, for example the Arsenal shirt. I will endeavour to focus on this skill as I continue to work and encounter situations involving conflict. </w:t>
      </w:r>
    </w:p>
    <w:p w14:paraId="69388ED7" w14:textId="77777777" w:rsidR="005A0E33" w:rsidRPr="005A0E33" w:rsidRDefault="005A0E33" w:rsidP="005A0E33">
      <w:pPr>
        <w:rPr>
          <w:color w:val="auto"/>
          <w14:ligatures w14:val="standardContextual"/>
        </w:rPr>
      </w:pPr>
    </w:p>
    <w:p w14:paraId="39CCAFF6" w14:textId="77777777" w:rsidR="005A0E33" w:rsidRPr="005A0E33" w:rsidRDefault="005A0E33" w:rsidP="005A0E33">
      <w:pPr>
        <w:rPr>
          <w:bCs/>
          <w:color w:val="auto"/>
        </w:rPr>
      </w:pPr>
      <w:r w:rsidRPr="005A0E33">
        <w:rPr>
          <w:color w:val="auto"/>
          <w14:ligatures w14:val="standardContextual"/>
        </w:rPr>
        <w:t xml:space="preserve">This incident reflects the most common form of crime currently being tackled in the country, domestic violence. Domestic violence made up </w:t>
      </w:r>
      <w:r w:rsidRPr="005A0E33">
        <w:rPr>
          <w:bCs/>
          <w:color w:val="auto"/>
        </w:rPr>
        <w:t>17.1% off all crime recorded in year ending March 2022 (</w:t>
      </w:r>
      <w:r w:rsidRPr="005A0E33">
        <w:rPr>
          <w14:ligatures w14:val="standardContextual"/>
        </w:rPr>
        <w:t>Office for National Statistics 2022</w:t>
      </w:r>
      <w:r w:rsidRPr="005A0E33">
        <w:rPr>
          <w:bCs/>
          <w:color w:val="auto"/>
        </w:rPr>
        <w:t>) and has quickly become one of society’s most sensitive and tragically, commonplace issues. From being continuously highlighted in the national media, various episodes of TV dramas/soaps to children in schools, domestic violence is at the forefront of crime tackled in the UK and abroad. This became even more prevalent during the COVID-19 pandemic when the country was plunged into multiple lockdowns as domestic violence rates jumped by 9% and made up 18.3% off all crime during year ending March 2021. Aptly coined the ‘Shadow pandemic’ the impact of covid-19 restrictions on those vulnerable to domestic abuse was massive. It resulted in a major spike in incidents and consequently a massive social outcry for the police and public alike to look out for the signs of domestic violence. There are also questions marks over the Police’s ability to safeguard victims adequately when DV is reported. (The Guardian, Jamie Grierson 2021) reported that a watchdog found that Police Officers are failing to impose the correct protective measures to safeguard victims of domestic violence. Moreover, research conducted by the Office for National Statistics consulted 1,000 victims of domestic violence and found that 53% of respondents had to report incidents of domestic abuse at least twice before they felt the Police took appropriate action. (</w:t>
      </w:r>
      <w:r w:rsidRPr="005A0E33">
        <w:rPr>
          <w14:ligatures w14:val="standardContextual"/>
        </w:rPr>
        <w:t>Office for National Statistics 2022</w:t>
      </w:r>
      <w:r w:rsidRPr="005A0E33">
        <w:rPr>
          <w:bCs/>
          <w:color w:val="auto"/>
        </w:rPr>
        <w:t>) This was made evident on a national stage in 2019 when the Centre for Women’s Justice (CWJ) made a ‘super complaint’ about the Police’s failure to correctly apply measures put in place to safeguard women and girls. To clarify the nature and enormity of the complaint, the Home Office enables designated organisations to raise issues on behalf of the public for the consideration of HMICFRS, the College of Policing and the IOPC. (Independent Office for Police Conduct, HM Inspectorate of Constabulary and Fire &amp; Rescue Services, and College of Policing 2018)</w:t>
      </w:r>
    </w:p>
    <w:p w14:paraId="7C8752BF" w14:textId="77777777" w:rsidR="005A0E33" w:rsidRPr="005A0E33" w:rsidRDefault="005A0E33" w:rsidP="005A0E33">
      <w:pPr>
        <w:rPr>
          <w:bCs/>
          <w:color w:val="auto"/>
        </w:rPr>
      </w:pPr>
    </w:p>
    <w:p w14:paraId="6E7E562E" w14:textId="77777777" w:rsidR="005A0E33" w:rsidRPr="005A0E33" w:rsidRDefault="005A0E33" w:rsidP="005A0E33">
      <w:pPr>
        <w:rPr>
          <w:bCs/>
          <w:color w:val="auto"/>
        </w:rPr>
      </w:pPr>
      <w:r w:rsidRPr="005A0E33">
        <w:rPr>
          <w:bCs/>
          <w:color w:val="auto"/>
        </w:rPr>
        <w:t>From a legislative perspective domestic violence is a relatively new crime and wasn’t recognised until the introduction of the Domestic Violence and Matrimonial Proceedings Act 1976. It was the first statute created to tackle domestic violence within the UK. Domestic violence is a complex legislative issue with its roots entwined in our misogynistic past, specifically the impositions placed upon women once married. As recent as the 19</w:t>
      </w:r>
      <w:r w:rsidRPr="005A0E33">
        <w:rPr>
          <w:bCs/>
          <w:color w:val="auto"/>
          <w:vertAlign w:val="superscript"/>
        </w:rPr>
        <w:t>th</w:t>
      </w:r>
      <w:r w:rsidRPr="005A0E33">
        <w:rPr>
          <w:bCs/>
          <w:color w:val="auto"/>
        </w:rPr>
        <w:t xml:space="preserve"> century English common law bestowed upon a husband the right to “command his wife’s obedience, and subject her to corporal punishment or ‘chastisement’ if she defied his authority.” (Tuerkheimer, 2004, citing Siegel, 1996) Shortly before this time in 1857 a senior Judge Sir Francis Buller stated that “a husband could thrash his wife with impunity provided that he used a stick no bigger than his thumb" (Shaw 2017) Even until the mid-19</w:t>
      </w:r>
      <w:r w:rsidRPr="005A0E33">
        <w:rPr>
          <w:bCs/>
          <w:color w:val="auto"/>
          <w:vertAlign w:val="superscript"/>
        </w:rPr>
        <w:t>th</w:t>
      </w:r>
      <w:r w:rsidRPr="005A0E33">
        <w:rPr>
          <w:bCs/>
          <w:color w:val="auto"/>
        </w:rPr>
        <w:t xml:space="preserve"> century English common law recognised Coverture, a notion that a woman surrenders her independent legal status and labour to her husband once married. This made it incredibly hard for women to escape domestic abuse, especially seeing as divorce was not available to women until the introduction of The Matrimonial Causes Act 1923. Although, even with this legislation, women still had to prove that the husband was guilty of adultery amongst other wrongdoing. </w:t>
      </w:r>
    </w:p>
    <w:p w14:paraId="7FBD1905" w14:textId="77777777" w:rsidR="005A0E33" w:rsidRPr="005A0E33" w:rsidRDefault="005A0E33" w:rsidP="005A0E33">
      <w:pPr>
        <w:rPr>
          <w:bCs/>
          <w:color w:val="auto"/>
        </w:rPr>
      </w:pPr>
    </w:p>
    <w:p w14:paraId="1475CDD4" w14:textId="77777777" w:rsidR="005A0E33" w:rsidRPr="005A0E33" w:rsidRDefault="005A0E33" w:rsidP="005A0E33">
      <w:pPr>
        <w:rPr>
          <w:bCs/>
          <w:color w:val="auto"/>
        </w:rPr>
      </w:pPr>
      <w:r w:rsidRPr="005A0E33">
        <w:rPr>
          <w:bCs/>
          <w:color w:val="auto"/>
        </w:rPr>
        <w:t xml:space="preserve">To conclude my critical assessment of the policing incident I attended, I used effective communication in the way of rapport building, active listening, open questioning, and confidence to handle the conflict. Owing to its domestic violence element, the incident was socially pertinent and has an extensive legislative history that stretches back centuries into human history.  Overall I believe I played a significant role in the incident, specifically dealing with the agitated male and ultimately demonstrated an ability to use effective communication.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53D8D511" w14:textId="77777777" w:rsidR="00112751" w:rsidRPr="00270EEB" w:rsidRDefault="00112751" w:rsidP="00E6298B">
      <w:pPr>
        <w:ind w:right="107"/>
        <w:jc w:val="both"/>
        <w:rPr>
          <w:sz w:val="24"/>
          <w:szCs w:val="24"/>
        </w:rPr>
      </w:pPr>
    </w:p>
    <w:p w14:paraId="416EFA95" w14:textId="3FB4A9BC" w:rsidR="00025650" w:rsidRPr="00270EEB" w:rsidRDefault="00F21B3C" w:rsidP="00E6298B">
      <w:pPr>
        <w:ind w:right="107"/>
        <w:jc w:val="both"/>
        <w:rPr>
          <w:sz w:val="24"/>
          <w:szCs w:val="24"/>
        </w:rPr>
      </w:pPr>
      <w:r>
        <w:rPr>
          <w:sz w:val="24"/>
          <w:szCs w:val="24"/>
        </w:rPr>
        <w:t>TBC</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4786037F" w:rsidR="006C7CA5" w:rsidRPr="00270EEB" w:rsidRDefault="00F21B3C" w:rsidP="00E6298B">
      <w:pPr>
        <w:ind w:right="107"/>
        <w:jc w:val="both"/>
        <w:rPr>
          <w:sz w:val="24"/>
          <w:szCs w:val="24"/>
        </w:rPr>
      </w:pPr>
      <w:r>
        <w:rPr>
          <w:sz w:val="24"/>
          <w:szCs w:val="24"/>
        </w:rPr>
        <w:t>TBC</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4B1C3CF" w14:textId="340DB104" w:rsid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r w:rsidRPr="007E097B">
        <w:rPr>
          <w:rFonts w:ascii="Calibri" w:hAnsi="Calibri" w:cs="Calibri"/>
          <w:sz w:val="22"/>
          <w:szCs w:val="22"/>
          <w14:ligatures w14:val="standardContextual"/>
        </w:rPr>
        <w:t>Zariski</w:t>
      </w:r>
      <w:r w:rsidR="004E6689">
        <w:rPr>
          <w:rFonts w:ascii="Calibri" w:hAnsi="Calibri" w:cs="Calibri"/>
          <w:sz w:val="22"/>
          <w:szCs w:val="22"/>
          <w14:ligatures w14:val="standardContextual"/>
        </w:rPr>
        <w:t>,</w:t>
      </w:r>
      <w:r w:rsidR="00577B5F">
        <w:rPr>
          <w:rFonts w:ascii="Calibri" w:hAnsi="Calibri" w:cs="Calibri"/>
          <w:sz w:val="22"/>
          <w:szCs w:val="22"/>
          <w14:ligatures w14:val="standardContextual"/>
        </w:rPr>
        <w:t xml:space="preserve"> AZ</w:t>
      </w:r>
      <w:r w:rsidR="004E6689">
        <w:rPr>
          <w:rFonts w:ascii="Calibri" w:hAnsi="Calibri" w:cs="Calibri"/>
          <w:sz w:val="22"/>
          <w:szCs w:val="22"/>
          <w14:ligatures w14:val="standardContextual"/>
        </w:rPr>
        <w:t xml:space="preserve">. </w:t>
      </w:r>
      <w:r w:rsidRPr="007E097B">
        <w:rPr>
          <w:rFonts w:ascii="Calibri" w:hAnsi="Calibri" w:cs="Calibri"/>
          <w:sz w:val="22"/>
          <w:szCs w:val="22"/>
          <w14:ligatures w14:val="standardContextual"/>
        </w:rPr>
        <w:t xml:space="preserve">Murdoch University. 1997. Positive and Negative impacts of group work from the student perspective. Available at </w:t>
      </w:r>
      <w:hyperlink r:id="rId20" w:history="1">
        <w:r w:rsidRPr="007E097B">
          <w:rPr>
            <w:rFonts w:ascii="Calibri" w:hAnsi="Calibri" w:cs="Calibri"/>
            <w:color w:val="0563C1" w:themeColor="hyperlink"/>
            <w:sz w:val="22"/>
            <w:szCs w:val="22"/>
            <w:u w:val="single"/>
            <w14:ligatures w14:val="standardContextual"/>
          </w:rPr>
          <w:t>https://www.researchgate.net/publication/242303703_POSITIVE_AND_NEGATIVE_IMPACTS_OF_GROUP_WORK_FROM_THE_STUDENT_PERSPECTIVE</w:t>
        </w:r>
      </w:hyperlink>
      <w:r w:rsidRPr="007E097B">
        <w:rPr>
          <w:rFonts w:ascii="Calibri" w:hAnsi="Calibri" w:cs="Calibri"/>
          <w:sz w:val="22"/>
          <w:szCs w:val="22"/>
          <w14:ligatures w14:val="standardContextual"/>
        </w:rPr>
        <w:t xml:space="preserve"> </w:t>
      </w:r>
    </w:p>
    <w:p w14:paraId="57210BFE" w14:textId="77777777" w:rsidR="007E097B" w:rsidRP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32B19C7D" w14:textId="6D191F9D" w:rsidR="007E097B" w:rsidRDefault="007E097B" w:rsidP="007E097B">
      <w:pPr>
        <w:overflowPunct/>
        <w:autoSpaceDE/>
        <w:autoSpaceDN/>
        <w:adjustRightInd/>
        <w:spacing w:after="160" w:line="259" w:lineRule="auto"/>
        <w:ind w:left="360"/>
        <w:contextualSpacing/>
        <w:textAlignment w:val="auto"/>
        <w:rPr>
          <w:rFonts w:ascii="Calibri" w:hAnsi="Calibri" w:cs="Calibri"/>
          <w:color w:val="0563C1" w:themeColor="hyperlink"/>
          <w:sz w:val="22"/>
          <w:szCs w:val="22"/>
          <w:u w:val="single"/>
          <w14:ligatures w14:val="standardContextual"/>
        </w:rPr>
      </w:pPr>
      <w:r w:rsidRPr="007E097B">
        <w:rPr>
          <w:rFonts w:ascii="Calibri" w:hAnsi="Calibri" w:cs="Calibri"/>
          <w:sz w:val="22"/>
          <w:szCs w:val="22"/>
          <w14:ligatures w14:val="standardContextual"/>
        </w:rPr>
        <w:t>Clifton B</w:t>
      </w:r>
      <w:r w:rsidR="004E6689">
        <w:rPr>
          <w:rFonts w:ascii="Calibri" w:hAnsi="Calibri" w:cs="Calibri"/>
          <w:sz w:val="22"/>
          <w:szCs w:val="22"/>
          <w14:ligatures w14:val="standardContextual"/>
        </w:rPr>
        <w:t>,</w:t>
      </w:r>
      <w:r w:rsidRPr="007E097B">
        <w:rPr>
          <w:rFonts w:ascii="Calibri" w:hAnsi="Calibri" w:cs="Calibri"/>
          <w:sz w:val="22"/>
          <w:szCs w:val="22"/>
          <w14:ligatures w14:val="standardContextual"/>
        </w:rPr>
        <w:t xml:space="preserve"> Parker. (2015). Embracing stress is more important than reducing stress, Stanford psychologist says. Available at: </w:t>
      </w:r>
      <w:hyperlink r:id="rId21" w:anchor=":~:text=Stress%20leaves%20an%20imprint%20on,and%20body%20a%20stress%20vaccine" w:history="1">
        <w:r w:rsidRPr="007E097B">
          <w:rPr>
            <w:rFonts w:ascii="Calibri" w:hAnsi="Calibri" w:cs="Calibri"/>
            <w:color w:val="0563C1" w:themeColor="hyperlink"/>
            <w:sz w:val="22"/>
            <w:szCs w:val="22"/>
            <w:u w:val="single"/>
            <w14:ligatures w14:val="standardContextual"/>
          </w:rPr>
          <w:t>https://news.stanford.edu/2015/05/07/stress-embrace-mcgonigal050715/#:~:text=Stress%20leaves%20an%20imprint%20on,and%20body%20a%20stress%20vaccine</w:t>
        </w:r>
      </w:hyperlink>
    </w:p>
    <w:p w14:paraId="0FCCBEA8" w14:textId="77777777" w:rsid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7A1FEE07" w14:textId="79DE2227" w:rsidR="004E6689" w:rsidRDefault="004E6689"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r>
        <w:rPr>
          <w:rFonts w:ascii="Calibri" w:hAnsi="Calibri" w:cs="Calibri"/>
          <w:sz w:val="22"/>
          <w:szCs w:val="22"/>
          <w14:ligatures w14:val="standardContextual"/>
        </w:rPr>
        <w:t>Cohut, MC</w:t>
      </w:r>
      <w:r w:rsidR="002E77D4">
        <w:rPr>
          <w:rFonts w:ascii="Calibri" w:hAnsi="Calibri" w:cs="Calibri"/>
          <w:sz w:val="22"/>
          <w:szCs w:val="22"/>
          <w14:ligatures w14:val="standardContextual"/>
        </w:rPr>
        <w:t xml:space="preserve">. (2018) </w:t>
      </w:r>
      <w:r w:rsidR="002E77D4" w:rsidRPr="002E77D4">
        <w:rPr>
          <w:rFonts w:ascii="Calibri" w:hAnsi="Calibri" w:cs="Calibri"/>
          <w:sz w:val="22"/>
          <w:szCs w:val="22"/>
          <w14:ligatures w14:val="standardContextual"/>
        </w:rPr>
        <w:t>What are the health benefits of being social?</w:t>
      </w:r>
      <w:r w:rsidR="002E77D4">
        <w:rPr>
          <w:rFonts w:ascii="Calibri" w:hAnsi="Calibri" w:cs="Calibri"/>
          <w:sz w:val="22"/>
          <w:szCs w:val="22"/>
          <w14:ligatures w14:val="standardContextual"/>
        </w:rPr>
        <w:t xml:space="preserve"> Medical News Today. Available at </w:t>
      </w:r>
      <w:hyperlink r:id="rId22" w:history="1">
        <w:r w:rsidR="002E77D4" w:rsidRPr="00CB4DBD">
          <w:rPr>
            <w:rStyle w:val="Hyperlink"/>
            <w:rFonts w:ascii="Calibri" w:hAnsi="Calibri" w:cs="Calibri"/>
            <w:sz w:val="22"/>
            <w:szCs w:val="22"/>
            <w14:ligatures w14:val="standardContextual"/>
          </w:rPr>
          <w:t>https://www.medicalnewstoday.com/articles/321019</w:t>
        </w:r>
      </w:hyperlink>
      <w:r w:rsidR="002E77D4">
        <w:rPr>
          <w:rFonts w:ascii="Calibri" w:hAnsi="Calibri" w:cs="Calibri"/>
          <w:sz w:val="22"/>
          <w:szCs w:val="22"/>
          <w14:ligatures w14:val="standardContextual"/>
        </w:rPr>
        <w:t xml:space="preserve"> </w:t>
      </w:r>
    </w:p>
    <w:p w14:paraId="5DDE6780" w14:textId="77777777" w:rsidR="004E6689" w:rsidRPr="007E097B" w:rsidRDefault="004E6689"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62CD3B67" w14:textId="77777777" w:rsid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r w:rsidRPr="007E097B">
        <w:rPr>
          <w:rFonts w:ascii="Calibri" w:hAnsi="Calibri" w:cs="Calibri"/>
          <w:sz w:val="22"/>
          <w:szCs w:val="22"/>
          <w14:ligatures w14:val="standardContextual"/>
        </w:rPr>
        <w:t>Cutrona, C.E. and Russell, D.W., 1987. The provisions of social relationships and adaptation to stress. Advances in personal relationships, 1(1), pp.37-67.</w:t>
      </w:r>
    </w:p>
    <w:p w14:paraId="6A888B1E" w14:textId="77777777" w:rsidR="007E097B" w:rsidRP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766CD002" w14:textId="77777777" w:rsid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r w:rsidRPr="007E097B">
        <w:rPr>
          <w:rFonts w:ascii="Calibri" w:hAnsi="Calibri" w:cs="Calibri"/>
          <w:sz w:val="22"/>
          <w:szCs w:val="22"/>
          <w14:ligatures w14:val="standardContextual"/>
        </w:rPr>
        <w:t>Driscoll, J. (2007) Practising clinical supervision: a reflective approach for healthcare professionals. 2nd edn. Edinburgh: Bailliere Tindall Elsevier.</w:t>
      </w:r>
    </w:p>
    <w:p w14:paraId="5ADF9CB0" w14:textId="77777777" w:rsidR="007E097B" w:rsidRDefault="007E097B" w:rsidP="004E6689">
      <w:pPr>
        <w:overflowPunct/>
        <w:autoSpaceDE/>
        <w:autoSpaceDN/>
        <w:adjustRightInd/>
        <w:spacing w:after="160" w:line="259" w:lineRule="auto"/>
        <w:contextualSpacing/>
        <w:textAlignment w:val="auto"/>
        <w:rPr>
          <w:rFonts w:ascii="Calibri" w:hAnsi="Calibri" w:cs="Calibri"/>
          <w:sz w:val="22"/>
          <w:szCs w:val="22"/>
          <w14:ligatures w14:val="standardContextual"/>
        </w:rPr>
      </w:pPr>
    </w:p>
    <w:p w14:paraId="65A9121B" w14:textId="76CABDC8" w:rsidR="007E097B" w:rsidRDefault="007E097B" w:rsidP="007E097B">
      <w:pPr>
        <w:overflowPunct/>
        <w:autoSpaceDE/>
        <w:autoSpaceDN/>
        <w:adjustRightInd/>
        <w:spacing w:after="160" w:line="259" w:lineRule="auto"/>
        <w:ind w:left="360"/>
        <w:contextualSpacing/>
        <w:textAlignment w:val="auto"/>
        <w:rPr>
          <w:rFonts w:ascii="Calibri" w:hAnsi="Calibri" w:cs="Calibri"/>
          <w:color w:val="auto"/>
          <w:sz w:val="22"/>
          <w:szCs w:val="22"/>
          <w14:ligatures w14:val="standardContextual"/>
        </w:rPr>
      </w:pPr>
      <w:r w:rsidRPr="007E097B">
        <w:rPr>
          <w:rFonts w:ascii="Calibri" w:hAnsi="Calibri" w:cs="Calibri"/>
          <w:sz w:val="22"/>
          <w:szCs w:val="22"/>
          <w14:ligatures w14:val="standardContextual"/>
        </w:rPr>
        <w:t xml:space="preserve">Gibbs, G. (1988). Learning by doing: A guide to teaching and learning methods. London: </w:t>
      </w:r>
      <w:r w:rsidRPr="007E097B">
        <w:rPr>
          <w:rFonts w:ascii="Calibri" w:hAnsi="Calibri" w:cs="Calibri"/>
          <w:color w:val="auto"/>
          <w:sz w:val="22"/>
          <w:szCs w:val="22"/>
          <w14:ligatures w14:val="standardContextual"/>
        </w:rPr>
        <w:t>Further Education Unit.</w:t>
      </w:r>
    </w:p>
    <w:p w14:paraId="227C03DF" w14:textId="77777777" w:rsidR="007E097B" w:rsidRP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362B3D12" w14:textId="10C479B7" w:rsid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HAnsi"/>
          <w:color w:val="202124"/>
          <w:kern w:val="2"/>
          <w:sz w:val="22"/>
          <w:szCs w:val="22"/>
          <w:shd w:val="clear" w:color="auto" w:fill="FFFFFF"/>
          <w:lang w:eastAsia="en-US"/>
          <w14:ligatures w14:val="standardContextual"/>
        </w:rPr>
      </w:pPr>
      <w:r w:rsidRPr="007E097B">
        <w:rPr>
          <w:rFonts w:asciiTheme="minorHAnsi" w:eastAsiaTheme="minorHAnsi" w:hAnsiTheme="minorHAnsi" w:cstheme="minorHAnsi"/>
          <w:color w:val="202124"/>
          <w:kern w:val="2"/>
          <w:sz w:val="22"/>
          <w:szCs w:val="22"/>
          <w:shd w:val="clear" w:color="auto" w:fill="FFFFFF"/>
          <w:lang w:eastAsia="en-US"/>
          <w14:ligatures w14:val="standardContextual"/>
        </w:rPr>
        <w:t>Grierson</w:t>
      </w:r>
      <w:r w:rsidR="004E6689">
        <w:rPr>
          <w:rFonts w:asciiTheme="minorHAnsi" w:eastAsiaTheme="minorHAnsi" w:hAnsiTheme="minorHAnsi" w:cstheme="minorHAnsi"/>
          <w:color w:val="202124"/>
          <w:kern w:val="2"/>
          <w:sz w:val="22"/>
          <w:szCs w:val="22"/>
          <w:shd w:val="clear" w:color="auto" w:fill="FFFFFF"/>
          <w:lang w:eastAsia="en-US"/>
          <w14:ligatures w14:val="standardContextual"/>
        </w:rPr>
        <w:t>,</w:t>
      </w:r>
      <w:r w:rsidRPr="007E097B">
        <w:rPr>
          <w:rFonts w:asciiTheme="minorHAnsi" w:eastAsiaTheme="minorHAnsi" w:hAnsiTheme="minorHAnsi" w:cstheme="minorHAnsi"/>
          <w:color w:val="202124"/>
          <w:kern w:val="2"/>
          <w:sz w:val="22"/>
          <w:szCs w:val="22"/>
          <w:shd w:val="clear" w:color="auto" w:fill="FFFFFF"/>
          <w:lang w:eastAsia="en-US"/>
          <w14:ligatures w14:val="standardContextual"/>
        </w:rPr>
        <w:t xml:space="preserve"> JG (2021) Police failing to impost orders on men accused of abuse, watchdog finds, The </w:t>
      </w:r>
    </w:p>
    <w:p w14:paraId="001C2BA8" w14:textId="33D29995" w:rsid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Bidi"/>
          <w:color w:val="auto"/>
          <w:kern w:val="2"/>
          <w:sz w:val="22"/>
          <w:szCs w:val="22"/>
          <w:lang w:eastAsia="en-US"/>
          <w14:ligatures w14:val="standardContextual"/>
        </w:rPr>
      </w:pPr>
      <w:r w:rsidRPr="007E097B">
        <w:rPr>
          <w:rFonts w:asciiTheme="minorHAnsi" w:eastAsiaTheme="minorHAnsi" w:hAnsiTheme="minorHAnsi" w:cstheme="minorHAnsi"/>
          <w:color w:val="202124"/>
          <w:kern w:val="2"/>
          <w:sz w:val="22"/>
          <w:szCs w:val="22"/>
          <w:shd w:val="clear" w:color="auto" w:fill="FFFFFF"/>
          <w:lang w:eastAsia="en-US"/>
          <w14:ligatures w14:val="standardContextual"/>
        </w:rPr>
        <w:t>Guardian, 24</w:t>
      </w:r>
      <w:r w:rsidRPr="007E097B">
        <w:rPr>
          <w:rFonts w:asciiTheme="minorHAnsi" w:eastAsiaTheme="minorHAnsi" w:hAnsiTheme="minorHAnsi" w:cstheme="minorHAnsi"/>
          <w:color w:val="202124"/>
          <w:kern w:val="2"/>
          <w:sz w:val="22"/>
          <w:szCs w:val="22"/>
          <w:shd w:val="clear" w:color="auto" w:fill="FFFFFF"/>
          <w:vertAlign w:val="superscript"/>
          <w:lang w:eastAsia="en-US"/>
          <w14:ligatures w14:val="standardContextual"/>
        </w:rPr>
        <w:t xml:space="preserve">th </w:t>
      </w:r>
      <w:r w:rsidRPr="007E097B">
        <w:rPr>
          <w:rFonts w:asciiTheme="minorHAnsi" w:eastAsiaTheme="minorHAnsi" w:hAnsiTheme="minorHAnsi" w:cstheme="minorHAnsi"/>
          <w:color w:val="auto"/>
          <w:kern w:val="2"/>
          <w:sz w:val="22"/>
          <w:szCs w:val="22"/>
          <w:lang w:eastAsia="en-US"/>
          <w14:ligatures w14:val="standardContextual"/>
        </w:rPr>
        <w:t xml:space="preserve">August. Available at </w:t>
      </w:r>
      <w:hyperlink r:id="rId23" w:history="1">
        <w:r w:rsidRPr="007E097B">
          <w:rPr>
            <w:rFonts w:asciiTheme="minorHAnsi" w:eastAsiaTheme="minorHAnsi" w:hAnsiTheme="minorHAnsi" w:cstheme="minorBidi"/>
            <w:color w:val="0563C1" w:themeColor="hyperlink"/>
            <w:kern w:val="2"/>
            <w:sz w:val="22"/>
            <w:szCs w:val="22"/>
            <w:u w:val="single"/>
            <w:lang w:eastAsia="en-US"/>
            <w14:ligatures w14:val="standardContextual"/>
          </w:rPr>
          <w:t>Police failing to impose orders on men accused of abuse, watchdog finds | Police | The Guardian</w:t>
        </w:r>
      </w:hyperlink>
    </w:p>
    <w:p w14:paraId="3A595345" w14:textId="77777777" w:rsid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Bidi"/>
          <w:color w:val="auto"/>
          <w:kern w:val="2"/>
          <w:sz w:val="22"/>
          <w:szCs w:val="22"/>
          <w:lang w:eastAsia="en-US"/>
          <w14:ligatures w14:val="standardContextual"/>
        </w:rPr>
      </w:pPr>
    </w:p>
    <w:p w14:paraId="7CDA596D" w14:textId="77777777" w:rsidR="004E6689" w:rsidRPr="007E097B" w:rsidRDefault="004E6689" w:rsidP="004E6689">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r>
        <w:rPr>
          <w:rFonts w:ascii="Calibri" w:hAnsi="Calibri" w:cs="Calibri"/>
          <w:sz w:val="22"/>
          <w:szCs w:val="22"/>
          <w14:ligatures w14:val="standardContextual"/>
        </w:rPr>
        <w:t>Harvard Health Publishing. Harvard Medical School. 7</w:t>
      </w:r>
      <w:r w:rsidRPr="004E6689">
        <w:rPr>
          <w:rFonts w:ascii="Calibri" w:hAnsi="Calibri" w:cs="Calibri"/>
          <w:sz w:val="22"/>
          <w:szCs w:val="22"/>
          <w:vertAlign w:val="superscript"/>
          <w14:ligatures w14:val="standardContextual"/>
        </w:rPr>
        <w:t>th</w:t>
      </w:r>
      <w:r>
        <w:rPr>
          <w:rFonts w:ascii="Calibri" w:hAnsi="Calibri" w:cs="Calibri"/>
          <w:sz w:val="22"/>
          <w:szCs w:val="22"/>
          <w14:ligatures w14:val="standardContextual"/>
        </w:rPr>
        <w:t xml:space="preserve"> July 2020 Available at </w:t>
      </w:r>
      <w:hyperlink r:id="rId24" w:anchor=":~:text=Exercise%20reduces%20levels%20of%20the,natural%20painkillers%20and%20mood%20elevators." w:history="1">
        <w:r w:rsidRPr="007E097B">
          <w:rPr>
            <w:rFonts w:ascii="Calibri" w:eastAsiaTheme="minorHAnsi" w:hAnsi="Calibri" w:cs="Calibri"/>
            <w:color w:val="0563C1" w:themeColor="hyperlink"/>
            <w:kern w:val="2"/>
            <w:sz w:val="22"/>
            <w:szCs w:val="22"/>
            <w:u w:val="single"/>
            <w:lang w:eastAsia="en-US"/>
            <w14:ligatures w14:val="standardContextual"/>
          </w:rPr>
          <w:t>Exercising to Relax - Harvard Health Publishing - Harvard Health</w:t>
        </w:r>
      </w:hyperlink>
    </w:p>
    <w:p w14:paraId="73617535" w14:textId="77777777" w:rsidR="007E097B" w:rsidRP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Bidi"/>
          <w:color w:val="auto"/>
          <w:kern w:val="2"/>
          <w:sz w:val="22"/>
          <w:szCs w:val="22"/>
          <w:lang w:eastAsia="en-US"/>
          <w14:ligatures w14:val="standardContextual"/>
        </w:rPr>
      </w:pPr>
    </w:p>
    <w:p w14:paraId="53C36F06" w14:textId="77777777" w:rsid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Bidi"/>
          <w:color w:val="auto"/>
          <w:kern w:val="2"/>
          <w:sz w:val="22"/>
          <w:szCs w:val="22"/>
          <w:lang w:eastAsia="en-US"/>
          <w14:ligatures w14:val="standardContextual"/>
        </w:rPr>
      </w:pPr>
      <w:r w:rsidRPr="007E097B">
        <w:rPr>
          <w:rFonts w:asciiTheme="minorHAnsi" w:eastAsiaTheme="minorHAnsi" w:hAnsiTheme="minorHAnsi" w:cstheme="minorBidi"/>
          <w:color w:val="auto"/>
          <w:kern w:val="2"/>
          <w:sz w:val="22"/>
          <w:szCs w:val="22"/>
          <w:lang w:eastAsia="en-US"/>
          <w14:ligatures w14:val="standardContextual"/>
        </w:rPr>
        <w:t>Independent Office for Police Conduct, HM Inspectorate of Constabulary and Fire &amp; Rescue Services, and College of Policing, 25</w:t>
      </w:r>
      <w:r w:rsidRPr="007E097B">
        <w:rPr>
          <w:rFonts w:asciiTheme="minorHAnsi" w:eastAsiaTheme="minorHAnsi" w:hAnsiTheme="minorHAnsi" w:cstheme="minorBidi"/>
          <w:color w:val="auto"/>
          <w:kern w:val="2"/>
          <w:sz w:val="22"/>
          <w:szCs w:val="22"/>
          <w:vertAlign w:val="superscript"/>
          <w:lang w:eastAsia="en-US"/>
          <w14:ligatures w14:val="standardContextual"/>
        </w:rPr>
        <w:t>th</w:t>
      </w:r>
      <w:r w:rsidRPr="007E097B">
        <w:rPr>
          <w:rFonts w:asciiTheme="minorHAnsi" w:eastAsiaTheme="minorHAnsi" w:hAnsiTheme="minorHAnsi" w:cstheme="minorBidi"/>
          <w:color w:val="auto"/>
          <w:kern w:val="2"/>
          <w:sz w:val="22"/>
          <w:szCs w:val="22"/>
          <w:lang w:eastAsia="en-US"/>
          <w14:ligatures w14:val="standardContextual"/>
        </w:rPr>
        <w:t xml:space="preserve"> June 2018 Available at </w:t>
      </w:r>
      <w:hyperlink r:id="rId25" w:anchor=":~:text=The%20police%20super%2Dcomplaints%20system,patterns%20or%20trends%20in%20policing." w:history="1">
        <w:r w:rsidRPr="007E097B">
          <w:rPr>
            <w:rFonts w:asciiTheme="minorHAnsi" w:eastAsiaTheme="minorHAnsi" w:hAnsiTheme="minorHAnsi" w:cstheme="minorBidi"/>
            <w:color w:val="0563C1" w:themeColor="hyperlink"/>
            <w:kern w:val="2"/>
            <w:sz w:val="22"/>
            <w:szCs w:val="22"/>
            <w:u w:val="single"/>
            <w:lang w:eastAsia="en-US"/>
            <w14:ligatures w14:val="standardContextual"/>
          </w:rPr>
          <w:t>Police super-complaints - GOV.UK (www.gov.uk)</w:t>
        </w:r>
      </w:hyperlink>
    </w:p>
    <w:p w14:paraId="115F0564" w14:textId="77777777" w:rsidR="007E097B" w:rsidRP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Bidi"/>
          <w:color w:val="auto"/>
          <w:kern w:val="2"/>
          <w:sz w:val="22"/>
          <w:szCs w:val="22"/>
          <w:lang w:eastAsia="en-US"/>
          <w14:ligatures w14:val="standardContextual"/>
        </w:rPr>
      </w:pPr>
    </w:p>
    <w:p w14:paraId="0B870C5B" w14:textId="15A3855D" w:rsid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HAnsi"/>
          <w:color w:val="212121"/>
          <w:kern w:val="2"/>
          <w:sz w:val="22"/>
          <w:szCs w:val="22"/>
          <w:lang w:eastAsia="en-US"/>
          <w14:ligatures w14:val="standardContextual"/>
        </w:rPr>
      </w:pPr>
      <w:r w:rsidRPr="007E097B">
        <w:rPr>
          <w:rFonts w:asciiTheme="minorHAnsi" w:eastAsiaTheme="minorHAnsi" w:hAnsiTheme="minorHAnsi" w:cstheme="minorHAnsi"/>
          <w:color w:val="212121"/>
          <w:kern w:val="2"/>
          <w:sz w:val="22"/>
          <w:szCs w:val="22"/>
          <w:lang w:eastAsia="en-US"/>
          <w14:ligatures w14:val="standardContextual"/>
        </w:rPr>
        <w:t>Iso-Ahola S. E. Dotson C. O. (2014). Psychological momentum: why success breeds success. </w:t>
      </w:r>
      <w:r w:rsidRPr="007E097B">
        <w:rPr>
          <w:rFonts w:asciiTheme="minorHAnsi" w:eastAsiaTheme="minorHAnsi" w:hAnsiTheme="minorHAnsi" w:cstheme="minorHAnsi"/>
          <w:i/>
          <w:iCs/>
          <w:color w:val="212121"/>
          <w:kern w:val="2"/>
          <w:sz w:val="22"/>
          <w:szCs w:val="22"/>
          <w:lang w:eastAsia="en-US"/>
          <w14:ligatures w14:val="standardContextual"/>
        </w:rPr>
        <w:t>Rev. Gen. Psychol.</w:t>
      </w:r>
      <w:r w:rsidRPr="007E097B">
        <w:rPr>
          <w:rFonts w:asciiTheme="minorHAnsi" w:eastAsiaTheme="minorHAnsi" w:hAnsiTheme="minorHAnsi" w:cstheme="minorHAnsi"/>
          <w:color w:val="212121"/>
          <w:kern w:val="2"/>
          <w:sz w:val="22"/>
          <w:szCs w:val="22"/>
          <w:lang w:eastAsia="en-US"/>
          <w14:ligatures w14:val="standardContextual"/>
        </w:rPr>
        <w:t> 18, 19–33. 10.1037/a0036406 [</w:t>
      </w:r>
      <w:hyperlink r:id="rId26" w:tgtFrame="_blank" w:history="1">
        <w:r w:rsidRPr="007E097B">
          <w:rPr>
            <w:rFonts w:asciiTheme="minorHAnsi" w:eastAsiaTheme="minorHAnsi" w:hAnsiTheme="minorHAnsi" w:cstheme="minorHAnsi"/>
            <w:color w:val="376FAA"/>
            <w:kern w:val="2"/>
            <w:sz w:val="22"/>
            <w:szCs w:val="22"/>
            <w:u w:val="single"/>
            <w:lang w:eastAsia="en-US"/>
            <w14:ligatures w14:val="standardContextual"/>
          </w:rPr>
          <w:t>CrossRef</w:t>
        </w:r>
      </w:hyperlink>
      <w:r w:rsidRPr="007E097B">
        <w:rPr>
          <w:rFonts w:asciiTheme="minorHAnsi" w:eastAsiaTheme="minorHAnsi" w:hAnsiTheme="minorHAnsi" w:cstheme="minorHAnsi"/>
          <w:color w:val="212121"/>
          <w:kern w:val="2"/>
          <w:sz w:val="22"/>
          <w:szCs w:val="22"/>
          <w:lang w:eastAsia="en-US"/>
          <w14:ligatures w14:val="standardContextual"/>
        </w:rPr>
        <w:t>] [</w:t>
      </w:r>
      <w:hyperlink r:id="rId27" w:tgtFrame="_blank" w:history="1">
        <w:r w:rsidRPr="007E097B">
          <w:rPr>
            <w:rFonts w:asciiTheme="minorHAnsi" w:eastAsiaTheme="minorHAnsi" w:hAnsiTheme="minorHAnsi" w:cstheme="minorHAnsi"/>
            <w:color w:val="376FAA"/>
            <w:kern w:val="2"/>
            <w:sz w:val="22"/>
            <w:szCs w:val="22"/>
            <w:u w:val="single"/>
            <w:lang w:eastAsia="en-US"/>
            <w14:ligatures w14:val="standardContextual"/>
          </w:rPr>
          <w:t>Google Scholar</w:t>
        </w:r>
      </w:hyperlink>
      <w:r w:rsidRPr="007E097B">
        <w:rPr>
          <w:rFonts w:asciiTheme="minorHAnsi" w:eastAsiaTheme="minorHAnsi" w:hAnsiTheme="minorHAnsi" w:cstheme="minorHAnsi"/>
          <w:color w:val="212121"/>
          <w:kern w:val="2"/>
          <w:sz w:val="22"/>
          <w:szCs w:val="22"/>
          <w:lang w:eastAsia="en-US"/>
          <w14:ligatures w14:val="standardContextual"/>
        </w:rPr>
        <w:t>]</w:t>
      </w:r>
    </w:p>
    <w:p w14:paraId="1546B319" w14:textId="77777777" w:rsidR="007E097B" w:rsidRP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02D8F7F2" w14:textId="7C483C68" w:rsidR="004E6689" w:rsidRPr="004E6689" w:rsidRDefault="007E097B" w:rsidP="004E6689">
      <w:pPr>
        <w:overflowPunct/>
        <w:autoSpaceDE/>
        <w:autoSpaceDN/>
        <w:adjustRightInd/>
        <w:spacing w:after="160" w:line="259" w:lineRule="auto"/>
        <w:ind w:left="360"/>
        <w:contextualSpacing/>
        <w:textAlignment w:val="auto"/>
        <w:rPr>
          <w:rFonts w:ascii="Calibri" w:hAnsi="Calibri" w:cs="Calibri"/>
          <w:color w:val="auto"/>
          <w:sz w:val="22"/>
          <w:szCs w:val="22"/>
          <w:u w:val="single"/>
          <w14:ligatures w14:val="standardContextual"/>
        </w:rPr>
      </w:pPr>
      <w:r w:rsidRPr="007E097B">
        <w:rPr>
          <w:rFonts w:ascii="Calibri" w:hAnsi="Calibri" w:cs="Calibri"/>
          <w:color w:val="auto"/>
          <w:sz w:val="22"/>
          <w:szCs w:val="22"/>
          <w14:ligatures w14:val="standardContextual"/>
        </w:rPr>
        <w:t>Kraemer</w:t>
      </w:r>
      <w:r w:rsidR="004E6689">
        <w:rPr>
          <w:rFonts w:ascii="Calibri" w:hAnsi="Calibri" w:cs="Calibri"/>
          <w:color w:val="auto"/>
          <w:sz w:val="22"/>
          <w:szCs w:val="22"/>
          <w14:ligatures w14:val="standardContextual"/>
        </w:rPr>
        <w:t>,</w:t>
      </w:r>
      <w:r w:rsidRPr="007E097B">
        <w:rPr>
          <w:rFonts w:ascii="Calibri" w:hAnsi="Calibri" w:cs="Calibri"/>
          <w:color w:val="auto"/>
          <w:sz w:val="22"/>
          <w:szCs w:val="22"/>
          <w14:ligatures w14:val="standardContextual"/>
        </w:rPr>
        <w:t xml:space="preserve"> W.J. Ratamess, N.A. &amp; French, D.N. Resistance training for health and performance. Curr Sports Med Rep 1, 165–171 (2002). </w:t>
      </w:r>
      <w:hyperlink r:id="rId28" w:history="1">
        <w:r w:rsidRPr="007E097B">
          <w:rPr>
            <w:rFonts w:ascii="Calibri" w:hAnsi="Calibri" w:cs="Calibri"/>
            <w:color w:val="auto"/>
            <w:sz w:val="22"/>
            <w:szCs w:val="22"/>
            <w:u w:val="single"/>
            <w14:ligatures w14:val="standardContextual"/>
          </w:rPr>
          <w:t>https://doi.org/10.1007/s11932-002-0017-7</w:t>
        </w:r>
      </w:hyperlink>
      <w:r w:rsidRPr="007E097B">
        <w:rPr>
          <w:rFonts w:ascii="Calibri" w:hAnsi="Calibri" w:cs="Calibri"/>
          <w:color w:val="auto"/>
          <w:sz w:val="22"/>
          <w:szCs w:val="22"/>
          <w:u w:val="single"/>
          <w14:ligatures w14:val="standardContextual"/>
        </w:rPr>
        <w:t xml:space="preserve"> </w:t>
      </w:r>
    </w:p>
    <w:p w14:paraId="45CB68CD" w14:textId="77777777" w:rsidR="004E6689" w:rsidRPr="007E097B" w:rsidRDefault="004E6689" w:rsidP="007E097B">
      <w:pPr>
        <w:overflowPunct/>
        <w:autoSpaceDE/>
        <w:autoSpaceDN/>
        <w:adjustRightInd/>
        <w:spacing w:after="160" w:line="259" w:lineRule="auto"/>
        <w:ind w:left="360"/>
        <w:contextualSpacing/>
        <w:textAlignment w:val="auto"/>
        <w:rPr>
          <w:rFonts w:ascii="Calibri" w:hAnsi="Calibri" w:cs="Calibri"/>
          <w:color w:val="auto"/>
          <w:sz w:val="22"/>
          <w:szCs w:val="22"/>
          <w14:ligatures w14:val="standardContextual"/>
        </w:rPr>
      </w:pPr>
    </w:p>
    <w:p w14:paraId="68B31FDE" w14:textId="6E774196" w:rsid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r w:rsidRPr="007E097B">
        <w:rPr>
          <w:rFonts w:ascii="Calibri" w:hAnsi="Calibri" w:cs="Calibri"/>
          <w:sz w:val="22"/>
          <w:szCs w:val="22"/>
          <w14:ligatures w14:val="standardContextual"/>
        </w:rPr>
        <w:t>Oerlemans, W. G. M., Bakker, A. B., &amp; Demerouti, E. (2014). How feeling happy during off-job activities helps successful recovery from work: A day reconstruction study. Work &amp; Stress, 28(2), 198-216. doi: 10.1080/02678373.2014.901993</w:t>
      </w:r>
    </w:p>
    <w:p w14:paraId="7C36CDEA" w14:textId="77777777" w:rsidR="007E097B" w:rsidRP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3ADA80CF" w14:textId="77777777" w:rsid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r w:rsidRPr="007E097B">
        <w:rPr>
          <w:rFonts w:ascii="Calibri" w:hAnsi="Calibri" w:cs="Calibri"/>
          <w:sz w:val="22"/>
          <w:szCs w:val="22"/>
          <w14:ligatures w14:val="standardContextual"/>
        </w:rPr>
        <w:lastRenderedPageBreak/>
        <w:t>Office for National Statistics (ONS), released 27 October 2022, ONS website, statistical bulletin, Crime in England and Wales ,year ending June 2022.</w:t>
      </w:r>
    </w:p>
    <w:p w14:paraId="0C34D998" w14:textId="77777777" w:rsidR="007E097B" w:rsidRP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6B8C5405" w14:textId="05F8A074" w:rsid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Bidi"/>
          <w:color w:val="auto"/>
          <w:kern w:val="2"/>
          <w:sz w:val="22"/>
          <w:szCs w:val="22"/>
          <w:lang w:eastAsia="en-US"/>
          <w14:ligatures w14:val="standardContextual"/>
        </w:rPr>
      </w:pPr>
      <w:r w:rsidRPr="007E097B">
        <w:rPr>
          <w:rFonts w:asciiTheme="minorHAnsi" w:eastAsiaTheme="minorHAnsi" w:hAnsiTheme="minorHAnsi" w:cstheme="minorBidi"/>
          <w:color w:val="auto"/>
          <w:kern w:val="2"/>
          <w:sz w:val="22"/>
          <w:szCs w:val="22"/>
          <w:lang w:eastAsia="en-US"/>
          <w14:ligatures w14:val="standardContextual"/>
        </w:rPr>
        <w:t>Office for National Statistics (ONS)</w:t>
      </w:r>
      <w:r w:rsidRPr="007E097B">
        <w:rPr>
          <w:rFonts w:asciiTheme="minorHAnsi" w:eastAsiaTheme="minorHAnsi" w:hAnsiTheme="minorHAnsi" w:cstheme="minorBidi"/>
          <w:color w:val="auto"/>
          <w:kern w:val="2"/>
          <w:sz w:val="22"/>
          <w:szCs w:val="22"/>
          <w:lang w:eastAsia="en-US"/>
          <w14:ligatures w14:val="standardContextual"/>
        </w:rPr>
        <w:t xml:space="preserve"> released 25 Month 2022, ONS website, statistical bulletin, Domestic abuse in England and Wales overview: November 2022</w:t>
      </w:r>
      <w:r>
        <w:rPr>
          <w:rFonts w:asciiTheme="minorHAnsi" w:eastAsiaTheme="minorHAnsi" w:hAnsiTheme="minorHAnsi" w:cstheme="minorBidi"/>
          <w:color w:val="auto"/>
          <w:kern w:val="2"/>
          <w:sz w:val="22"/>
          <w:szCs w:val="22"/>
          <w:lang w:eastAsia="en-US"/>
          <w14:ligatures w14:val="standardContextual"/>
        </w:rPr>
        <w:t>.</w:t>
      </w:r>
    </w:p>
    <w:p w14:paraId="51CDA8A8" w14:textId="77777777" w:rsidR="007E097B" w:rsidRP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01804752" w14:textId="77777777" w:rsid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r w:rsidRPr="007E097B">
        <w:rPr>
          <w:rFonts w:ascii="Calibri" w:hAnsi="Calibri" w:cs="Calibri"/>
          <w:sz w:val="22"/>
          <w:szCs w:val="22"/>
          <w14:ligatures w14:val="standardContextual"/>
        </w:rPr>
        <w:t>Russo et al., 2012; Rutter, 2012b; Southwick and Charney, 2012</w:t>
      </w:r>
    </w:p>
    <w:p w14:paraId="099CEA8D" w14:textId="77777777" w:rsidR="007E097B" w:rsidRP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313CBFE0" w14:textId="77777777" w:rsid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Bidi"/>
          <w:bCs/>
          <w:color w:val="auto"/>
          <w:kern w:val="2"/>
          <w:sz w:val="22"/>
          <w:szCs w:val="22"/>
          <w:lang w:eastAsia="en-US"/>
        </w:rPr>
      </w:pPr>
      <w:r w:rsidRPr="007E097B">
        <w:rPr>
          <w:rFonts w:asciiTheme="minorHAnsi" w:eastAsiaTheme="minorHAnsi" w:hAnsiTheme="minorHAnsi" w:cstheme="minorBidi"/>
          <w:bCs/>
          <w:color w:val="auto"/>
          <w:kern w:val="2"/>
          <w:sz w:val="22"/>
          <w:szCs w:val="22"/>
          <w:lang w:eastAsia="en-US"/>
        </w:rPr>
        <w:t>Shaw, NS (2017) The Devon judge and his 'rule of thumb' on beating your wife, Devon Live, 3</w:t>
      </w:r>
      <w:r w:rsidRPr="007E097B">
        <w:rPr>
          <w:rFonts w:asciiTheme="minorHAnsi" w:eastAsiaTheme="minorHAnsi" w:hAnsiTheme="minorHAnsi" w:cstheme="minorBidi"/>
          <w:bCs/>
          <w:color w:val="auto"/>
          <w:kern w:val="2"/>
          <w:sz w:val="22"/>
          <w:szCs w:val="22"/>
          <w:vertAlign w:val="superscript"/>
          <w:lang w:eastAsia="en-US"/>
        </w:rPr>
        <w:t>rd</w:t>
      </w:r>
      <w:r w:rsidRPr="007E097B">
        <w:rPr>
          <w:rFonts w:asciiTheme="minorHAnsi" w:eastAsiaTheme="minorHAnsi" w:hAnsiTheme="minorHAnsi" w:cstheme="minorBidi"/>
          <w:bCs/>
          <w:color w:val="auto"/>
          <w:kern w:val="2"/>
          <w:sz w:val="22"/>
          <w:szCs w:val="22"/>
          <w:lang w:eastAsia="en-US"/>
        </w:rPr>
        <w:t xml:space="preserve"> November Available at </w:t>
      </w:r>
      <w:hyperlink r:id="rId29" w:history="1">
        <w:r w:rsidRPr="007E097B">
          <w:rPr>
            <w:rFonts w:asciiTheme="minorHAnsi" w:eastAsiaTheme="minorHAnsi" w:hAnsiTheme="minorHAnsi" w:cstheme="minorBidi"/>
            <w:bCs/>
            <w:color w:val="0563C1" w:themeColor="hyperlink"/>
            <w:kern w:val="2"/>
            <w:sz w:val="22"/>
            <w:szCs w:val="22"/>
            <w:u w:val="single"/>
            <w:lang w:eastAsia="en-US"/>
          </w:rPr>
          <w:t>https://www.devonlive.com/news/devon-news/devon-judge-rule-thumb-beating-725683</w:t>
        </w:r>
      </w:hyperlink>
      <w:r w:rsidRPr="007E097B">
        <w:rPr>
          <w:rFonts w:asciiTheme="minorHAnsi" w:eastAsiaTheme="minorHAnsi" w:hAnsiTheme="minorHAnsi" w:cstheme="minorBidi"/>
          <w:bCs/>
          <w:color w:val="auto"/>
          <w:kern w:val="2"/>
          <w:sz w:val="22"/>
          <w:szCs w:val="22"/>
          <w:lang w:eastAsia="en-US"/>
        </w:rPr>
        <w:t xml:space="preserve"> </w:t>
      </w:r>
    </w:p>
    <w:p w14:paraId="75165742" w14:textId="77777777" w:rsidR="007E097B" w:rsidRP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Bidi"/>
          <w:bCs/>
          <w:color w:val="auto"/>
          <w:kern w:val="2"/>
          <w:sz w:val="22"/>
          <w:szCs w:val="22"/>
          <w:lang w:eastAsia="en-US"/>
        </w:rPr>
      </w:pPr>
    </w:p>
    <w:p w14:paraId="2E667502" w14:textId="77777777" w:rsid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Bidi"/>
          <w:bCs/>
          <w:color w:val="auto"/>
          <w:kern w:val="2"/>
          <w:sz w:val="22"/>
          <w:szCs w:val="22"/>
          <w:lang w:eastAsia="en-US"/>
        </w:rPr>
      </w:pPr>
      <w:r w:rsidRPr="007E097B">
        <w:rPr>
          <w:rFonts w:asciiTheme="minorHAnsi" w:eastAsiaTheme="minorHAnsi" w:hAnsiTheme="minorHAnsi" w:cstheme="minorBidi"/>
          <w:bCs/>
          <w:color w:val="auto"/>
          <w:kern w:val="2"/>
          <w:sz w:val="22"/>
          <w:szCs w:val="22"/>
          <w:lang w:eastAsia="en-US"/>
        </w:rPr>
        <w:t xml:space="preserve">Siegel, Reva B. (1996), The rule of love”: Wife beating as prerogative and privacy, 105 YALE L.J. 2117. </w:t>
      </w:r>
    </w:p>
    <w:p w14:paraId="3E0A523F" w14:textId="77777777" w:rsid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Bidi"/>
          <w:bCs/>
          <w:color w:val="auto"/>
          <w:kern w:val="2"/>
          <w:sz w:val="22"/>
          <w:szCs w:val="22"/>
          <w:lang w:eastAsia="en-US"/>
        </w:rPr>
      </w:pPr>
    </w:p>
    <w:p w14:paraId="0299B8DD" w14:textId="2BA397FB" w:rsid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Bidi"/>
          <w:bCs/>
          <w:color w:val="auto"/>
          <w:kern w:val="2"/>
          <w:sz w:val="22"/>
          <w:szCs w:val="22"/>
          <w:lang w:eastAsia="en-US"/>
        </w:rPr>
      </w:pPr>
      <w:r w:rsidRPr="007E097B">
        <w:rPr>
          <w:rFonts w:asciiTheme="minorHAnsi" w:eastAsiaTheme="minorHAnsi" w:hAnsiTheme="minorHAnsi" w:cstheme="minorBidi"/>
          <w:bCs/>
          <w:color w:val="auto"/>
          <w:kern w:val="2"/>
          <w:sz w:val="22"/>
          <w:szCs w:val="22"/>
          <w:lang w:eastAsia="en-US"/>
        </w:rPr>
        <w:t>Tuerkheimer, Deborah (2004), Recognizing and remedying the harm of battering: A call to criminalize domestic violence. Journal of Criminal Law and Criminology, June 22, 2004.</w:t>
      </w:r>
    </w:p>
    <w:p w14:paraId="45CA9F42" w14:textId="77777777" w:rsidR="007E097B" w:rsidRPr="007E097B" w:rsidRDefault="007E097B" w:rsidP="007E097B">
      <w:pPr>
        <w:overflowPunct/>
        <w:autoSpaceDE/>
        <w:autoSpaceDN/>
        <w:adjustRightInd/>
        <w:spacing w:after="160" w:line="259" w:lineRule="auto"/>
        <w:ind w:left="360"/>
        <w:contextualSpacing/>
        <w:textAlignment w:val="auto"/>
        <w:rPr>
          <w:rFonts w:asciiTheme="minorHAnsi" w:eastAsiaTheme="minorHAnsi" w:hAnsiTheme="minorHAnsi" w:cstheme="minorBidi"/>
          <w:bCs/>
          <w:color w:val="auto"/>
          <w:kern w:val="2"/>
          <w:sz w:val="22"/>
          <w:szCs w:val="22"/>
          <w:lang w:eastAsia="en-US"/>
        </w:rPr>
      </w:pPr>
    </w:p>
    <w:p w14:paraId="5E55B603" w14:textId="77777777" w:rsidR="007E097B" w:rsidRDefault="007E097B" w:rsidP="007E097B">
      <w:pPr>
        <w:overflowPunct/>
        <w:autoSpaceDE/>
        <w:autoSpaceDN/>
        <w:adjustRightInd/>
        <w:spacing w:after="160" w:line="259" w:lineRule="auto"/>
        <w:ind w:left="360"/>
        <w:contextualSpacing/>
        <w:textAlignment w:val="auto"/>
        <w:rPr>
          <w:rFonts w:ascii="Calibri" w:eastAsiaTheme="minorHAnsi" w:hAnsi="Calibri" w:cs="Calibri"/>
          <w:color w:val="040C28"/>
          <w:kern w:val="2"/>
          <w:sz w:val="22"/>
          <w:szCs w:val="22"/>
          <w:lang w:eastAsia="en-US"/>
          <w14:ligatures w14:val="standardContextual"/>
        </w:rPr>
      </w:pPr>
      <w:r w:rsidRPr="007E097B">
        <w:rPr>
          <w:rFonts w:ascii="Calibri" w:eastAsiaTheme="minorHAnsi" w:hAnsi="Calibri" w:cs="Calibri"/>
          <w:color w:val="040C28"/>
          <w:kern w:val="2"/>
          <w:sz w:val="22"/>
          <w:szCs w:val="22"/>
          <w:lang w:eastAsia="en-US"/>
          <w14:ligatures w14:val="standardContextual"/>
        </w:rPr>
        <w:t>Thomas, K. W., &amp; Kilmann, R. H.</w:t>
      </w:r>
      <w:r w:rsidRPr="007E097B">
        <w:rPr>
          <w:rFonts w:ascii="Calibri" w:eastAsiaTheme="minorHAnsi" w:hAnsi="Calibri" w:cs="Calibri"/>
          <w:color w:val="4D5156"/>
          <w:kern w:val="2"/>
          <w:sz w:val="22"/>
          <w:szCs w:val="22"/>
          <w:shd w:val="clear" w:color="auto" w:fill="FFFFFF"/>
          <w:lang w:eastAsia="en-US"/>
          <w14:ligatures w14:val="standardContextual"/>
        </w:rPr>
        <w:t> </w:t>
      </w:r>
      <w:r w:rsidRPr="007E097B">
        <w:rPr>
          <w:rFonts w:ascii="Calibri" w:eastAsiaTheme="minorHAnsi" w:hAnsi="Calibri" w:cs="Calibri"/>
          <w:color w:val="040C28"/>
          <w:kern w:val="2"/>
          <w:sz w:val="22"/>
          <w:szCs w:val="22"/>
          <w:lang w:eastAsia="en-US"/>
          <w14:ligatures w14:val="standardContextual"/>
        </w:rPr>
        <w:t>(1974).</w:t>
      </w:r>
      <w:r w:rsidRPr="007E097B">
        <w:rPr>
          <w:rFonts w:ascii="Calibri" w:eastAsiaTheme="minorHAnsi" w:hAnsi="Calibri" w:cs="Calibri"/>
          <w:color w:val="4D5156"/>
          <w:kern w:val="2"/>
          <w:sz w:val="22"/>
          <w:szCs w:val="22"/>
          <w:shd w:val="clear" w:color="auto" w:fill="FFFFFF"/>
          <w:lang w:eastAsia="en-US"/>
          <w14:ligatures w14:val="standardContextual"/>
        </w:rPr>
        <w:t> </w:t>
      </w:r>
      <w:r w:rsidRPr="007E097B">
        <w:rPr>
          <w:rFonts w:ascii="Calibri" w:eastAsiaTheme="minorHAnsi" w:hAnsi="Calibri" w:cs="Calibri"/>
          <w:color w:val="040C28"/>
          <w:kern w:val="2"/>
          <w:sz w:val="22"/>
          <w:szCs w:val="22"/>
          <w:lang w:eastAsia="en-US"/>
          <w14:ligatures w14:val="standardContextual"/>
        </w:rPr>
        <w:t>Thomas-Kilmann Conflict Mode Instrument (TKI)</w:t>
      </w:r>
    </w:p>
    <w:p w14:paraId="556435B4" w14:textId="77777777" w:rsidR="007E097B" w:rsidRP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19346A5F" w14:textId="77777777" w:rsid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r w:rsidRPr="007E097B">
        <w:rPr>
          <w:rFonts w:ascii="Calibri" w:hAnsi="Calibri" w:cs="Calibri"/>
          <w:sz w:val="22"/>
          <w:szCs w:val="22"/>
          <w14:ligatures w14:val="standardContextual"/>
        </w:rPr>
        <w:t xml:space="preserve">Tuerkheimer, Deborah (2004), Recognizing and remedying the harm of battering: A call to criminalize domestic violence. Journal of Criminal Law and Criminology, June 22, 2004. </w:t>
      </w:r>
    </w:p>
    <w:p w14:paraId="73D62B4B" w14:textId="77777777" w:rsidR="007E097B" w:rsidRPr="007E097B" w:rsidRDefault="007E097B"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0AE18612" w14:textId="00E54C89" w:rsidR="007E097B" w:rsidRDefault="007E097B" w:rsidP="007E097B">
      <w:pPr>
        <w:overflowPunct/>
        <w:autoSpaceDE/>
        <w:autoSpaceDN/>
        <w:adjustRightInd/>
        <w:spacing w:after="160" w:line="259" w:lineRule="auto"/>
        <w:ind w:left="360"/>
        <w:contextualSpacing/>
        <w:textAlignment w:val="auto"/>
        <w:rPr>
          <w:rFonts w:ascii="Calibri" w:hAnsi="Calibri" w:cs="Calibri"/>
          <w:color w:val="auto"/>
          <w:sz w:val="22"/>
          <w:szCs w:val="22"/>
          <w:u w:val="single"/>
          <w14:ligatures w14:val="standardContextual"/>
        </w:rPr>
      </w:pPr>
      <w:r w:rsidRPr="007E097B">
        <w:rPr>
          <w:rFonts w:ascii="Calibri" w:hAnsi="Calibri" w:cs="Calibri"/>
          <w:color w:val="auto"/>
          <w:sz w:val="22"/>
          <w:szCs w:val="22"/>
          <w14:ligatures w14:val="standardContextual"/>
        </w:rPr>
        <w:t xml:space="preserve">University of California, Los Angeles. Semel institute for Neuroscience and Human Behaviour. Available at </w:t>
      </w:r>
      <w:hyperlink r:id="rId30" w:history="1">
        <w:r w:rsidRPr="007E097B">
          <w:rPr>
            <w:rFonts w:ascii="Calibri" w:hAnsi="Calibri" w:cs="Calibri"/>
            <w:color w:val="0563C1" w:themeColor="hyperlink"/>
            <w:sz w:val="22"/>
            <w:szCs w:val="22"/>
            <w:u w:val="single"/>
            <w14:ligatures w14:val="standardContextual"/>
          </w:rPr>
          <w:t>https://www.semel.ucla.edu/dual-diagnosis program/News_and_Resources/How_Do_You_Cope</w:t>
        </w:r>
      </w:hyperlink>
      <w:r w:rsidRPr="007E097B">
        <w:rPr>
          <w:rFonts w:ascii="Calibri" w:hAnsi="Calibri" w:cs="Calibri"/>
          <w:color w:val="auto"/>
          <w:sz w:val="22"/>
          <w:szCs w:val="22"/>
          <w:u w:val="single"/>
          <w14:ligatures w14:val="standardContextual"/>
        </w:rPr>
        <w:t xml:space="preserve"> </w:t>
      </w:r>
    </w:p>
    <w:p w14:paraId="1759EEB1" w14:textId="77777777" w:rsidR="004E6689" w:rsidRDefault="004E6689"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35D31B8D" w14:textId="77777777" w:rsidR="004E6689" w:rsidRPr="004E6689" w:rsidRDefault="004E6689" w:rsidP="004E6689">
      <w:pPr>
        <w:overflowPunct/>
        <w:autoSpaceDE/>
        <w:autoSpaceDN/>
        <w:adjustRightInd/>
        <w:spacing w:after="160" w:line="259" w:lineRule="auto"/>
        <w:ind w:left="360"/>
        <w:contextualSpacing/>
        <w:textAlignment w:val="auto"/>
        <w:rPr>
          <w:rFonts w:ascii="Calibri" w:hAnsi="Calibri" w:cs="Calibri"/>
          <w:color w:val="auto"/>
          <w:sz w:val="22"/>
          <w:szCs w:val="22"/>
          <w14:ligatures w14:val="standardContextual"/>
        </w:rPr>
      </w:pPr>
      <w:r>
        <w:rPr>
          <w:rFonts w:ascii="Calibri" w:hAnsi="Calibri" w:cs="Calibri"/>
          <w:color w:val="auto"/>
          <w:sz w:val="22"/>
          <w:szCs w:val="22"/>
          <w14:ligatures w14:val="standardContextual"/>
        </w:rPr>
        <w:t>World Health Organisation. 21</w:t>
      </w:r>
      <w:r w:rsidRPr="004E6689">
        <w:rPr>
          <w:rFonts w:ascii="Calibri" w:hAnsi="Calibri" w:cs="Calibri"/>
          <w:color w:val="auto"/>
          <w:sz w:val="22"/>
          <w:szCs w:val="22"/>
          <w:vertAlign w:val="superscript"/>
          <w14:ligatures w14:val="standardContextual"/>
        </w:rPr>
        <w:t>st</w:t>
      </w:r>
      <w:r>
        <w:rPr>
          <w:rFonts w:ascii="Calibri" w:hAnsi="Calibri" w:cs="Calibri"/>
          <w:color w:val="auto"/>
          <w:sz w:val="22"/>
          <w:szCs w:val="22"/>
          <w14:ligatures w14:val="standardContextual"/>
        </w:rPr>
        <w:t xml:space="preserve"> February 2023. What is Stress? Available at </w:t>
      </w:r>
      <w:hyperlink r:id="rId31" w:history="1">
        <w:r w:rsidRPr="007E097B">
          <w:rPr>
            <w:rStyle w:val="Hyperlink"/>
            <w:rFonts w:ascii="Calibri" w:hAnsi="Calibri" w:cs="Calibri"/>
            <w:sz w:val="22"/>
            <w:szCs w:val="22"/>
            <w14:ligatures w14:val="standardContextual"/>
          </w:rPr>
          <w:t>https://www.who.int/news-room/questions-and-answers/item/stress</w:t>
        </w:r>
      </w:hyperlink>
    </w:p>
    <w:p w14:paraId="16D63B1B" w14:textId="77777777" w:rsidR="004E6689" w:rsidRPr="007E097B" w:rsidRDefault="004E6689" w:rsidP="007E097B">
      <w:pPr>
        <w:overflowPunct/>
        <w:autoSpaceDE/>
        <w:autoSpaceDN/>
        <w:adjustRightInd/>
        <w:spacing w:after="160" w:line="259" w:lineRule="auto"/>
        <w:ind w:left="360"/>
        <w:contextualSpacing/>
        <w:textAlignment w:val="auto"/>
        <w:rPr>
          <w:rFonts w:ascii="Calibri" w:hAnsi="Calibri" w:cs="Calibri"/>
          <w:sz w:val="22"/>
          <w:szCs w:val="22"/>
          <w14:ligatures w14:val="standardContextual"/>
        </w:rPr>
      </w:pPr>
    </w:p>
    <w:p w14:paraId="250CF227" w14:textId="1F788C7A" w:rsidR="006D4550" w:rsidRDefault="006D4550" w:rsidP="00E6298B">
      <w:pPr>
        <w:overflowPunct/>
        <w:autoSpaceDE/>
        <w:autoSpaceDN/>
        <w:adjustRightInd/>
        <w:ind w:right="107"/>
        <w:textAlignment w:val="auto"/>
        <w:rPr>
          <w:b/>
          <w:sz w:val="24"/>
          <w:szCs w:val="24"/>
        </w:rPr>
      </w:pPr>
    </w:p>
    <w:p w14:paraId="3A6AFF5B" w14:textId="77777777" w:rsidR="004E6689" w:rsidRDefault="004E6689"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3D2B11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2E77D4">
        <w:rPr>
          <w:rFonts w:eastAsia="Arial"/>
          <w:color w:val="000000" w:themeColor="text1"/>
          <w:sz w:val="24"/>
          <w:szCs w:val="24"/>
          <w:highlight w:val="yellow"/>
        </w:rPr>
        <w:t>Ben Howells</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62302F75"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2E77D4">
        <w:rPr>
          <w:rFonts w:eastAsia="Arial"/>
          <w:color w:val="000000" w:themeColor="text1"/>
          <w:sz w:val="24"/>
          <w:szCs w:val="24"/>
          <w:highlight w:val="yellow"/>
        </w:rPr>
        <w:t>22/09/2023</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7C27F" w14:textId="77777777" w:rsidR="00E8320A" w:rsidRDefault="00E8320A">
      <w:r>
        <w:separator/>
      </w:r>
    </w:p>
  </w:endnote>
  <w:endnote w:type="continuationSeparator" w:id="0">
    <w:p w14:paraId="130A3CA7" w14:textId="77777777" w:rsidR="00E8320A" w:rsidRDefault="00E83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4DB89" w14:textId="77777777" w:rsidR="00E8320A" w:rsidRDefault="00E8320A">
      <w:r>
        <w:separator/>
      </w:r>
    </w:p>
  </w:footnote>
  <w:footnote w:type="continuationSeparator" w:id="0">
    <w:p w14:paraId="536FFFE3" w14:textId="77777777" w:rsidR="00E8320A" w:rsidRDefault="00E832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96D5B"/>
    <w:multiLevelType w:val="hybridMultilevel"/>
    <w:tmpl w:val="027EE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719354F"/>
    <w:multiLevelType w:val="hybridMultilevel"/>
    <w:tmpl w:val="C10A27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5F6550"/>
    <w:multiLevelType w:val="hybridMultilevel"/>
    <w:tmpl w:val="A2E84B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B01E41"/>
    <w:multiLevelType w:val="hybridMultilevel"/>
    <w:tmpl w:val="B316E7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296B39"/>
    <w:multiLevelType w:val="hybridMultilevel"/>
    <w:tmpl w:val="3CAAC40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62F3FED"/>
    <w:multiLevelType w:val="hybridMultilevel"/>
    <w:tmpl w:val="48CE8B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7118243">
    <w:abstractNumId w:val="42"/>
  </w:num>
  <w:num w:numId="2" w16cid:durableId="658506774">
    <w:abstractNumId w:val="34"/>
  </w:num>
  <w:num w:numId="3" w16cid:durableId="1271359154">
    <w:abstractNumId w:val="25"/>
  </w:num>
  <w:num w:numId="4" w16cid:durableId="665938091">
    <w:abstractNumId w:val="1"/>
    <w:lvlOverride w:ilvl="0">
      <w:lvl w:ilvl="0">
        <w:start w:val="1"/>
        <w:numFmt w:val="bullet"/>
        <w:lvlText w:val=""/>
        <w:lvlJc w:val="left"/>
        <w:pPr>
          <w:ind w:left="720" w:hanging="360"/>
        </w:pPr>
        <w:rPr>
          <w:rFonts w:ascii="Symbol" w:hAnsi="Symbol" w:hint="default"/>
        </w:rPr>
      </w:lvl>
    </w:lvlOverride>
  </w:num>
  <w:num w:numId="5" w16cid:durableId="1357075315">
    <w:abstractNumId w:val="23"/>
  </w:num>
  <w:num w:numId="6" w16cid:durableId="347559441">
    <w:abstractNumId w:val="50"/>
  </w:num>
  <w:num w:numId="7" w16cid:durableId="1118186204">
    <w:abstractNumId w:val="53"/>
  </w:num>
  <w:num w:numId="8" w16cid:durableId="1142428652">
    <w:abstractNumId w:val="37"/>
  </w:num>
  <w:num w:numId="9" w16cid:durableId="1385987521">
    <w:abstractNumId w:val="35"/>
  </w:num>
  <w:num w:numId="10" w16cid:durableId="1589539358">
    <w:abstractNumId w:val="31"/>
  </w:num>
  <w:num w:numId="11" w16cid:durableId="523640607">
    <w:abstractNumId w:val="32"/>
  </w:num>
  <w:num w:numId="12" w16cid:durableId="618149843">
    <w:abstractNumId w:val="10"/>
  </w:num>
  <w:num w:numId="13" w16cid:durableId="1182553461">
    <w:abstractNumId w:val="36"/>
  </w:num>
  <w:num w:numId="14" w16cid:durableId="1389259238">
    <w:abstractNumId w:val="17"/>
  </w:num>
  <w:num w:numId="15" w16cid:durableId="1143815570">
    <w:abstractNumId w:val="16"/>
  </w:num>
  <w:num w:numId="16" w16cid:durableId="28649887">
    <w:abstractNumId w:val="28"/>
  </w:num>
  <w:num w:numId="17" w16cid:durableId="880434868">
    <w:abstractNumId w:val="7"/>
  </w:num>
  <w:num w:numId="18" w16cid:durableId="1536700126">
    <w:abstractNumId w:val="27"/>
  </w:num>
  <w:num w:numId="19" w16cid:durableId="798568903">
    <w:abstractNumId w:val="15"/>
  </w:num>
  <w:num w:numId="20" w16cid:durableId="1067344405">
    <w:abstractNumId w:val="13"/>
  </w:num>
  <w:num w:numId="21" w16cid:durableId="55131273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2404253">
    <w:abstractNumId w:val="24"/>
  </w:num>
  <w:num w:numId="23" w16cid:durableId="1652441885">
    <w:abstractNumId w:val="18"/>
  </w:num>
  <w:num w:numId="24" w16cid:durableId="1481771981">
    <w:abstractNumId w:val="14"/>
  </w:num>
  <w:num w:numId="25" w16cid:durableId="2089493246">
    <w:abstractNumId w:val="11"/>
  </w:num>
  <w:num w:numId="26" w16cid:durableId="313875800">
    <w:abstractNumId w:val="29"/>
  </w:num>
  <w:num w:numId="27" w16cid:durableId="485631283">
    <w:abstractNumId w:val="19"/>
  </w:num>
  <w:num w:numId="28" w16cid:durableId="1359427383">
    <w:abstractNumId w:val="45"/>
  </w:num>
  <w:num w:numId="29" w16cid:durableId="1593003934">
    <w:abstractNumId w:val="38"/>
  </w:num>
  <w:num w:numId="30" w16cid:durableId="929772849">
    <w:abstractNumId w:val="44"/>
  </w:num>
  <w:num w:numId="31" w16cid:durableId="74939413">
    <w:abstractNumId w:val="21"/>
  </w:num>
  <w:num w:numId="32" w16cid:durableId="1676036043">
    <w:abstractNumId w:val="48"/>
  </w:num>
  <w:num w:numId="33" w16cid:durableId="530845421">
    <w:abstractNumId w:val="33"/>
  </w:num>
  <w:num w:numId="34" w16cid:durableId="1930889719">
    <w:abstractNumId w:val="12"/>
  </w:num>
  <w:num w:numId="35" w16cid:durableId="196360703">
    <w:abstractNumId w:val="49"/>
  </w:num>
  <w:num w:numId="36" w16cid:durableId="1705790129">
    <w:abstractNumId w:val="43"/>
  </w:num>
  <w:num w:numId="37" w16cid:durableId="59719573">
    <w:abstractNumId w:val="4"/>
  </w:num>
  <w:num w:numId="38" w16cid:durableId="60687805">
    <w:abstractNumId w:val="51"/>
  </w:num>
  <w:num w:numId="39" w16cid:durableId="1413357118">
    <w:abstractNumId w:val="46"/>
  </w:num>
  <w:num w:numId="40" w16cid:durableId="853350550">
    <w:abstractNumId w:val="40"/>
  </w:num>
  <w:num w:numId="41" w16cid:durableId="542863343">
    <w:abstractNumId w:val="41"/>
  </w:num>
  <w:num w:numId="42" w16cid:durableId="1028989402">
    <w:abstractNumId w:val="3"/>
  </w:num>
  <w:num w:numId="43" w16cid:durableId="1804078806">
    <w:abstractNumId w:val="5"/>
  </w:num>
  <w:num w:numId="44" w16cid:durableId="1509060997">
    <w:abstractNumId w:val="26"/>
  </w:num>
  <w:num w:numId="45" w16cid:durableId="241568817">
    <w:abstractNumId w:val="6"/>
  </w:num>
  <w:num w:numId="46" w16cid:durableId="1701011799">
    <w:abstractNumId w:val="2"/>
  </w:num>
  <w:num w:numId="47" w16cid:durableId="1737967198">
    <w:abstractNumId w:val="0"/>
  </w:num>
  <w:num w:numId="48" w16cid:durableId="553925642">
    <w:abstractNumId w:val="22"/>
  </w:num>
  <w:num w:numId="49" w16cid:durableId="275917175">
    <w:abstractNumId w:val="54"/>
  </w:num>
  <w:num w:numId="50" w16cid:durableId="1021324948">
    <w:abstractNumId w:val="30"/>
  </w:num>
  <w:num w:numId="51" w16cid:durableId="561258208">
    <w:abstractNumId w:val="47"/>
  </w:num>
  <w:num w:numId="52" w16cid:durableId="1730490570">
    <w:abstractNumId w:val="8"/>
  </w:num>
  <w:num w:numId="53" w16cid:durableId="2007199842">
    <w:abstractNumId w:val="39"/>
  </w:num>
  <w:num w:numId="54" w16cid:durableId="587007829">
    <w:abstractNumId w:val="20"/>
  </w:num>
  <w:num w:numId="55" w16cid:durableId="775684525">
    <w:abstractNumId w:val="5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E77D4"/>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6689"/>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77B5F"/>
    <w:rsid w:val="00581E0A"/>
    <w:rsid w:val="00586D89"/>
    <w:rsid w:val="005916B8"/>
    <w:rsid w:val="005A0E33"/>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097B"/>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20A"/>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1B3C"/>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4E66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037%2Fa0036406" TargetMode="External"/><Relationship Id="rId3" Type="http://schemas.openxmlformats.org/officeDocument/2006/relationships/customXml" Target="../customXml/item3.xml"/><Relationship Id="rId21" Type="http://schemas.openxmlformats.org/officeDocument/2006/relationships/hyperlink" Target="https://news.stanford.edu/2015/05/07/stress-embrace-mcgonigal050715/"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overnment/collections/police-super-complaint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researchgate.net/publication/242303703_POSITIVE_AND_NEGATIVE_IMPACTS_OF_GROUP_WORK_FROM_THE_STUDENT_PERSPECTIVE" TargetMode="External"/><Relationship Id="rId29" Type="http://schemas.openxmlformats.org/officeDocument/2006/relationships/hyperlink" Target="https://www.devonlive.com/news/devon-news/devon-judge-rule-thumb-beating-72568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alth.harvard.edu/staying-healthy/exercising-to-relax"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theguardian.com/uk-news/2021/aug/24/police-failing-to-impose-orders-on-men-accused-of-abuse-watchdog-finds" TargetMode="External"/><Relationship Id="rId28" Type="http://schemas.openxmlformats.org/officeDocument/2006/relationships/hyperlink" Target="https://doi.org/10.1007/s11932-002-0017-7"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who.int/news-room/questions-and-answers/item/str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edicalnewstoday.com/articles/321019" TargetMode="External"/><Relationship Id="rId27" Type="http://schemas.openxmlformats.org/officeDocument/2006/relationships/hyperlink" Target="https://scholar.google.com/scholar_lookup?journal=Rev.+Gen.+Psychol.&amp;title=Psychological+momentum:+why+success+breeds+success&amp;author=S.+E.+Iso-Ahola&amp;author=C.+O.+Dotson&amp;volume=18&amp;publication_year=2014&amp;pages=19-33&amp;doi=10.1037/a0036406&amp;" TargetMode="External"/><Relationship Id="rId30" Type="http://schemas.openxmlformats.org/officeDocument/2006/relationships/hyperlink" Target="https://www.semel.ucla.edu/dual-diagnosis%20program/News_and_Resources/How_Do_You_Cope"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18</Pages>
  <Words>5207</Words>
  <Characters>29682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Howells,Benjamin swp8606</cp:lastModifiedBy>
  <cp:revision>8</cp:revision>
  <cp:lastPrinted>2019-08-13T11:47:00Z</cp:lastPrinted>
  <dcterms:created xsi:type="dcterms:W3CDTF">2023-09-22T13:35:00Z</dcterms:created>
  <dcterms:modified xsi:type="dcterms:W3CDTF">2023-09-22T16:50:00Z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2023-09-22T13:35:25Z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105e1055-5145-43a8-adff-f5ad494b08de</vt:lpwstr>
  </property>
  <property fmtid="{D5CDD505-2E9C-101B-9397-08002B2CF9AE}" pid="9" name="MSIP_Label_66cf8fe5-b7b7-4df7-b38d-1c61ac2f6639_ContentBits">
    <vt:lpwstr>0</vt:lpwstr>
  </property>
</Properties>
</file>