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78A1CE" w14:textId="7F982BAC" w:rsidR="00362734" w:rsidRPr="00162F94" w:rsidRDefault="00362734" w:rsidP="00932575">
      <w:pPr>
        <w:spacing w:before="0" w:after="0" w:line="240" w:lineRule="auto"/>
        <w:rPr>
          <w:rFonts w:cs="Times New Roman"/>
        </w:rPr>
      </w:pPr>
      <w:r w:rsidRPr="00162F94">
        <w:rPr>
          <w:rFonts w:cs="Times New Roman"/>
        </w:rPr>
        <w:t xml:space="preserve">The authenticity of a </w:t>
      </w:r>
      <w:r w:rsidR="008A3A4D" w:rsidRPr="00162F94">
        <w:rPr>
          <w:rFonts w:cs="Times New Roman"/>
        </w:rPr>
        <w:t>W</w:t>
      </w:r>
      <w:r w:rsidRPr="00162F94">
        <w:rPr>
          <w:rFonts w:cs="Times New Roman"/>
        </w:rPr>
        <w:t>ill, which is essay that shows what someone wants to happen with their possessions when they pass away, is very important in the laws about who gets inheritance (</w:t>
      </w:r>
      <w:r w:rsidR="007F1150" w:rsidRPr="00162F94">
        <w:rPr>
          <w:rFonts w:cs="Times New Roman"/>
        </w:rPr>
        <w:t>King, 2022).</w:t>
      </w:r>
      <w:r w:rsidRPr="00162F94">
        <w:rPr>
          <w:rFonts w:cs="Times New Roman"/>
        </w:rPr>
        <w:t xml:space="preserve"> This guarantees that what the person who wrote the will wanted is </w:t>
      </w:r>
      <w:proofErr w:type="gramStart"/>
      <w:r w:rsidRPr="00162F94">
        <w:rPr>
          <w:rFonts w:cs="Times New Roman"/>
        </w:rPr>
        <w:t>taken into account</w:t>
      </w:r>
      <w:proofErr w:type="gramEnd"/>
      <w:r w:rsidRPr="00162F94">
        <w:rPr>
          <w:rFonts w:cs="Times New Roman"/>
        </w:rPr>
        <w:t xml:space="preserve"> and that sharing out their things happens in a just way. Nevertheless, situations arise when someone might question if a will is valid, causing difficult legal arguments. The purpose of this essay is to examine in detail the different methods used to dispute a will's legitimacy, especially looking at past legal cases. It is to explore important legal ideas like when the court is suspicious, someone using too much pressure on others, </w:t>
      </w:r>
      <w:proofErr w:type="gramStart"/>
      <w:r w:rsidRPr="00162F94">
        <w:rPr>
          <w:rFonts w:cs="Times New Roman"/>
        </w:rPr>
        <w:t>force</w:t>
      </w:r>
      <w:proofErr w:type="gramEnd"/>
      <w:r w:rsidRPr="00162F94">
        <w:rPr>
          <w:rFonts w:cs="Times New Roman"/>
        </w:rPr>
        <w:t xml:space="preserve"> or violence that's physical, convincing people in certain ways, cheating and making fake documents (Bonfield, 2016). It will look at every one of these closely and use real examples from past court cases to understand how they were used and explained in actual situations. The goal is not just to explain these ideas, but also to examine them thoughtfully. It needs to look into what they mean, their good points and bad points, as well as the debates they might cause. </w:t>
      </w:r>
    </w:p>
    <w:p w14:paraId="5F837633" w14:textId="77777777" w:rsidR="00932575" w:rsidRPr="00162F94" w:rsidRDefault="00932575" w:rsidP="00932575">
      <w:pPr>
        <w:spacing w:before="0" w:after="0" w:line="240" w:lineRule="auto"/>
        <w:rPr>
          <w:rFonts w:cs="Times New Roman"/>
        </w:rPr>
      </w:pPr>
    </w:p>
    <w:p w14:paraId="6E14D947" w14:textId="6A92F20D" w:rsidR="00362734" w:rsidRPr="00162F94" w:rsidRDefault="00362734" w:rsidP="00932575">
      <w:pPr>
        <w:spacing w:before="0" w:after="0" w:line="240" w:lineRule="auto"/>
        <w:rPr>
          <w:rFonts w:cs="Times New Roman"/>
        </w:rPr>
      </w:pPr>
      <w:r w:rsidRPr="00162F94">
        <w:rPr>
          <w:rFonts w:cs="Times New Roman"/>
        </w:rPr>
        <w:t xml:space="preserve">When courts discuss </w:t>
      </w:r>
      <w:r w:rsidR="00E818B4" w:rsidRPr="00162F94">
        <w:rPr>
          <w:rFonts w:cs="Times New Roman"/>
        </w:rPr>
        <w:t>W</w:t>
      </w:r>
      <w:r w:rsidRPr="00162F94">
        <w:rPr>
          <w:rFonts w:cs="Times New Roman"/>
        </w:rPr>
        <w:t xml:space="preserve">ills and suspicion, it is related to instances where there is uncertainty about the legitimacy of a </w:t>
      </w:r>
      <w:r w:rsidR="00E818B4" w:rsidRPr="00162F94">
        <w:rPr>
          <w:rFonts w:cs="Times New Roman"/>
        </w:rPr>
        <w:t>W</w:t>
      </w:r>
      <w:r w:rsidRPr="00162F94">
        <w:rPr>
          <w:rFonts w:cs="Times New Roman"/>
        </w:rPr>
        <w:t xml:space="preserve">ill, particularly if an individual who was involved in creating or drafting the </w:t>
      </w:r>
      <w:r w:rsidR="00C67597" w:rsidRPr="00162F94">
        <w:rPr>
          <w:rFonts w:cs="Times New Roman"/>
        </w:rPr>
        <w:t>W</w:t>
      </w:r>
      <w:r w:rsidRPr="00162F94">
        <w:rPr>
          <w:rFonts w:cs="Times New Roman"/>
        </w:rPr>
        <w:t>ill benefits substantially from its contents.</w:t>
      </w:r>
      <w:r w:rsidR="00C67597" w:rsidRPr="00162F94">
        <w:rPr>
          <w:rFonts w:cs="Times New Roman"/>
        </w:rPr>
        <w:t xml:space="preserve"> </w:t>
      </w:r>
      <w:r w:rsidRPr="00162F94">
        <w:rPr>
          <w:rFonts w:cs="Times New Roman"/>
        </w:rPr>
        <w:t xml:space="preserve">The legal precedent </w:t>
      </w:r>
      <w:bookmarkStart w:id="0" w:name="_Hlk160669581"/>
      <w:r w:rsidRPr="00162F94">
        <w:rPr>
          <w:rFonts w:cs="Times New Roman"/>
        </w:rPr>
        <w:t xml:space="preserve">Gill </w:t>
      </w:r>
      <w:r w:rsidR="00C67597" w:rsidRPr="00162F94">
        <w:rPr>
          <w:rFonts w:cs="Times New Roman"/>
        </w:rPr>
        <w:t xml:space="preserve">v </w:t>
      </w:r>
      <w:r w:rsidRPr="00162F94">
        <w:rPr>
          <w:rFonts w:cs="Times New Roman"/>
        </w:rPr>
        <w:t xml:space="preserve">Woodall </w:t>
      </w:r>
      <w:r w:rsidR="00BE560D" w:rsidRPr="00162F94">
        <w:rPr>
          <w:rFonts w:cs="Times New Roman"/>
        </w:rPr>
        <w:t>(</w:t>
      </w:r>
      <w:r w:rsidRPr="00162F94">
        <w:rPr>
          <w:rFonts w:cs="Times New Roman"/>
        </w:rPr>
        <w:t>2010</w:t>
      </w:r>
      <w:r w:rsidR="00BE560D" w:rsidRPr="00162F94">
        <w:rPr>
          <w:rFonts w:cs="Times New Roman"/>
        </w:rPr>
        <w:t>)</w:t>
      </w:r>
      <w:r w:rsidRPr="00162F94">
        <w:rPr>
          <w:rFonts w:cs="Times New Roman"/>
        </w:rPr>
        <w:t xml:space="preserve"> </w:t>
      </w:r>
      <w:bookmarkEnd w:id="0"/>
      <w:r w:rsidRPr="00162F94">
        <w:rPr>
          <w:rFonts w:cs="Times New Roman"/>
        </w:rPr>
        <w:t xml:space="preserve">is a significant instance to grasp this concept. The judges, in their essential duty to scrutinize the legitimacy of a </w:t>
      </w:r>
      <w:r w:rsidR="0014348F" w:rsidRPr="00162F94">
        <w:rPr>
          <w:rFonts w:cs="Times New Roman"/>
        </w:rPr>
        <w:t>W</w:t>
      </w:r>
      <w:r w:rsidRPr="00162F94">
        <w:rPr>
          <w:rFonts w:cs="Times New Roman"/>
        </w:rPr>
        <w:t xml:space="preserve">ill, </w:t>
      </w:r>
      <w:r w:rsidR="0014348F" w:rsidRPr="00162F94">
        <w:rPr>
          <w:rFonts w:cs="Times New Roman"/>
        </w:rPr>
        <w:t>harboured</w:t>
      </w:r>
      <w:r w:rsidRPr="00162F94">
        <w:rPr>
          <w:rFonts w:cs="Times New Roman"/>
        </w:rPr>
        <w:t xml:space="preserve"> doubt: the husband reaped substantial benefits from his wife's testament; </w:t>
      </w:r>
      <w:r w:rsidR="00D35B72" w:rsidRPr="00162F94">
        <w:rPr>
          <w:rFonts w:cs="Times New Roman"/>
        </w:rPr>
        <w:t>furthermore,</w:t>
      </w:r>
      <w:r w:rsidR="0014348F" w:rsidRPr="00162F94">
        <w:rPr>
          <w:rFonts w:cs="Times New Roman"/>
        </w:rPr>
        <w:t xml:space="preserve"> </w:t>
      </w:r>
      <w:r w:rsidRPr="00162F94">
        <w:rPr>
          <w:rFonts w:cs="Times New Roman"/>
        </w:rPr>
        <w:t>the circumstances surrounding its creation deviated markedly from typical norms.</w:t>
      </w:r>
    </w:p>
    <w:p w14:paraId="726FB4F5" w14:textId="77777777" w:rsidR="0044540E" w:rsidRPr="00162F94" w:rsidRDefault="0044540E" w:rsidP="00932575">
      <w:pPr>
        <w:spacing w:before="0" w:after="0" w:line="240" w:lineRule="auto"/>
        <w:rPr>
          <w:rFonts w:cs="Times New Roman"/>
        </w:rPr>
      </w:pPr>
    </w:p>
    <w:p w14:paraId="30E068AA" w14:textId="451BF49C" w:rsidR="00362734" w:rsidRPr="00162F94" w:rsidRDefault="00362734" w:rsidP="0044540E">
      <w:pPr>
        <w:spacing w:before="0" w:after="0" w:line="240" w:lineRule="auto"/>
        <w:rPr>
          <w:rFonts w:cs="Times New Roman"/>
        </w:rPr>
      </w:pPr>
      <w:r w:rsidRPr="00162F94">
        <w:rPr>
          <w:rFonts w:cs="Times New Roman"/>
        </w:rPr>
        <w:t xml:space="preserve">In the Gill v Woodall case, courts have a crucial responsibility to carefully examine and safeguard the testator's intentions, ensuring their accurate representation in the will (Oliver, 2002). The court—justifiably </w:t>
      </w:r>
      <w:r w:rsidR="004872BF" w:rsidRPr="00162F94">
        <w:rPr>
          <w:rFonts w:cs="Times New Roman"/>
        </w:rPr>
        <w:t>sceptical</w:t>
      </w:r>
      <w:r w:rsidRPr="00162F94">
        <w:rPr>
          <w:rFonts w:cs="Times New Roman"/>
        </w:rPr>
        <w:t xml:space="preserve"> due to significant involvement by the husband in drafting this instrument from which he stood to gain substantially</w:t>
      </w:r>
      <w:r w:rsidR="00024806" w:rsidRPr="00162F94">
        <w:rPr>
          <w:rFonts w:cs="Times New Roman"/>
        </w:rPr>
        <w:t xml:space="preserve"> </w:t>
      </w:r>
      <w:r w:rsidRPr="00162F94">
        <w:rPr>
          <w:rFonts w:cs="Times New Roman"/>
        </w:rPr>
        <w:t>demonstrates its responsibility. It underscores this fact by meticulously probing such conditions, demanding robust evidence that the will's creator was cognizant of its contents and gave consent.</w:t>
      </w:r>
    </w:p>
    <w:p w14:paraId="76D04113" w14:textId="77777777" w:rsidR="0044540E" w:rsidRPr="00162F94" w:rsidRDefault="0044540E" w:rsidP="0044540E">
      <w:pPr>
        <w:spacing w:before="0" w:after="0" w:line="240" w:lineRule="auto"/>
        <w:rPr>
          <w:rFonts w:cs="Times New Roman"/>
        </w:rPr>
      </w:pPr>
    </w:p>
    <w:p w14:paraId="2C1BFC94" w14:textId="63B60A60" w:rsidR="00362734" w:rsidRPr="00162F94" w:rsidRDefault="00362734" w:rsidP="00932575">
      <w:pPr>
        <w:spacing w:before="0" w:after="0" w:line="240" w:lineRule="auto"/>
        <w:rPr>
          <w:rFonts w:cs="Times New Roman"/>
        </w:rPr>
      </w:pPr>
      <w:r w:rsidRPr="00162F94">
        <w:rPr>
          <w:rFonts w:cs="Times New Roman"/>
        </w:rPr>
        <w:t>This circumstance prompts inquiries: when should a court begin to suspect, and what is the threshold at which the involvement of individuals in will composition can potentially compromise objectivity? It underscores</w:t>
      </w:r>
      <w:r w:rsidR="00E51C55" w:rsidRPr="00162F94">
        <w:rPr>
          <w:rFonts w:cs="Times New Roman"/>
        </w:rPr>
        <w:t xml:space="preserve"> </w:t>
      </w:r>
      <w:r w:rsidRPr="00162F94">
        <w:rPr>
          <w:rFonts w:cs="Times New Roman"/>
        </w:rPr>
        <w:t>with unyielding force</w:t>
      </w:r>
      <w:r w:rsidR="00E51C55" w:rsidRPr="00162F94">
        <w:rPr>
          <w:rFonts w:cs="Times New Roman"/>
        </w:rPr>
        <w:t xml:space="preserve"> </w:t>
      </w:r>
      <w:r w:rsidRPr="00162F94">
        <w:rPr>
          <w:rFonts w:cs="Times New Roman"/>
        </w:rPr>
        <w:t>the necessity for lucid regulations; these are vital safeguards against possible misappropriation of authority during testamentary processes (</w:t>
      </w:r>
      <w:r w:rsidR="004261E7" w:rsidRPr="00162F94">
        <w:rPr>
          <w:rFonts w:cs="Times New Roman"/>
        </w:rPr>
        <w:t>D.W.L</w:t>
      </w:r>
      <w:r w:rsidRPr="00162F94">
        <w:rPr>
          <w:rFonts w:cs="Times New Roman"/>
        </w:rPr>
        <w:t xml:space="preserve">, </w:t>
      </w:r>
      <w:r w:rsidR="00BC6A2F" w:rsidRPr="00162F94">
        <w:rPr>
          <w:rFonts w:cs="Times New Roman"/>
        </w:rPr>
        <w:t>1939</w:t>
      </w:r>
      <w:r w:rsidRPr="00162F94">
        <w:rPr>
          <w:rFonts w:cs="Times New Roman"/>
        </w:rPr>
        <w:t>).</w:t>
      </w:r>
    </w:p>
    <w:p w14:paraId="2BB72D13" w14:textId="77777777" w:rsidR="0044540E" w:rsidRPr="00162F94" w:rsidRDefault="0044540E" w:rsidP="00932575">
      <w:pPr>
        <w:spacing w:before="0" w:after="0" w:line="240" w:lineRule="auto"/>
        <w:rPr>
          <w:rFonts w:cs="Times New Roman"/>
        </w:rPr>
      </w:pPr>
    </w:p>
    <w:p w14:paraId="48B583CB" w14:textId="3D5427E3" w:rsidR="00362734" w:rsidRPr="00162F94" w:rsidRDefault="00362734" w:rsidP="0044540E">
      <w:pPr>
        <w:spacing w:before="0" w:after="0" w:line="240" w:lineRule="auto"/>
        <w:rPr>
          <w:rFonts w:cs="Times New Roman"/>
        </w:rPr>
      </w:pPr>
      <w:r w:rsidRPr="00162F94">
        <w:rPr>
          <w:rFonts w:cs="Times New Roman"/>
        </w:rPr>
        <w:t>The case of Gill v</w:t>
      </w:r>
      <w:r w:rsidR="00E51C55" w:rsidRPr="00162F94">
        <w:rPr>
          <w:rFonts w:cs="Times New Roman"/>
        </w:rPr>
        <w:t xml:space="preserve"> </w:t>
      </w:r>
      <w:r w:rsidRPr="00162F94">
        <w:rPr>
          <w:rFonts w:cs="Times New Roman"/>
        </w:rPr>
        <w:t xml:space="preserve">Woodall reminds us strongly that courts must look after what the person who made the will </w:t>
      </w:r>
      <w:r w:rsidR="0090328D" w:rsidRPr="00162F94">
        <w:rPr>
          <w:rFonts w:cs="Times New Roman"/>
        </w:rPr>
        <w:t>wanted and</w:t>
      </w:r>
      <w:r w:rsidRPr="00162F94">
        <w:rPr>
          <w:rFonts w:cs="Times New Roman"/>
        </w:rPr>
        <w:t xml:space="preserve"> be very careful in situations where people who helped make the will could get a lot from it. It also shows how complicated it is to decide when these benefits become too much influence over someone's decisions, which can make the will not valid.</w:t>
      </w:r>
    </w:p>
    <w:p w14:paraId="1864C09A" w14:textId="77777777" w:rsidR="00224D25" w:rsidRPr="00162F94" w:rsidRDefault="00224D25" w:rsidP="0044540E">
      <w:pPr>
        <w:spacing w:before="0" w:after="0" w:line="240" w:lineRule="auto"/>
        <w:rPr>
          <w:rFonts w:cs="Times New Roman"/>
        </w:rPr>
      </w:pPr>
    </w:p>
    <w:p w14:paraId="3DFA99A5" w14:textId="7C6B3D47" w:rsidR="00362734" w:rsidRPr="00162F94" w:rsidRDefault="00362734" w:rsidP="00224D25">
      <w:pPr>
        <w:spacing w:before="0" w:after="0" w:line="240" w:lineRule="auto"/>
        <w:rPr>
          <w:rFonts w:cs="Times New Roman"/>
        </w:rPr>
      </w:pPr>
      <w:r w:rsidRPr="00162F94">
        <w:rPr>
          <w:rFonts w:cs="Times New Roman"/>
        </w:rPr>
        <w:t xml:space="preserve">In cases with </w:t>
      </w:r>
      <w:r w:rsidR="007572B2" w:rsidRPr="00162F94">
        <w:rPr>
          <w:rFonts w:cs="Times New Roman"/>
        </w:rPr>
        <w:t>W</w:t>
      </w:r>
      <w:r w:rsidRPr="00162F94">
        <w:rPr>
          <w:rFonts w:cs="Times New Roman"/>
        </w:rPr>
        <w:t xml:space="preserve">ills, undue influence means when someone is forced to change their </w:t>
      </w:r>
      <w:r w:rsidR="00EB16CD" w:rsidRPr="00162F94">
        <w:rPr>
          <w:rFonts w:cs="Times New Roman"/>
        </w:rPr>
        <w:t>Will,</w:t>
      </w:r>
      <w:r w:rsidRPr="00162F94">
        <w:rPr>
          <w:rFonts w:cs="Times New Roman"/>
        </w:rPr>
        <w:t xml:space="preserve"> so it </w:t>
      </w:r>
      <w:r w:rsidR="009D6754" w:rsidRPr="00162F94">
        <w:rPr>
          <w:rFonts w:cs="Times New Roman"/>
        </w:rPr>
        <w:t>favours</w:t>
      </w:r>
      <w:r w:rsidRPr="00162F94">
        <w:rPr>
          <w:rFonts w:cs="Times New Roman"/>
        </w:rPr>
        <w:t xml:space="preserve"> another person. This force or pressure must be shown by the one who says it happened.</w:t>
      </w:r>
    </w:p>
    <w:p w14:paraId="568109F4" w14:textId="77777777" w:rsidR="007572B2" w:rsidRPr="00162F94" w:rsidRDefault="007572B2" w:rsidP="00224D25">
      <w:pPr>
        <w:spacing w:before="0" w:after="0" w:line="240" w:lineRule="auto"/>
        <w:rPr>
          <w:rFonts w:cs="Times New Roman"/>
        </w:rPr>
      </w:pPr>
    </w:p>
    <w:p w14:paraId="51E51AFE" w14:textId="65157896" w:rsidR="00362734" w:rsidRPr="00162F94" w:rsidRDefault="00362734" w:rsidP="005E486D">
      <w:pPr>
        <w:pStyle w:val="ListParagraph"/>
        <w:numPr>
          <w:ilvl w:val="0"/>
          <w:numId w:val="1"/>
        </w:numPr>
        <w:spacing w:before="0" w:after="0" w:line="240" w:lineRule="auto"/>
        <w:ind w:left="714" w:hanging="357"/>
        <w:rPr>
          <w:rFonts w:cs="Times New Roman"/>
        </w:rPr>
      </w:pPr>
      <w:r w:rsidRPr="00162F94">
        <w:rPr>
          <w:rFonts w:cs="Times New Roman"/>
        </w:rPr>
        <w:t xml:space="preserve">Precedent in Parfitt </w:t>
      </w:r>
      <w:r w:rsidR="008F7DC6" w:rsidRPr="00162F94">
        <w:rPr>
          <w:rFonts w:cs="Times New Roman"/>
        </w:rPr>
        <w:t>v</w:t>
      </w:r>
      <w:r w:rsidRPr="00162F94">
        <w:rPr>
          <w:rFonts w:cs="Times New Roman"/>
        </w:rPr>
        <w:t xml:space="preserve"> Lawless (1872</w:t>
      </w:r>
      <w:r w:rsidR="008F7DC6" w:rsidRPr="00162F94">
        <w:rPr>
          <w:rFonts w:cs="Times New Roman"/>
        </w:rPr>
        <w:t>)</w:t>
      </w:r>
      <w:r w:rsidR="00FE1BCC" w:rsidRPr="00162F94">
        <w:rPr>
          <w:rFonts w:cs="Times New Roman"/>
        </w:rPr>
        <w:t xml:space="preserve"> t</w:t>
      </w:r>
      <w:r w:rsidRPr="00162F94">
        <w:rPr>
          <w:rFonts w:cs="Times New Roman"/>
        </w:rPr>
        <w:t>he judges decided that there's no assumption or enough proof of this where the woman who wrote her will gave what remained of her property to a Catholic priest, and he was living with her like a spiritual guide and someone she confesses to (</w:t>
      </w:r>
      <w:proofErr w:type="spellStart"/>
      <w:r w:rsidRPr="00162F94">
        <w:rPr>
          <w:rFonts w:cs="Times New Roman"/>
        </w:rPr>
        <w:t>Plucknett</w:t>
      </w:r>
      <w:proofErr w:type="spellEnd"/>
      <w:r w:rsidRPr="00162F94">
        <w:rPr>
          <w:rFonts w:cs="Times New Roman"/>
        </w:rPr>
        <w:t>, 2001). This situation brings up inquiries regarding what level is needed to prove too much persuasion and how private connections can sway the choices of someone making a will.</w:t>
      </w:r>
    </w:p>
    <w:p w14:paraId="5D496A1F" w14:textId="42B8DFC7" w:rsidR="00362734" w:rsidRPr="00162F94" w:rsidRDefault="00362734" w:rsidP="005E486D">
      <w:pPr>
        <w:pStyle w:val="ListParagraph"/>
        <w:numPr>
          <w:ilvl w:val="0"/>
          <w:numId w:val="1"/>
        </w:numPr>
        <w:spacing w:before="0" w:after="0" w:line="240" w:lineRule="auto"/>
        <w:ind w:left="714" w:hanging="357"/>
        <w:rPr>
          <w:rFonts w:cs="Times New Roman"/>
        </w:rPr>
      </w:pPr>
      <w:r w:rsidRPr="00162F94">
        <w:rPr>
          <w:rFonts w:cs="Times New Roman"/>
        </w:rPr>
        <w:lastRenderedPageBreak/>
        <w:t>In the case Hall v Hall (1868)</w:t>
      </w:r>
      <w:r w:rsidR="00FE1BCC" w:rsidRPr="00162F94">
        <w:rPr>
          <w:rFonts w:cs="Times New Roman"/>
        </w:rPr>
        <w:t xml:space="preserve"> </w:t>
      </w:r>
      <w:r w:rsidRPr="00162F94">
        <w:rPr>
          <w:rFonts w:cs="Times New Roman"/>
        </w:rPr>
        <w:t>the judges decided that putting bad pressure on someone making a will doesn't always mean there's undue influence to make the will not valid. They said for a will to be proper, the person must have freedom in their choices. This situation shows the thin border between having influence and too much of it, and how hard it is to tell when normal influence turns into excessive.</w:t>
      </w:r>
    </w:p>
    <w:p w14:paraId="21312712" w14:textId="77777777" w:rsidR="005E486D" w:rsidRPr="00162F94" w:rsidRDefault="005E486D" w:rsidP="005E486D">
      <w:pPr>
        <w:pStyle w:val="ListParagraph"/>
        <w:spacing w:before="0" w:after="0" w:line="240" w:lineRule="auto"/>
        <w:ind w:left="714"/>
        <w:rPr>
          <w:rFonts w:cs="Times New Roman"/>
        </w:rPr>
      </w:pPr>
    </w:p>
    <w:p w14:paraId="4E22D3F3" w14:textId="65C09524" w:rsidR="00F93461" w:rsidRPr="00162F94" w:rsidRDefault="00362734" w:rsidP="00F93461">
      <w:pPr>
        <w:pStyle w:val="ListParagraph"/>
        <w:numPr>
          <w:ilvl w:val="0"/>
          <w:numId w:val="1"/>
        </w:numPr>
        <w:spacing w:before="0" w:after="0" w:line="240" w:lineRule="auto"/>
        <w:ind w:left="714" w:hanging="357"/>
        <w:rPr>
          <w:lang w:eastAsia="en-GB"/>
        </w:rPr>
      </w:pPr>
      <w:r w:rsidRPr="00162F94">
        <w:rPr>
          <w:lang w:eastAsia="en-GB"/>
        </w:rPr>
        <w:t xml:space="preserve">The court in Wingrove </w:t>
      </w:r>
      <w:r w:rsidR="007169C8" w:rsidRPr="00162F94">
        <w:rPr>
          <w:lang w:eastAsia="en-GB"/>
        </w:rPr>
        <w:t xml:space="preserve">v </w:t>
      </w:r>
      <w:r w:rsidRPr="00162F94">
        <w:rPr>
          <w:lang w:eastAsia="en-GB"/>
        </w:rPr>
        <w:t>Wingrove (1885)</w:t>
      </w:r>
      <w:r w:rsidR="007169C8" w:rsidRPr="00162F94">
        <w:rPr>
          <w:lang w:eastAsia="en-GB"/>
        </w:rPr>
        <w:t xml:space="preserve"> </w:t>
      </w:r>
      <w:r w:rsidRPr="00162F94">
        <w:rPr>
          <w:lang w:eastAsia="en-GB"/>
        </w:rPr>
        <w:t>ruled that proving undue influence requires more than establishing someone's ability to dominate the decisions of the testator; it must demonstrate that this power was actually exerted during the creation of the will (Beattie, 2019). It is essential to have strong evidence that connects attempts of persuasion directly with the contents of a will. Judges decided that proving undue influence needs more than showing someone could control the choices of the person who wrote the will; it must show this influence was really used when making it</w:t>
      </w:r>
      <w:r w:rsidR="00F93461" w:rsidRPr="00162F94">
        <w:rPr>
          <w:lang w:eastAsia="en-GB"/>
        </w:rPr>
        <w:t>.</w:t>
      </w:r>
      <w:r w:rsidRPr="00162F94">
        <w:rPr>
          <w:lang w:eastAsia="en-GB"/>
        </w:rPr>
        <w:t xml:space="preserve"> </w:t>
      </w:r>
    </w:p>
    <w:p w14:paraId="649EFC01" w14:textId="77777777" w:rsidR="00F93461" w:rsidRPr="00162F94" w:rsidRDefault="00F93461" w:rsidP="00F93461">
      <w:pPr>
        <w:spacing w:before="0" w:after="0" w:line="240" w:lineRule="auto"/>
        <w:rPr>
          <w:lang w:eastAsia="en-GB"/>
        </w:rPr>
      </w:pPr>
    </w:p>
    <w:p w14:paraId="29384616" w14:textId="7D187316" w:rsidR="00362734" w:rsidRPr="00162F94" w:rsidRDefault="00362734" w:rsidP="002C1461">
      <w:pPr>
        <w:spacing w:before="0" w:after="0" w:line="240" w:lineRule="auto"/>
        <w:rPr>
          <w:lang w:eastAsia="en-GB"/>
        </w:rPr>
      </w:pPr>
      <w:r w:rsidRPr="00162F94">
        <w:rPr>
          <w:lang w:eastAsia="en-GB"/>
        </w:rPr>
        <w:t>These examples show how complex it is to prove too much pressure and highlight the importance of having clear rules and strong evidence. They raise questions about the effects that personal relationships have on this matter and what amount of proof is needed to confirm too much influence. The cases highlight the court’s responsibility to safeguard a person’s free will in their will's provisions, and they also act as an alarm about subtle interference with these decisions. They clearly show how complex it is to challenge the legitimacy of a will based on possible pressure and stress the immediate need for significant proof</w:t>
      </w:r>
      <w:r w:rsidR="00F93461" w:rsidRPr="00162F94">
        <w:rPr>
          <w:lang w:eastAsia="en-GB"/>
        </w:rPr>
        <w:t xml:space="preserve"> (Beattie, 2019).</w:t>
      </w:r>
    </w:p>
    <w:p w14:paraId="6554BEE8" w14:textId="77777777" w:rsidR="00B928FE" w:rsidRPr="00162F94" w:rsidRDefault="00B928FE" w:rsidP="00B928FE">
      <w:pPr>
        <w:spacing w:before="0" w:after="0" w:line="240" w:lineRule="auto"/>
        <w:rPr>
          <w:lang w:eastAsia="en-GB"/>
        </w:rPr>
      </w:pPr>
    </w:p>
    <w:p w14:paraId="35DDEF47" w14:textId="7ADEFE73" w:rsidR="004F6B3B" w:rsidRPr="00162F94" w:rsidRDefault="00362734" w:rsidP="004F6B3B">
      <w:pPr>
        <w:spacing w:before="0" w:after="0" w:line="240" w:lineRule="auto"/>
        <w:rPr>
          <w:rFonts w:cs="Times New Roman"/>
        </w:rPr>
      </w:pPr>
      <w:r w:rsidRPr="00162F94">
        <w:rPr>
          <w:rFonts w:cs="Times New Roman"/>
        </w:rPr>
        <w:t xml:space="preserve">The case of Hall v. Hall </w:t>
      </w:r>
      <w:r w:rsidR="00C32538" w:rsidRPr="00162F94">
        <w:rPr>
          <w:rFonts w:cs="Times New Roman"/>
        </w:rPr>
        <w:t>(</w:t>
      </w:r>
      <w:r w:rsidRPr="00162F94">
        <w:rPr>
          <w:rFonts w:cs="Times New Roman"/>
        </w:rPr>
        <w:t>1868</w:t>
      </w:r>
      <w:r w:rsidR="00C32538" w:rsidRPr="00162F94">
        <w:rPr>
          <w:rFonts w:cs="Times New Roman"/>
        </w:rPr>
        <w:t>)</w:t>
      </w:r>
      <w:r w:rsidRPr="00162F94">
        <w:rPr>
          <w:rFonts w:cs="Times New Roman"/>
        </w:rPr>
        <w:t xml:space="preserve"> shows a situation where a person is pushed or frightened into making changes to their will that they do not truly desire. The individual who took this matter to court applied heavy pressure and used threats, causing the farmer to make a new will that left all his property to his wife, against his real wish of living peacefully and without disturbance.</w:t>
      </w:r>
      <w:r w:rsidR="005241D1" w:rsidRPr="00162F94">
        <w:rPr>
          <w:rFonts w:cs="Times New Roman"/>
        </w:rPr>
        <w:t xml:space="preserve"> </w:t>
      </w:r>
      <w:r w:rsidR="00BF72F0" w:rsidRPr="00162F94">
        <w:rPr>
          <w:rFonts w:cs="Times New Roman"/>
        </w:rPr>
        <w:t>Furthermore, w</w:t>
      </w:r>
      <w:r w:rsidRPr="00162F94">
        <w:rPr>
          <w:rFonts w:cs="Times New Roman"/>
        </w:rPr>
        <w:t>hen someone uses violence or strong force, it can seriously affect how a will works out. The decision in Hall v Hall said that a person needs to be free from others controlling them when they make their will; however, it also recogni</w:t>
      </w:r>
      <w:r w:rsidR="00C32538" w:rsidRPr="00162F94">
        <w:rPr>
          <w:rFonts w:cs="Times New Roman"/>
        </w:rPr>
        <w:t>s</w:t>
      </w:r>
      <w:r w:rsidRPr="00162F94">
        <w:rPr>
          <w:rFonts w:cs="Times New Roman"/>
        </w:rPr>
        <w:t xml:space="preserve">ed not every attempt to persuade breaks the law. This shows they really understand what happens when one </w:t>
      </w:r>
      <w:r w:rsidR="00C32538" w:rsidRPr="00162F94">
        <w:rPr>
          <w:rFonts w:cs="Times New Roman"/>
        </w:rPr>
        <w:t>uses</w:t>
      </w:r>
      <w:r w:rsidRPr="00162F94">
        <w:rPr>
          <w:rFonts w:cs="Times New Roman"/>
        </w:rPr>
        <w:t xml:space="preserve"> such aggression to influence someone's last wishes in their will.</w:t>
      </w:r>
      <w:r w:rsidR="00A60912" w:rsidRPr="00162F94">
        <w:rPr>
          <w:rFonts w:cs="Times New Roman"/>
        </w:rPr>
        <w:t xml:space="preserve"> </w:t>
      </w:r>
      <w:r w:rsidR="00A9349C" w:rsidRPr="00162F94">
        <w:rPr>
          <w:rFonts w:cs="Times New Roman"/>
        </w:rPr>
        <w:t xml:space="preserve">Moreover, </w:t>
      </w:r>
      <w:r w:rsidR="00353626">
        <w:rPr>
          <w:rFonts w:cs="Times New Roman"/>
        </w:rPr>
        <w:t>this</w:t>
      </w:r>
      <w:r w:rsidRPr="00162F94">
        <w:rPr>
          <w:rFonts w:cs="Times New Roman"/>
        </w:rPr>
        <w:t xml:space="preserve"> case shows how hard it is to question if a will is valid: it's complicated to tell the difference between unfair pressure and allowed convincing, plus there are problems in showing proof for threats (Crawford, 2019). This case also points out that understanding words such as "force" or "intimidation" can vary from person to person, making these legal arguments more complex.</w:t>
      </w:r>
    </w:p>
    <w:p w14:paraId="60AAD9AA" w14:textId="77777777" w:rsidR="004F6B3B" w:rsidRPr="00162F94" w:rsidRDefault="004F6B3B" w:rsidP="004F6B3B">
      <w:pPr>
        <w:spacing w:before="0" w:after="0" w:line="240" w:lineRule="auto"/>
        <w:rPr>
          <w:rFonts w:cs="Times New Roman"/>
        </w:rPr>
      </w:pPr>
    </w:p>
    <w:p w14:paraId="1633BB4D" w14:textId="4AE4C245" w:rsidR="00362734" w:rsidRPr="00162F94" w:rsidRDefault="00362734" w:rsidP="004F6B3B">
      <w:pPr>
        <w:spacing w:before="0" w:after="0" w:line="240" w:lineRule="auto"/>
        <w:rPr>
          <w:rFonts w:cs="Times New Roman"/>
        </w:rPr>
      </w:pPr>
      <w:r w:rsidRPr="00162F94">
        <w:rPr>
          <w:rFonts w:cs="Times New Roman"/>
        </w:rPr>
        <w:t>To cancel a will because of physical force or threats, it is important to show proof from the other side. Cases such as Hall v. Hall give us good examples of how this works and what effects it has. Understanding and thinking deeply about these ideas is very important, as well as considering possible consequences and different fields they may affect</w:t>
      </w:r>
      <w:r w:rsidR="00A57D1A" w:rsidRPr="00162F94">
        <w:rPr>
          <w:rFonts w:cs="Times New Roman"/>
        </w:rPr>
        <w:t xml:space="preserve"> (</w:t>
      </w:r>
      <w:proofErr w:type="spellStart"/>
      <w:r w:rsidR="00A57D1A" w:rsidRPr="00162F94">
        <w:rPr>
          <w:rFonts w:cs="Times New Roman"/>
        </w:rPr>
        <w:t>Keibek</w:t>
      </w:r>
      <w:proofErr w:type="spellEnd"/>
      <w:r w:rsidR="00A57D1A" w:rsidRPr="00162F94">
        <w:rPr>
          <w:rFonts w:cs="Times New Roman"/>
        </w:rPr>
        <w:t>, 2017)</w:t>
      </w:r>
      <w:r w:rsidRPr="00162F94">
        <w:rPr>
          <w:rFonts w:cs="Times New Roman"/>
        </w:rPr>
        <w:t>.</w:t>
      </w:r>
    </w:p>
    <w:p w14:paraId="73ACAB23" w14:textId="77777777" w:rsidR="00A57D1A" w:rsidRPr="00162F94" w:rsidRDefault="00A57D1A" w:rsidP="008B7983">
      <w:pPr>
        <w:spacing w:before="0" w:after="0" w:line="240" w:lineRule="auto"/>
        <w:rPr>
          <w:rFonts w:cs="Times New Roman"/>
        </w:rPr>
      </w:pPr>
    </w:p>
    <w:p w14:paraId="30312EC1" w14:textId="053C1B4C" w:rsidR="00362734" w:rsidRPr="00162F94" w:rsidRDefault="00362734" w:rsidP="008B7983">
      <w:pPr>
        <w:spacing w:before="0" w:after="0" w:line="240" w:lineRule="auto"/>
        <w:rPr>
          <w:rFonts w:cs="Times New Roman"/>
        </w:rPr>
      </w:pPr>
      <w:r w:rsidRPr="00162F94">
        <w:rPr>
          <w:rFonts w:cs="Times New Roman"/>
        </w:rPr>
        <w:t>The case Coles v. Reynolds</w:t>
      </w:r>
      <w:r w:rsidR="004635A3">
        <w:rPr>
          <w:rFonts w:cs="Times New Roman"/>
        </w:rPr>
        <w:t xml:space="preserve"> </w:t>
      </w:r>
      <w:r w:rsidRPr="00162F94">
        <w:rPr>
          <w:rFonts w:cs="Times New Roman"/>
        </w:rPr>
        <w:t>&amp;</w:t>
      </w:r>
      <w:r w:rsidR="004635A3">
        <w:rPr>
          <w:rFonts w:cs="Times New Roman"/>
        </w:rPr>
        <w:t xml:space="preserve"> </w:t>
      </w:r>
      <w:r w:rsidRPr="00162F94">
        <w:rPr>
          <w:rFonts w:cs="Times New Roman"/>
        </w:rPr>
        <w:t>other (2020)</w:t>
      </w:r>
      <w:r w:rsidR="004B2754" w:rsidRPr="00162F94">
        <w:rPr>
          <w:rFonts w:cs="Times New Roman"/>
        </w:rPr>
        <w:t xml:space="preserve"> </w:t>
      </w:r>
      <w:r w:rsidRPr="00162F94">
        <w:rPr>
          <w:rFonts w:cs="Times New Roman"/>
        </w:rPr>
        <w:t>is an important example for understanding persuasion. Teresa Coles argued about her mother's will, which left all property to Heather Reynolds, her sister. Teresa claimed that Heather wrongly persuaded their mother to change the will in this way. The court found that mother was consulting a lawyer to change the will in question. there was already a distance between sisters before their mother passed away. Consequently, given these circumstances, the court definitively dismissed any notion of undue influence (Scalise, 2008).</w:t>
      </w:r>
    </w:p>
    <w:p w14:paraId="2B728EB9" w14:textId="77777777" w:rsidR="008B7983" w:rsidRPr="00162F94" w:rsidRDefault="008B7983" w:rsidP="008B7983">
      <w:pPr>
        <w:spacing w:before="0" w:after="0" w:line="240" w:lineRule="auto"/>
        <w:rPr>
          <w:rFonts w:cs="Times New Roman"/>
        </w:rPr>
      </w:pPr>
    </w:p>
    <w:p w14:paraId="20B11989" w14:textId="4024579A" w:rsidR="00362734" w:rsidRPr="00162F94" w:rsidRDefault="00362734" w:rsidP="008B7983">
      <w:pPr>
        <w:spacing w:before="0" w:after="0" w:line="240" w:lineRule="auto"/>
        <w:rPr>
          <w:rFonts w:cs="Times New Roman"/>
        </w:rPr>
      </w:pPr>
      <w:r w:rsidRPr="00162F94">
        <w:rPr>
          <w:rFonts w:cs="Times New Roman"/>
        </w:rPr>
        <w:lastRenderedPageBreak/>
        <w:t>The boundary between convincing someone and improper pressure is clear: Heather had a strong influence on her mother, but the court did not consider it excessive. The decision of the court was made because the mother got legal advice by herself, and she was not in contact with her other daughters anymore</w:t>
      </w:r>
      <w:r w:rsidR="0017571B" w:rsidRPr="00162F94">
        <w:rPr>
          <w:rFonts w:cs="Times New Roman"/>
        </w:rPr>
        <w:t xml:space="preserve">. </w:t>
      </w:r>
      <w:r w:rsidRPr="00162F94">
        <w:rPr>
          <w:rFonts w:cs="Times New Roman"/>
        </w:rPr>
        <w:t>The idea is that when deciding if persuasion becomes too much and turns into undue influence, the court really looks at the whole situation and how people are related to each other.</w:t>
      </w:r>
      <w:r w:rsidR="00115F67" w:rsidRPr="00162F94">
        <w:rPr>
          <w:rFonts w:cs="Times New Roman"/>
        </w:rPr>
        <w:t xml:space="preserve"> </w:t>
      </w:r>
      <w:r w:rsidR="00814660" w:rsidRPr="00162F94">
        <w:rPr>
          <w:rFonts w:cs="Times New Roman"/>
        </w:rPr>
        <w:t>Moreover</w:t>
      </w:r>
      <w:r w:rsidR="00891DBD" w:rsidRPr="00162F94">
        <w:rPr>
          <w:rFonts w:cs="Times New Roman"/>
        </w:rPr>
        <w:t>, t</w:t>
      </w:r>
      <w:r w:rsidRPr="00162F94">
        <w:rPr>
          <w:rFonts w:cs="Times New Roman"/>
        </w:rPr>
        <w:t>he challenges are clear when someone tries to challenge a will because of undue influence, in this case. The person must show with strong proof that the testator's own decision-making was overwhelmed. Teresa, in her case, could not provide enough convincing evidence to back up her argument</w:t>
      </w:r>
      <w:r w:rsidR="0017571B" w:rsidRPr="00162F94">
        <w:rPr>
          <w:rFonts w:cs="Times New Roman"/>
        </w:rPr>
        <w:t xml:space="preserve"> (Horton, 2019).</w:t>
      </w:r>
    </w:p>
    <w:p w14:paraId="13EC708B" w14:textId="613920D4" w:rsidR="008B7983" w:rsidRPr="00162F94" w:rsidRDefault="00433D37" w:rsidP="0048049A">
      <w:pPr>
        <w:pStyle w:val="pb-2"/>
        <w:jc w:val="both"/>
      </w:pPr>
      <w:r w:rsidRPr="00162F94">
        <w:t xml:space="preserve">The </w:t>
      </w:r>
      <w:r w:rsidR="00B37DA2" w:rsidRPr="00162F94">
        <w:t xml:space="preserve">most recent </w:t>
      </w:r>
      <w:r w:rsidRPr="00162F94">
        <w:rPr>
          <w:rStyle w:val="issue-underline"/>
          <w:rFonts w:eastAsiaTheme="majorEastAsia"/>
        </w:rPr>
        <w:t>case Rita</w:t>
      </w:r>
      <w:r w:rsidRPr="00162F94">
        <w:t xml:space="preserve"> Rea v Remo Rea and </w:t>
      </w:r>
      <w:proofErr w:type="spellStart"/>
      <w:r w:rsidRPr="00162F94">
        <w:t>Oths</w:t>
      </w:r>
      <w:proofErr w:type="spellEnd"/>
      <w:r w:rsidRPr="00162F94">
        <w:t xml:space="preserve"> [2024] EWCA </w:t>
      </w:r>
      <w:proofErr w:type="spellStart"/>
      <w:r w:rsidRPr="00162F94">
        <w:t>Civ</w:t>
      </w:r>
      <w:proofErr w:type="spellEnd"/>
      <w:r w:rsidRPr="00162F94">
        <w:t xml:space="preserve"> 169 being a rare</w:t>
      </w:r>
      <w:r w:rsidR="003C5771" w:rsidRPr="00162F94">
        <w:t xml:space="preserve"> </w:t>
      </w:r>
      <w:r w:rsidRPr="00162F94">
        <w:t>example of a successful validity claim on the grounds of undue influence</w:t>
      </w:r>
      <w:r w:rsidR="00F659B6" w:rsidRPr="00162F94">
        <w:t xml:space="preserve">. </w:t>
      </w:r>
      <w:r w:rsidR="00545062" w:rsidRPr="00162F94">
        <w:t>In this case, a daughter influenced her mother into writing a will that left her brothers out.</w:t>
      </w:r>
      <w:r w:rsidR="00545062" w:rsidRPr="00162F94">
        <w:t xml:space="preserve"> </w:t>
      </w:r>
      <w:proofErr w:type="gramStart"/>
      <w:r w:rsidR="00F659B6" w:rsidRPr="00162F94">
        <w:t>Nevertheless</w:t>
      </w:r>
      <w:proofErr w:type="gramEnd"/>
      <w:r w:rsidR="00F659B6" w:rsidRPr="00162F94">
        <w:t xml:space="preserve">, this case includes a detailed discussion of the applicable tests concerning mental capacity, knowledge and approval, undue influence and fraudulent calumny. While this case illustrates some of the various arguments that can be used to argue against the validity of a deceased's Will, it also demonstrates that these arguments are not easy to </w:t>
      </w:r>
      <w:r w:rsidR="00F659B6" w:rsidRPr="00162F94">
        <w:t>make,</w:t>
      </w:r>
      <w:r w:rsidR="00F659B6" w:rsidRPr="00162F94">
        <w:t xml:space="preserve"> and that evidence is essential to support these assertions.</w:t>
      </w:r>
    </w:p>
    <w:p w14:paraId="452D5F75" w14:textId="0B402A92" w:rsidR="00362734" w:rsidRPr="00162F94" w:rsidRDefault="00362734" w:rsidP="008B7983">
      <w:pPr>
        <w:spacing w:before="0" w:after="0" w:line="240" w:lineRule="auto"/>
        <w:rPr>
          <w:rFonts w:cs="Times New Roman"/>
        </w:rPr>
      </w:pPr>
      <w:r w:rsidRPr="00162F94">
        <w:rPr>
          <w:rFonts w:cs="Times New Roman"/>
        </w:rPr>
        <w:t xml:space="preserve">Persuasion is often a part of how people interact, but it becomes an issue when looking at making a </w:t>
      </w:r>
      <w:r w:rsidR="00EA75CE" w:rsidRPr="00162F94">
        <w:rPr>
          <w:rFonts w:cs="Times New Roman"/>
        </w:rPr>
        <w:t>W</w:t>
      </w:r>
      <w:r w:rsidRPr="00162F94">
        <w:rPr>
          <w:rFonts w:cs="Times New Roman"/>
        </w:rPr>
        <w:t xml:space="preserve">ill if it's too strong and influences the person writing the </w:t>
      </w:r>
      <w:r w:rsidR="00EA75CE" w:rsidRPr="00162F94">
        <w:rPr>
          <w:rFonts w:cs="Times New Roman"/>
        </w:rPr>
        <w:t>W</w:t>
      </w:r>
      <w:r w:rsidRPr="00162F94">
        <w:rPr>
          <w:rFonts w:cs="Times New Roman"/>
        </w:rPr>
        <w:t>ill against their own wishes (Pecora, 2008). The recent legal decision in Coles v Reynolds (2020) serves to clarify the fundamental need for extensive understanding of these principles. It is incumbent upon us to carefully deliberate on the implications, benefits, drawbacks, and possible clashes that may ensue. In order to fully grasp the intricate intricacies surrounding the enforceability of a will, a thorough assessment is imperative.</w:t>
      </w:r>
    </w:p>
    <w:p w14:paraId="4754EAF9" w14:textId="77777777" w:rsidR="004B4577" w:rsidRPr="00162F94" w:rsidRDefault="004B4577" w:rsidP="008B7983">
      <w:pPr>
        <w:spacing w:before="0" w:after="0" w:line="240" w:lineRule="auto"/>
        <w:rPr>
          <w:rFonts w:cs="Times New Roman"/>
        </w:rPr>
      </w:pPr>
    </w:p>
    <w:p w14:paraId="267E0925" w14:textId="72694605" w:rsidR="00362734" w:rsidRPr="00162F94" w:rsidRDefault="00362734" w:rsidP="004B4577">
      <w:pPr>
        <w:spacing w:before="0" w:after="0" w:line="240" w:lineRule="auto"/>
        <w:rPr>
          <w:rFonts w:cs="Times New Roman"/>
        </w:rPr>
      </w:pPr>
      <w:r w:rsidRPr="00162F94">
        <w:rPr>
          <w:rFonts w:cs="Times New Roman"/>
        </w:rPr>
        <w:t xml:space="preserve">Challenging a </w:t>
      </w:r>
      <w:r w:rsidR="00FC6B9A" w:rsidRPr="00162F94">
        <w:rPr>
          <w:rFonts w:cs="Times New Roman"/>
        </w:rPr>
        <w:t>W</w:t>
      </w:r>
      <w:r w:rsidRPr="00162F94">
        <w:rPr>
          <w:rFonts w:cs="Times New Roman"/>
        </w:rPr>
        <w:t>ill because someone claims there was fraud, or forgery is known to be very hard. The level of proof required for these claims is similar to what need in criminal cases; it has to be clear 'beyond reasonable doubt'. As a result, the level of proof needed goes up a lot and these kinds of events often happen in secret, so it's hard to gather enough evidence for this heavy responsibility (</w:t>
      </w:r>
      <w:r w:rsidR="000865A9" w:rsidRPr="00162F94">
        <w:t xml:space="preserve">Lambrechts and Jacobs, (2013). </w:t>
      </w:r>
      <w:r w:rsidRPr="00162F94">
        <w:rPr>
          <w:rFonts w:cs="Times New Roman"/>
        </w:rPr>
        <w:t xml:space="preserve">The high evidential threshold and secretive nature of these events make it exceedingly rare to discover any evidence that they have occurred; therefore, contesting a will on grounds such as undue influence, fraud or forgery is notoriously difficult (Braun, 2016). </w:t>
      </w:r>
    </w:p>
    <w:p w14:paraId="7030EF29" w14:textId="77777777" w:rsidR="004B4577" w:rsidRPr="00162F94" w:rsidRDefault="004B4577" w:rsidP="004B4577">
      <w:pPr>
        <w:spacing w:before="0" w:after="0" w:line="240" w:lineRule="auto"/>
        <w:rPr>
          <w:rFonts w:cs="Times New Roman"/>
        </w:rPr>
      </w:pPr>
    </w:p>
    <w:p w14:paraId="2686F30A" w14:textId="6CB877A6" w:rsidR="00362734" w:rsidRPr="00162F94" w:rsidRDefault="00362734" w:rsidP="004B4577">
      <w:pPr>
        <w:spacing w:before="0" w:after="0" w:line="240" w:lineRule="auto"/>
        <w:rPr>
          <w:rFonts w:cs="Times New Roman"/>
        </w:rPr>
      </w:pPr>
      <w:r w:rsidRPr="00162F94">
        <w:rPr>
          <w:rFonts w:cs="Times New Roman"/>
        </w:rPr>
        <w:t xml:space="preserve">In </w:t>
      </w:r>
      <w:bookmarkStart w:id="1" w:name="_Hlk160673074"/>
      <w:r w:rsidRPr="00162F94">
        <w:rPr>
          <w:rFonts w:cs="Times New Roman"/>
        </w:rPr>
        <w:t xml:space="preserve">Face v Cunningham </w:t>
      </w:r>
      <w:r w:rsidR="004C014B" w:rsidRPr="00162F94">
        <w:rPr>
          <w:rFonts w:cs="Times New Roman"/>
        </w:rPr>
        <w:t>(</w:t>
      </w:r>
      <w:r w:rsidRPr="00162F94">
        <w:rPr>
          <w:rFonts w:cs="Times New Roman"/>
        </w:rPr>
        <w:t>2020</w:t>
      </w:r>
      <w:r w:rsidR="004C014B" w:rsidRPr="00162F94">
        <w:rPr>
          <w:rFonts w:cs="Times New Roman"/>
        </w:rPr>
        <w:t>)</w:t>
      </w:r>
      <w:r w:rsidRPr="00162F94">
        <w:rPr>
          <w:rFonts w:cs="Times New Roman"/>
        </w:rPr>
        <w:t xml:space="preserve"> </w:t>
      </w:r>
      <w:bookmarkEnd w:id="1"/>
      <w:r w:rsidRPr="00162F94">
        <w:rPr>
          <w:rFonts w:cs="Times New Roman"/>
        </w:rPr>
        <w:t xml:space="preserve">the court distinguished between two scenarios: challenging a will on fraud grounds and challenging it based on forgery. The judge decided that the person depending on the will needs to prove, without any doubt, that it is real. This shows two important things: challenging fake or copied wills is complicated and needs thorough examination; also, many times in court cases people do not realize how much proof you need for these situations (Hirsch, 2013). People who commit fraud and forgery create big problems when it comes to confirming if a will is valid, but the law has ways to deal with this. </w:t>
      </w:r>
    </w:p>
    <w:p w14:paraId="4F70F6EF" w14:textId="77777777" w:rsidR="004B4577" w:rsidRPr="00162F94" w:rsidRDefault="004B4577" w:rsidP="004B4577">
      <w:pPr>
        <w:spacing w:before="0" w:after="0" w:line="240" w:lineRule="auto"/>
        <w:rPr>
          <w:rFonts w:cs="Times New Roman"/>
        </w:rPr>
      </w:pPr>
    </w:p>
    <w:p w14:paraId="3CA26DC1" w14:textId="3BBD59FA" w:rsidR="00362734" w:rsidRPr="00162F94" w:rsidRDefault="00362734" w:rsidP="004B4577">
      <w:pPr>
        <w:spacing w:before="0" w:after="0" w:line="240" w:lineRule="auto"/>
        <w:rPr>
          <w:rFonts w:cs="Times New Roman"/>
        </w:rPr>
      </w:pPr>
      <w:r w:rsidRPr="00162F94">
        <w:rPr>
          <w:rFonts w:cs="Times New Roman"/>
        </w:rPr>
        <w:t xml:space="preserve">The case of James </w:t>
      </w:r>
      <w:r w:rsidR="00DB432F" w:rsidRPr="00162F94">
        <w:rPr>
          <w:rFonts w:cs="Times New Roman"/>
        </w:rPr>
        <w:t xml:space="preserve">v </w:t>
      </w:r>
      <w:r w:rsidRPr="00162F94">
        <w:rPr>
          <w:rFonts w:cs="Times New Roman"/>
        </w:rPr>
        <w:t xml:space="preserve">James </w:t>
      </w:r>
      <w:r w:rsidR="00DB432F" w:rsidRPr="00162F94">
        <w:rPr>
          <w:rFonts w:cs="Times New Roman"/>
        </w:rPr>
        <w:t>(</w:t>
      </w:r>
      <w:r w:rsidRPr="00162F94">
        <w:rPr>
          <w:rFonts w:cs="Times New Roman"/>
        </w:rPr>
        <w:t>2018</w:t>
      </w:r>
      <w:r w:rsidR="00DB432F" w:rsidRPr="00162F94">
        <w:rPr>
          <w:rFonts w:cs="Times New Roman"/>
        </w:rPr>
        <w:t>)</w:t>
      </w:r>
      <w:r w:rsidRPr="00162F94">
        <w:rPr>
          <w:rFonts w:cs="Times New Roman"/>
        </w:rPr>
        <w:t xml:space="preserve"> shows how complicated it can be to confirm that a </w:t>
      </w:r>
      <w:r w:rsidR="00C05942" w:rsidRPr="00162F94">
        <w:rPr>
          <w:rFonts w:cs="Times New Roman"/>
        </w:rPr>
        <w:t>W</w:t>
      </w:r>
      <w:r w:rsidRPr="00162F94">
        <w:rPr>
          <w:rFonts w:cs="Times New Roman"/>
        </w:rPr>
        <w:t xml:space="preserve">ill is legal according to English law. It especially looks at if the person who made the will had the right mental capacity and permission. This example points out why it's important to have a </w:t>
      </w:r>
      <w:r w:rsidR="003C277C" w:rsidRPr="00162F94">
        <w:rPr>
          <w:rFonts w:cs="Times New Roman"/>
        </w:rPr>
        <w:t>lawyer and</w:t>
      </w:r>
      <w:r w:rsidRPr="00162F94">
        <w:rPr>
          <w:rFonts w:cs="Times New Roman"/>
        </w:rPr>
        <w:t xml:space="preserve"> makes us aware of possible disagreements that could come up if there are doubts about someone's ability to make a document for giving their property away after they die, as Horton</w:t>
      </w:r>
      <w:r w:rsidR="003C277C">
        <w:rPr>
          <w:rFonts w:cs="Times New Roman"/>
        </w:rPr>
        <w:t xml:space="preserve"> </w:t>
      </w:r>
      <w:r w:rsidRPr="00162F94">
        <w:rPr>
          <w:rFonts w:cs="Times New Roman"/>
        </w:rPr>
        <w:t>(2015) mentioned.</w:t>
      </w:r>
    </w:p>
    <w:p w14:paraId="6ED4D829" w14:textId="77777777" w:rsidR="00EF0CD1" w:rsidRPr="00162F94" w:rsidRDefault="00EF0CD1" w:rsidP="004B4577">
      <w:pPr>
        <w:spacing w:before="0" w:after="0" w:line="240" w:lineRule="auto"/>
        <w:rPr>
          <w:rFonts w:cs="Times New Roman"/>
        </w:rPr>
      </w:pPr>
    </w:p>
    <w:p w14:paraId="3E5952F7" w14:textId="100AC37A" w:rsidR="00362734" w:rsidRPr="00162F94" w:rsidRDefault="00362734" w:rsidP="00EF0CD1">
      <w:pPr>
        <w:spacing w:before="0" w:after="0" w:line="240" w:lineRule="auto"/>
        <w:rPr>
          <w:rFonts w:cs="Times New Roman"/>
        </w:rPr>
      </w:pPr>
      <w:r w:rsidRPr="00162F94">
        <w:rPr>
          <w:rFonts w:cs="Times New Roman"/>
        </w:rPr>
        <w:t xml:space="preserve">The situation makes more people worry because as they get older, their thinking abilities might not be as good. Now it happens more often that we wonder if someone can really make choices (Braun, 2016). We have big questions about whether a person can properly write a </w:t>
      </w:r>
      <w:r w:rsidR="00E047B7" w:rsidRPr="00162F94">
        <w:rPr>
          <w:rFonts w:cs="Times New Roman"/>
        </w:rPr>
        <w:t>W</w:t>
      </w:r>
      <w:r w:rsidRPr="00162F94">
        <w:rPr>
          <w:rFonts w:cs="Times New Roman"/>
        </w:rPr>
        <w:t>ill and if this will be valid when there's doubt about how clear their mind is.</w:t>
      </w:r>
    </w:p>
    <w:p w14:paraId="5A16D41F" w14:textId="77777777" w:rsidR="00D13807" w:rsidRPr="00162F94" w:rsidRDefault="00D13807" w:rsidP="00EF0CD1">
      <w:pPr>
        <w:spacing w:before="0" w:after="0" w:line="240" w:lineRule="auto"/>
        <w:rPr>
          <w:rFonts w:cs="Times New Roman"/>
        </w:rPr>
      </w:pPr>
    </w:p>
    <w:p w14:paraId="03D09D02" w14:textId="5C5A5B4E" w:rsidR="00362734" w:rsidRPr="00162F94" w:rsidRDefault="00362734" w:rsidP="00D13807">
      <w:pPr>
        <w:spacing w:before="0" w:after="0" w:line="240" w:lineRule="auto"/>
        <w:rPr>
          <w:rFonts w:cs="Times New Roman"/>
        </w:rPr>
      </w:pPr>
      <w:r w:rsidRPr="00162F94">
        <w:rPr>
          <w:rFonts w:cs="Times New Roman"/>
        </w:rPr>
        <w:t xml:space="preserve">This situation shows how complicated it is to judge if a person can make a </w:t>
      </w:r>
      <w:r w:rsidR="00E047B7" w:rsidRPr="00162F94">
        <w:rPr>
          <w:rFonts w:cs="Times New Roman"/>
        </w:rPr>
        <w:t>W</w:t>
      </w:r>
      <w:r w:rsidRPr="00162F94">
        <w:rPr>
          <w:rFonts w:cs="Times New Roman"/>
        </w:rPr>
        <w:t xml:space="preserve">ill. The usual rule, set in the case </w:t>
      </w:r>
      <w:bookmarkStart w:id="2" w:name="_Hlk160673095"/>
      <w:r w:rsidRPr="00162F94">
        <w:rPr>
          <w:rFonts w:cs="Times New Roman"/>
        </w:rPr>
        <w:t>Banks v Goodfellow (1870</w:t>
      </w:r>
      <w:bookmarkEnd w:id="2"/>
      <w:r w:rsidRPr="00162F94">
        <w:rPr>
          <w:rFonts w:cs="Times New Roman"/>
        </w:rPr>
        <w:t>)</w:t>
      </w:r>
      <w:r w:rsidR="00E047B7" w:rsidRPr="00162F94">
        <w:rPr>
          <w:rFonts w:cs="Times New Roman"/>
        </w:rPr>
        <w:t xml:space="preserve"> </w:t>
      </w:r>
      <w:r w:rsidRPr="00162F94">
        <w:rPr>
          <w:rFonts w:cs="Times New Roman"/>
        </w:rPr>
        <w:t>provides that the person who writes the will must grasp what making a will means, what results from it, and how much they are giving away. It is necessary for them to know about possible people who could ask for their property after they pass away. This is different compared to the newer method presented in the Mental Capacity Act</w:t>
      </w:r>
      <w:r w:rsidR="004A4F73" w:rsidRPr="00162F94">
        <w:rPr>
          <w:rFonts w:cs="Times New Roman"/>
        </w:rPr>
        <w:t xml:space="preserve"> </w:t>
      </w:r>
      <w:r w:rsidRPr="00162F94">
        <w:rPr>
          <w:rFonts w:cs="Times New Roman"/>
        </w:rPr>
        <w:t>2005, which gives importance to being able to do important activities instead of just having mental ability (</w:t>
      </w:r>
      <w:proofErr w:type="spellStart"/>
      <w:r w:rsidR="00257871" w:rsidRPr="00162F94">
        <w:rPr>
          <w:rFonts w:cs="Times New Roman"/>
        </w:rPr>
        <w:t>Von</w:t>
      </w:r>
      <w:r w:rsidR="00E64EAF" w:rsidRPr="00162F94">
        <w:rPr>
          <w:rFonts w:cs="Times New Roman"/>
        </w:rPr>
        <w:t>asch</w:t>
      </w:r>
      <w:proofErr w:type="spellEnd"/>
      <w:r w:rsidR="00E64EAF" w:rsidRPr="00162F94">
        <w:rPr>
          <w:rFonts w:cs="Times New Roman"/>
        </w:rPr>
        <w:t xml:space="preserve"> et al</w:t>
      </w:r>
      <w:r w:rsidRPr="00162F94">
        <w:rPr>
          <w:rFonts w:cs="Times New Roman"/>
        </w:rPr>
        <w:t>, 201</w:t>
      </w:r>
      <w:r w:rsidR="00E64EAF" w:rsidRPr="00162F94">
        <w:rPr>
          <w:rFonts w:cs="Times New Roman"/>
        </w:rPr>
        <w:t>8</w:t>
      </w:r>
      <w:r w:rsidRPr="00162F94">
        <w:rPr>
          <w:rFonts w:cs="Times New Roman"/>
        </w:rPr>
        <w:t>). Even with new laws, the judge choosing to stick with the old way of evaluating shows it's still important when we talk about wills and inheritance.</w:t>
      </w:r>
    </w:p>
    <w:p w14:paraId="7285DD01" w14:textId="77777777" w:rsidR="00D13807" w:rsidRPr="00162F94" w:rsidRDefault="00D13807" w:rsidP="00D13807">
      <w:pPr>
        <w:spacing w:before="0" w:after="0" w:line="240" w:lineRule="auto"/>
        <w:rPr>
          <w:rFonts w:cs="Times New Roman"/>
        </w:rPr>
      </w:pPr>
    </w:p>
    <w:p w14:paraId="75240FF1" w14:textId="4200ECBA" w:rsidR="00362734" w:rsidRPr="00162F94" w:rsidRDefault="00362734" w:rsidP="00D13807">
      <w:pPr>
        <w:spacing w:before="0" w:after="0" w:line="240" w:lineRule="auto"/>
        <w:rPr>
          <w:rFonts w:cs="Times New Roman"/>
        </w:rPr>
      </w:pPr>
      <w:r w:rsidRPr="00162F94">
        <w:rPr>
          <w:rFonts w:cs="Times New Roman"/>
        </w:rPr>
        <w:t xml:space="preserve">The current way checked if someone has the mental ability to make a will shows some problems. Lawyers are responsible for evaluating and recording whether the person making the will is capable, but this can be questioned in court. The law needs to make stronger systems for sure checking if a will is true. To do this, it should think about making tighter rules for writing down how well a person's mind works when they are making their </w:t>
      </w:r>
      <w:r w:rsidR="00C47FC1" w:rsidRPr="00162F94">
        <w:rPr>
          <w:rFonts w:cs="Times New Roman"/>
        </w:rPr>
        <w:t>W</w:t>
      </w:r>
      <w:r w:rsidRPr="00162F94">
        <w:rPr>
          <w:rFonts w:cs="Times New Roman"/>
        </w:rPr>
        <w:t>ill (Beattie, 2019). If included doctors in these processes, it might also make our management of the problem better.</w:t>
      </w:r>
    </w:p>
    <w:p w14:paraId="7213EC28" w14:textId="77777777" w:rsidR="00C31A12" w:rsidRPr="00162F94" w:rsidRDefault="00C31A12" w:rsidP="00D13807">
      <w:pPr>
        <w:spacing w:before="0" w:after="0" w:line="240" w:lineRule="auto"/>
        <w:rPr>
          <w:rFonts w:cs="Times New Roman"/>
        </w:rPr>
      </w:pPr>
    </w:p>
    <w:p w14:paraId="038495ED" w14:textId="3DBD93A8" w:rsidR="00362734" w:rsidRPr="00162F94" w:rsidRDefault="00362734" w:rsidP="00C31A12">
      <w:pPr>
        <w:spacing w:before="0" w:after="0" w:line="240" w:lineRule="auto"/>
        <w:rPr>
          <w:rFonts w:cs="Times New Roman"/>
        </w:rPr>
      </w:pPr>
      <w:r w:rsidRPr="00162F94">
        <w:rPr>
          <w:rFonts w:cs="Times New Roman"/>
        </w:rPr>
        <w:t xml:space="preserve">The case of </w:t>
      </w:r>
      <w:bookmarkStart w:id="3" w:name="_Hlk160673107"/>
      <w:r w:rsidRPr="00162F94">
        <w:rPr>
          <w:rFonts w:cs="Times New Roman"/>
        </w:rPr>
        <w:t>James v James (2018)</w:t>
      </w:r>
      <w:bookmarkEnd w:id="3"/>
      <w:r w:rsidR="008848F1" w:rsidRPr="00162F94">
        <w:rPr>
          <w:rFonts w:cs="Times New Roman"/>
        </w:rPr>
        <w:t xml:space="preserve"> </w:t>
      </w:r>
      <w:r w:rsidRPr="00162F94">
        <w:rPr>
          <w:rFonts w:cs="Times New Roman"/>
        </w:rPr>
        <w:t xml:space="preserve">puts light on the difficult aspects when figuring out if a </w:t>
      </w:r>
      <w:r w:rsidR="008848F1" w:rsidRPr="00162F94">
        <w:rPr>
          <w:rFonts w:cs="Times New Roman"/>
        </w:rPr>
        <w:t>W</w:t>
      </w:r>
      <w:r w:rsidRPr="00162F94">
        <w:rPr>
          <w:rFonts w:cs="Times New Roman"/>
        </w:rPr>
        <w:t>ill is valid following English law, putting attention particularly on whether the person who made the will had clear thinking and was mentally sharp while making it (Crawford,</w:t>
      </w:r>
      <w:r w:rsidR="008848F1" w:rsidRPr="00162F94">
        <w:rPr>
          <w:rFonts w:cs="Times New Roman"/>
        </w:rPr>
        <w:t xml:space="preserve"> </w:t>
      </w:r>
      <w:r w:rsidRPr="00162F94">
        <w:rPr>
          <w:rFonts w:cs="Times New Roman"/>
        </w:rPr>
        <w:t>2019). This situation highlights an important need: to carefully examine how things are done now and also strictly follow legal rules that tell us how procedures should be correctly carried out.</w:t>
      </w:r>
    </w:p>
    <w:p w14:paraId="4F9DABD4" w14:textId="77777777" w:rsidR="00C31A12" w:rsidRPr="00162F94" w:rsidRDefault="00C31A12" w:rsidP="00C31A12">
      <w:pPr>
        <w:spacing w:before="0" w:after="0" w:line="240" w:lineRule="auto"/>
        <w:rPr>
          <w:rFonts w:cs="Times New Roman"/>
        </w:rPr>
      </w:pPr>
    </w:p>
    <w:p w14:paraId="2FC62FCD" w14:textId="4949801D" w:rsidR="00362734" w:rsidRPr="00162F94" w:rsidRDefault="00362734" w:rsidP="00C31A12">
      <w:pPr>
        <w:spacing w:before="0" w:after="0" w:line="240" w:lineRule="auto"/>
      </w:pPr>
      <w:r w:rsidRPr="00162F94">
        <w:t xml:space="preserve">A Will needs to be known and agreed upon for it to be valid. This protects against deceiving actions or pressure on someone, but sometimes it causes disputes over Wills that are actually real </w:t>
      </w:r>
      <w:r w:rsidRPr="00162F94">
        <w:rPr>
          <w:rFonts w:cs="Times New Roman"/>
        </w:rPr>
        <w:t>(</w:t>
      </w:r>
      <w:r w:rsidR="00DA6B2E" w:rsidRPr="00162F94">
        <w:rPr>
          <w:rFonts w:cs="Times New Roman"/>
        </w:rPr>
        <w:t>M</w:t>
      </w:r>
      <w:r w:rsidR="009E370A" w:rsidRPr="00162F94">
        <w:rPr>
          <w:rFonts w:cs="Times New Roman"/>
        </w:rPr>
        <w:t>cCarthy</w:t>
      </w:r>
      <w:r w:rsidRPr="00162F94">
        <w:rPr>
          <w:rFonts w:cs="Times New Roman"/>
        </w:rPr>
        <w:t>, 201</w:t>
      </w:r>
      <w:r w:rsidR="009E370A" w:rsidRPr="00162F94">
        <w:rPr>
          <w:rFonts w:cs="Times New Roman"/>
        </w:rPr>
        <w:t>3</w:t>
      </w:r>
      <w:r w:rsidRPr="00162F94">
        <w:t>)</w:t>
      </w:r>
      <w:r w:rsidRPr="00162F94">
        <w:rPr>
          <w:rFonts w:cs="Times New Roman"/>
        </w:rPr>
        <w:t>.</w:t>
      </w:r>
      <w:r w:rsidRPr="00162F94">
        <w:t xml:space="preserve"> Cases such as </w:t>
      </w:r>
      <w:r w:rsidR="0085544F" w:rsidRPr="00162F94">
        <w:t>Gill v</w:t>
      </w:r>
      <w:r w:rsidR="00B35B63" w:rsidRPr="00162F94">
        <w:t xml:space="preserve"> </w:t>
      </w:r>
      <w:r w:rsidRPr="00162F94">
        <w:t xml:space="preserve">RSPCA and </w:t>
      </w:r>
      <w:proofErr w:type="spellStart"/>
      <w:r w:rsidRPr="00162F94">
        <w:t>Mundil</w:t>
      </w:r>
      <w:proofErr w:type="spellEnd"/>
      <w:r w:rsidRPr="00162F94">
        <w:t>-Williams</w:t>
      </w:r>
      <w:r w:rsidR="00B35B63" w:rsidRPr="00162F94">
        <w:t xml:space="preserve"> v</w:t>
      </w:r>
      <w:r w:rsidRPr="00162F94">
        <w:t xml:space="preserve"> Williams &amp; Others bring attention to this problem. The strict nature of the law may miss what the person who made the will really wanted, which results in disagreements in court. This means we should think about a way that is more careful and balances stopping fraud with honouring what the person who made the will wanted. So, maybe it's time to look again at how strict the law is to make sure it really does its job.</w:t>
      </w:r>
    </w:p>
    <w:p w14:paraId="4A82F4B6" w14:textId="77777777" w:rsidR="00167B2F" w:rsidRPr="00162F94" w:rsidRDefault="00167B2F" w:rsidP="00167B2F">
      <w:pPr>
        <w:spacing w:before="0" w:after="0" w:line="240" w:lineRule="auto"/>
      </w:pPr>
    </w:p>
    <w:p w14:paraId="48506D39" w14:textId="77D7F04E" w:rsidR="00362734" w:rsidRPr="00162F94" w:rsidRDefault="00362734" w:rsidP="00167B2F">
      <w:pPr>
        <w:spacing w:before="0" w:after="0" w:line="240" w:lineRule="auto"/>
      </w:pPr>
      <w:r w:rsidRPr="00162F94">
        <w:t>The legal system of England gives much importance to the proper execution of a Will, trying hard so that it is valid. But this strict following can bring problems. If someone does not follow the rules from the Wills Act 1837 exactly, their will might not be accepted as real (</w:t>
      </w:r>
      <w:proofErr w:type="spellStart"/>
      <w:r w:rsidRPr="00162F94">
        <w:rPr>
          <w:rFonts w:cs="Times New Roman"/>
        </w:rPr>
        <w:t>Peisah</w:t>
      </w:r>
      <w:proofErr w:type="spellEnd"/>
      <w:r w:rsidRPr="00162F94">
        <w:rPr>
          <w:rFonts w:cs="Times New Roman"/>
        </w:rPr>
        <w:t>, et al., 2009)</w:t>
      </w:r>
      <w:r w:rsidRPr="00162F94">
        <w:t xml:space="preserve">. This strict method makes sure it is authentic, but sometimes it might miss what the person who made the </w:t>
      </w:r>
      <w:r w:rsidR="00315449" w:rsidRPr="00162F94">
        <w:t>Wi</w:t>
      </w:r>
      <w:r w:rsidRPr="00162F94">
        <w:t>ll actually wanted. Legal cases like Re White and Payne v Payne highlight these problems. As a result, while the law tries to stop fraud, it might unintentionally cancel real Wills. This usually leads to serious arguments about inheritance. There needs to be a more even way in the legal system.</w:t>
      </w:r>
    </w:p>
    <w:p w14:paraId="4DCBC9B2" w14:textId="77777777" w:rsidR="0036548D" w:rsidRPr="00162F94" w:rsidRDefault="0036548D" w:rsidP="0036548D">
      <w:pPr>
        <w:spacing w:before="0" w:after="0" w:line="240" w:lineRule="auto"/>
      </w:pPr>
    </w:p>
    <w:p w14:paraId="6E4FDA0F" w14:textId="5BC49F67" w:rsidR="00362734" w:rsidRPr="00162F94" w:rsidRDefault="00362734" w:rsidP="0036548D">
      <w:pPr>
        <w:spacing w:before="0" w:after="0" w:line="240" w:lineRule="auto"/>
      </w:pPr>
      <w:r w:rsidRPr="00162F94">
        <w:t xml:space="preserve">Article 9 in the Wills </w:t>
      </w:r>
      <w:r w:rsidR="0029501F" w:rsidRPr="00162F94">
        <w:t xml:space="preserve">Act </w:t>
      </w:r>
      <w:r w:rsidRPr="00162F94">
        <w:t xml:space="preserve">1837 has strong rules for when a Will is accepted as valid within English courts. It must be that the Will is written down, it has the signature of the person who made it or another individual signing on their behalf, and two witnesses are there to see this happen. This strict method may bring difficulties. For example, in the situation of Mason and </w:t>
      </w:r>
      <w:r w:rsidR="00E3760A" w:rsidRPr="00162F94">
        <w:lastRenderedPageBreak/>
        <w:t>Others v</w:t>
      </w:r>
      <w:r w:rsidR="0029501F" w:rsidRPr="00162F94">
        <w:t xml:space="preserve"> </w:t>
      </w:r>
      <w:r w:rsidRPr="00162F94">
        <w:t xml:space="preserve">Robinson Solicitors and Others, it was up to the court to carefully examine if the Will met all requirements of Section 9. The court decided that strong proof about how a </w:t>
      </w:r>
      <w:r w:rsidR="0029501F" w:rsidRPr="00162F94">
        <w:t>W</w:t>
      </w:r>
      <w:r w:rsidRPr="00162F94">
        <w:t>ill was signed and witnessed is necessary to question the assumption that it was made correctly. This shows there can be challenges to real Wills because of very strict rules, pointing out the law might need a more even-handed way.</w:t>
      </w:r>
    </w:p>
    <w:p w14:paraId="05B29C64" w14:textId="77777777" w:rsidR="00977543" w:rsidRPr="00162F94" w:rsidRDefault="00977543" w:rsidP="00977543">
      <w:pPr>
        <w:spacing w:before="0" w:after="0" w:line="240" w:lineRule="auto"/>
        <w:rPr>
          <w:rFonts w:asciiTheme="majorHAnsi" w:eastAsiaTheme="majorEastAsia" w:hAnsiTheme="majorHAnsi" w:cs="Times New Roman"/>
          <w:color w:val="0F4761" w:themeColor="accent1" w:themeShade="BF"/>
          <w:sz w:val="32"/>
          <w:szCs w:val="32"/>
        </w:rPr>
      </w:pPr>
    </w:p>
    <w:p w14:paraId="3C23D279" w14:textId="21241CBE" w:rsidR="00DC0E84" w:rsidRPr="00162F94" w:rsidRDefault="0011022D" w:rsidP="00DC0E84">
      <w:pPr>
        <w:spacing w:before="0" w:after="0" w:line="240" w:lineRule="auto"/>
        <w:rPr>
          <w:rFonts w:cs="Times New Roman"/>
        </w:rPr>
      </w:pPr>
      <w:r w:rsidRPr="00162F94">
        <w:rPr>
          <w:rFonts w:cs="Times New Roman"/>
        </w:rPr>
        <w:t xml:space="preserve">The essay looked closely at possible issues that might make a Will not valid. </w:t>
      </w:r>
      <w:r w:rsidRPr="00162F94">
        <w:t>The study examined a number of reasons why a will may be challenged, including doubts in court, pressure or force placed on someone, misleading methods used, trickery, and fabricating documents. By analysing legal cases, we w</w:t>
      </w:r>
      <w:r w:rsidR="00596BF9" w:rsidRPr="00162F94">
        <w:t>ere</w:t>
      </w:r>
      <w:r w:rsidRPr="00162F94">
        <w:t xml:space="preserve"> able to see why they matter when we try to use them in our everyday lives. </w:t>
      </w:r>
      <w:r w:rsidR="00DC0E84" w:rsidRPr="00162F94">
        <w:rPr>
          <w:rFonts w:cs="Times New Roman"/>
        </w:rPr>
        <w:t xml:space="preserve">The </w:t>
      </w:r>
      <w:r w:rsidR="00596BF9" w:rsidRPr="00162F94">
        <w:rPr>
          <w:rFonts w:cs="Times New Roman"/>
        </w:rPr>
        <w:t xml:space="preserve">essay </w:t>
      </w:r>
      <w:r w:rsidR="00DC0E84" w:rsidRPr="00162F94">
        <w:rPr>
          <w:rFonts w:cs="Times New Roman"/>
        </w:rPr>
        <w:t xml:space="preserve">stresses the importance of understanding </w:t>
      </w:r>
      <w:r w:rsidR="00F530A6" w:rsidRPr="00162F94">
        <w:rPr>
          <w:rFonts w:cs="Times New Roman"/>
        </w:rPr>
        <w:t xml:space="preserve">inheritance </w:t>
      </w:r>
      <w:r w:rsidR="00DC0E84" w:rsidRPr="00162F94">
        <w:rPr>
          <w:rFonts w:cs="Times New Roman"/>
        </w:rPr>
        <w:t>law to deal with these complicated issues and points out that continuous learning and talking about this subject is always necessary because it keeps changing.</w:t>
      </w:r>
    </w:p>
    <w:p w14:paraId="09F8E964" w14:textId="77777777" w:rsidR="00146161" w:rsidRPr="00162F94" w:rsidRDefault="00146161" w:rsidP="00DC0E84">
      <w:pPr>
        <w:spacing w:before="0" w:after="0" w:line="240" w:lineRule="auto"/>
        <w:rPr>
          <w:rFonts w:cs="Times New Roman"/>
        </w:rPr>
      </w:pPr>
    </w:p>
    <w:p w14:paraId="01BEDC75" w14:textId="77777777" w:rsidR="00146161" w:rsidRPr="00162F94" w:rsidRDefault="00146161" w:rsidP="00DC0E84">
      <w:pPr>
        <w:spacing w:before="0" w:after="0" w:line="240" w:lineRule="auto"/>
        <w:rPr>
          <w:rFonts w:cs="Times New Roman"/>
        </w:rPr>
      </w:pPr>
    </w:p>
    <w:p w14:paraId="5D421957" w14:textId="77777777" w:rsidR="00146161" w:rsidRPr="00162F94" w:rsidRDefault="00146161" w:rsidP="00DC0E84">
      <w:pPr>
        <w:spacing w:before="0" w:after="0" w:line="240" w:lineRule="auto"/>
        <w:rPr>
          <w:rFonts w:cs="Times New Roman"/>
        </w:rPr>
      </w:pPr>
    </w:p>
    <w:p w14:paraId="787AD49B" w14:textId="77777777" w:rsidR="00146161" w:rsidRPr="00162F94" w:rsidRDefault="00146161" w:rsidP="00DC0E84">
      <w:pPr>
        <w:spacing w:before="0" w:after="0" w:line="240" w:lineRule="auto"/>
        <w:rPr>
          <w:rFonts w:cs="Times New Roman"/>
        </w:rPr>
      </w:pPr>
    </w:p>
    <w:p w14:paraId="4C808666" w14:textId="77777777" w:rsidR="00146161" w:rsidRPr="00162F94" w:rsidRDefault="00146161" w:rsidP="00DC0E84">
      <w:pPr>
        <w:spacing w:before="0" w:after="0" w:line="240" w:lineRule="auto"/>
        <w:rPr>
          <w:rFonts w:cs="Times New Roman"/>
        </w:rPr>
      </w:pPr>
    </w:p>
    <w:p w14:paraId="1283ADC0" w14:textId="77777777" w:rsidR="00146161" w:rsidRPr="00162F94" w:rsidRDefault="00146161" w:rsidP="00DC0E84">
      <w:pPr>
        <w:spacing w:before="0" w:after="0" w:line="240" w:lineRule="auto"/>
        <w:rPr>
          <w:rFonts w:cs="Times New Roman"/>
        </w:rPr>
      </w:pPr>
    </w:p>
    <w:p w14:paraId="75240222" w14:textId="77777777" w:rsidR="00146161" w:rsidRPr="00162F94" w:rsidRDefault="00146161" w:rsidP="00DC0E84">
      <w:pPr>
        <w:spacing w:before="0" w:after="0" w:line="240" w:lineRule="auto"/>
        <w:rPr>
          <w:rFonts w:cs="Times New Roman"/>
        </w:rPr>
      </w:pPr>
    </w:p>
    <w:p w14:paraId="2E0CD770" w14:textId="77777777" w:rsidR="00146161" w:rsidRPr="00162F94" w:rsidRDefault="00146161" w:rsidP="00DC0E84">
      <w:pPr>
        <w:spacing w:before="0" w:after="0" w:line="240" w:lineRule="auto"/>
        <w:rPr>
          <w:rFonts w:cs="Times New Roman"/>
        </w:rPr>
      </w:pPr>
    </w:p>
    <w:p w14:paraId="62A7906B" w14:textId="77777777" w:rsidR="00146161" w:rsidRPr="00162F94" w:rsidRDefault="00146161" w:rsidP="00DC0E84">
      <w:pPr>
        <w:spacing w:before="0" w:after="0" w:line="240" w:lineRule="auto"/>
        <w:rPr>
          <w:rFonts w:cs="Times New Roman"/>
        </w:rPr>
      </w:pPr>
    </w:p>
    <w:p w14:paraId="5C67FB61" w14:textId="77777777" w:rsidR="00146161" w:rsidRPr="00162F94" w:rsidRDefault="00146161" w:rsidP="00DC0E84">
      <w:pPr>
        <w:spacing w:before="0" w:after="0" w:line="240" w:lineRule="auto"/>
        <w:rPr>
          <w:rFonts w:cs="Times New Roman"/>
        </w:rPr>
      </w:pPr>
    </w:p>
    <w:p w14:paraId="1C237561" w14:textId="77777777" w:rsidR="00146161" w:rsidRPr="00162F94" w:rsidRDefault="00146161" w:rsidP="00DC0E84">
      <w:pPr>
        <w:spacing w:before="0" w:after="0" w:line="240" w:lineRule="auto"/>
        <w:rPr>
          <w:rFonts w:cs="Times New Roman"/>
        </w:rPr>
      </w:pPr>
    </w:p>
    <w:p w14:paraId="114C2EB7" w14:textId="77777777" w:rsidR="00146161" w:rsidRPr="00162F94" w:rsidRDefault="00146161" w:rsidP="00DC0E84">
      <w:pPr>
        <w:spacing w:before="0" w:after="0" w:line="240" w:lineRule="auto"/>
        <w:rPr>
          <w:rFonts w:cs="Times New Roman"/>
        </w:rPr>
      </w:pPr>
    </w:p>
    <w:p w14:paraId="10561E80" w14:textId="77777777" w:rsidR="00146161" w:rsidRPr="00162F94" w:rsidRDefault="00146161" w:rsidP="00DC0E84">
      <w:pPr>
        <w:spacing w:before="0" w:after="0" w:line="240" w:lineRule="auto"/>
        <w:rPr>
          <w:rFonts w:cs="Times New Roman"/>
        </w:rPr>
      </w:pPr>
    </w:p>
    <w:p w14:paraId="7C9160BD" w14:textId="77777777" w:rsidR="00146161" w:rsidRPr="00162F94" w:rsidRDefault="00146161" w:rsidP="00DC0E84">
      <w:pPr>
        <w:spacing w:before="0" w:after="0" w:line="240" w:lineRule="auto"/>
        <w:rPr>
          <w:rFonts w:cs="Times New Roman"/>
        </w:rPr>
      </w:pPr>
    </w:p>
    <w:p w14:paraId="59FFE108" w14:textId="77777777" w:rsidR="00146161" w:rsidRPr="00162F94" w:rsidRDefault="00146161" w:rsidP="00DC0E84">
      <w:pPr>
        <w:spacing w:before="0" w:after="0" w:line="240" w:lineRule="auto"/>
        <w:rPr>
          <w:rFonts w:cs="Times New Roman"/>
        </w:rPr>
      </w:pPr>
    </w:p>
    <w:p w14:paraId="7B044888" w14:textId="77777777" w:rsidR="00146161" w:rsidRPr="00162F94" w:rsidRDefault="00146161" w:rsidP="00DC0E84">
      <w:pPr>
        <w:spacing w:before="0" w:after="0" w:line="240" w:lineRule="auto"/>
        <w:rPr>
          <w:rFonts w:cs="Times New Roman"/>
        </w:rPr>
      </w:pPr>
    </w:p>
    <w:p w14:paraId="6331ABC7" w14:textId="77777777" w:rsidR="00146161" w:rsidRPr="00162F94" w:rsidRDefault="00146161" w:rsidP="00DC0E84">
      <w:pPr>
        <w:spacing w:before="0" w:after="0" w:line="240" w:lineRule="auto"/>
        <w:rPr>
          <w:rFonts w:cs="Times New Roman"/>
        </w:rPr>
      </w:pPr>
    </w:p>
    <w:p w14:paraId="743E47A8" w14:textId="77777777" w:rsidR="00146161" w:rsidRPr="00162F94" w:rsidRDefault="00146161" w:rsidP="00DC0E84">
      <w:pPr>
        <w:spacing w:before="0" w:after="0" w:line="240" w:lineRule="auto"/>
        <w:rPr>
          <w:rFonts w:cs="Times New Roman"/>
        </w:rPr>
      </w:pPr>
    </w:p>
    <w:p w14:paraId="56C597A7" w14:textId="77777777" w:rsidR="00146161" w:rsidRPr="00162F94" w:rsidRDefault="00146161" w:rsidP="00DC0E84">
      <w:pPr>
        <w:spacing w:before="0" w:after="0" w:line="240" w:lineRule="auto"/>
        <w:rPr>
          <w:rFonts w:cs="Times New Roman"/>
        </w:rPr>
      </w:pPr>
    </w:p>
    <w:p w14:paraId="4281D33C" w14:textId="77777777" w:rsidR="00146161" w:rsidRPr="00162F94" w:rsidRDefault="00146161" w:rsidP="00DC0E84">
      <w:pPr>
        <w:spacing w:before="0" w:after="0" w:line="240" w:lineRule="auto"/>
        <w:rPr>
          <w:rFonts w:cs="Times New Roman"/>
        </w:rPr>
      </w:pPr>
    </w:p>
    <w:p w14:paraId="2C835299" w14:textId="77777777" w:rsidR="00146161" w:rsidRPr="00162F94" w:rsidRDefault="00146161" w:rsidP="00DC0E84">
      <w:pPr>
        <w:spacing w:before="0" w:after="0" w:line="240" w:lineRule="auto"/>
        <w:rPr>
          <w:rFonts w:cs="Times New Roman"/>
        </w:rPr>
      </w:pPr>
    </w:p>
    <w:p w14:paraId="57B3D74A" w14:textId="77777777" w:rsidR="00146161" w:rsidRPr="00162F94" w:rsidRDefault="00146161" w:rsidP="00DC0E84">
      <w:pPr>
        <w:spacing w:before="0" w:after="0" w:line="240" w:lineRule="auto"/>
        <w:rPr>
          <w:rFonts w:cs="Times New Roman"/>
        </w:rPr>
      </w:pPr>
    </w:p>
    <w:p w14:paraId="0D8031D4" w14:textId="77777777" w:rsidR="00146161" w:rsidRPr="00162F94" w:rsidRDefault="00146161" w:rsidP="00DC0E84">
      <w:pPr>
        <w:spacing w:before="0" w:after="0" w:line="240" w:lineRule="auto"/>
        <w:rPr>
          <w:rFonts w:cs="Times New Roman"/>
        </w:rPr>
      </w:pPr>
    </w:p>
    <w:p w14:paraId="60F643ED" w14:textId="77777777" w:rsidR="00146161" w:rsidRPr="00162F94" w:rsidRDefault="00146161" w:rsidP="00DC0E84">
      <w:pPr>
        <w:spacing w:before="0" w:after="0" w:line="240" w:lineRule="auto"/>
        <w:rPr>
          <w:rFonts w:cs="Times New Roman"/>
        </w:rPr>
      </w:pPr>
    </w:p>
    <w:p w14:paraId="1A9847E0" w14:textId="77777777" w:rsidR="00146161" w:rsidRPr="00162F94" w:rsidRDefault="00146161" w:rsidP="00DC0E84">
      <w:pPr>
        <w:spacing w:before="0" w:after="0" w:line="240" w:lineRule="auto"/>
        <w:rPr>
          <w:rFonts w:cs="Times New Roman"/>
        </w:rPr>
      </w:pPr>
    </w:p>
    <w:p w14:paraId="2195DE48" w14:textId="77777777" w:rsidR="00146161" w:rsidRPr="00162F94" w:rsidRDefault="00146161" w:rsidP="00DC0E84">
      <w:pPr>
        <w:spacing w:before="0" w:after="0" w:line="240" w:lineRule="auto"/>
        <w:rPr>
          <w:rFonts w:cs="Times New Roman"/>
        </w:rPr>
      </w:pPr>
    </w:p>
    <w:p w14:paraId="16FA7670" w14:textId="77777777" w:rsidR="00146161" w:rsidRPr="00162F94" w:rsidRDefault="00146161" w:rsidP="00DC0E84">
      <w:pPr>
        <w:spacing w:before="0" w:after="0" w:line="240" w:lineRule="auto"/>
        <w:rPr>
          <w:rFonts w:cs="Times New Roman"/>
        </w:rPr>
      </w:pPr>
    </w:p>
    <w:p w14:paraId="53D0451A" w14:textId="77777777" w:rsidR="00146161" w:rsidRPr="00162F94" w:rsidRDefault="00146161" w:rsidP="00DC0E84">
      <w:pPr>
        <w:spacing w:before="0" w:after="0" w:line="240" w:lineRule="auto"/>
        <w:rPr>
          <w:rFonts w:cs="Times New Roman"/>
        </w:rPr>
      </w:pPr>
    </w:p>
    <w:p w14:paraId="77FB9DD4" w14:textId="77777777" w:rsidR="00146161" w:rsidRPr="00162F94" w:rsidRDefault="00146161" w:rsidP="00DC0E84">
      <w:pPr>
        <w:spacing w:before="0" w:after="0" w:line="240" w:lineRule="auto"/>
        <w:rPr>
          <w:rFonts w:cs="Times New Roman"/>
        </w:rPr>
      </w:pPr>
    </w:p>
    <w:p w14:paraId="381422DA" w14:textId="77777777" w:rsidR="00146161" w:rsidRPr="00162F94" w:rsidRDefault="00146161" w:rsidP="00DC0E84">
      <w:pPr>
        <w:spacing w:before="0" w:after="0" w:line="240" w:lineRule="auto"/>
        <w:rPr>
          <w:rFonts w:cs="Times New Roman"/>
        </w:rPr>
      </w:pPr>
    </w:p>
    <w:p w14:paraId="7FAE48E5" w14:textId="77777777" w:rsidR="00146161" w:rsidRPr="00162F94" w:rsidRDefault="00146161" w:rsidP="00DC0E84">
      <w:pPr>
        <w:spacing w:before="0" w:after="0" w:line="240" w:lineRule="auto"/>
        <w:rPr>
          <w:rFonts w:cs="Times New Roman"/>
        </w:rPr>
      </w:pPr>
    </w:p>
    <w:p w14:paraId="232BB6A2" w14:textId="77777777" w:rsidR="00146161" w:rsidRPr="00162F94" w:rsidRDefault="00146161" w:rsidP="00DC0E84">
      <w:pPr>
        <w:spacing w:before="0" w:after="0" w:line="240" w:lineRule="auto"/>
        <w:rPr>
          <w:rFonts w:cs="Times New Roman"/>
        </w:rPr>
      </w:pPr>
    </w:p>
    <w:p w14:paraId="220EF7C9" w14:textId="77777777" w:rsidR="00146161" w:rsidRPr="00162F94" w:rsidRDefault="00146161" w:rsidP="00DC0E84">
      <w:pPr>
        <w:spacing w:before="0" w:after="0" w:line="240" w:lineRule="auto"/>
        <w:rPr>
          <w:rFonts w:cs="Times New Roman"/>
        </w:rPr>
      </w:pPr>
    </w:p>
    <w:p w14:paraId="67FDB26B" w14:textId="77777777" w:rsidR="00146161" w:rsidRPr="00162F94" w:rsidRDefault="00146161" w:rsidP="00DC0E84">
      <w:pPr>
        <w:spacing w:before="0" w:after="0" w:line="240" w:lineRule="auto"/>
        <w:rPr>
          <w:rFonts w:cs="Times New Roman"/>
        </w:rPr>
      </w:pPr>
    </w:p>
    <w:p w14:paraId="6FDF8892" w14:textId="77777777" w:rsidR="00545062" w:rsidRDefault="00545062" w:rsidP="00977543">
      <w:pPr>
        <w:spacing w:before="0" w:after="0" w:line="240" w:lineRule="auto"/>
        <w:rPr>
          <w:rFonts w:cs="Times New Roman"/>
        </w:rPr>
      </w:pPr>
    </w:p>
    <w:p w14:paraId="3C2301AD" w14:textId="77777777" w:rsidR="00A52066" w:rsidRDefault="00A52066" w:rsidP="00977543">
      <w:pPr>
        <w:spacing w:before="0" w:after="0" w:line="240" w:lineRule="auto"/>
        <w:rPr>
          <w:rFonts w:cs="Times New Roman"/>
        </w:rPr>
      </w:pPr>
    </w:p>
    <w:p w14:paraId="35BD9A0E" w14:textId="56D17283" w:rsidR="00AB3A71" w:rsidRPr="00162F94" w:rsidRDefault="00AB3A71" w:rsidP="00977543">
      <w:pPr>
        <w:spacing w:before="0" w:after="0" w:line="240" w:lineRule="auto"/>
        <w:rPr>
          <w:rFonts w:cs="Times New Roman"/>
          <w:b/>
          <w:bCs/>
          <w:sz w:val="28"/>
          <w:szCs w:val="28"/>
        </w:rPr>
      </w:pPr>
      <w:r w:rsidRPr="00162F94">
        <w:rPr>
          <w:rFonts w:cs="Times New Roman"/>
          <w:b/>
          <w:bCs/>
          <w:sz w:val="28"/>
          <w:szCs w:val="28"/>
        </w:rPr>
        <w:lastRenderedPageBreak/>
        <w:t xml:space="preserve">References </w:t>
      </w:r>
    </w:p>
    <w:p w14:paraId="56E758E5" w14:textId="77777777" w:rsidR="0011022D" w:rsidRPr="00162F94" w:rsidRDefault="0011022D" w:rsidP="00977543">
      <w:pPr>
        <w:spacing w:before="0" w:after="0" w:line="240" w:lineRule="auto"/>
        <w:rPr>
          <w:rFonts w:cs="Times New Roman"/>
        </w:rPr>
      </w:pPr>
    </w:p>
    <w:p w14:paraId="73108073" w14:textId="370BFE00" w:rsidR="00AB3A71" w:rsidRPr="00162F94" w:rsidRDefault="00AB3A71" w:rsidP="000451F9">
      <w:pPr>
        <w:spacing w:before="0" w:after="0" w:line="240" w:lineRule="auto"/>
        <w:rPr>
          <w:rFonts w:cs="Times New Roman"/>
        </w:rPr>
      </w:pPr>
      <w:r w:rsidRPr="00162F94">
        <w:rPr>
          <w:rFonts w:cs="Times New Roman"/>
        </w:rPr>
        <w:t>Beattie, C.</w:t>
      </w:r>
      <w:r w:rsidR="00276C1D" w:rsidRPr="00162F94">
        <w:rPr>
          <w:rFonts w:cs="Times New Roman"/>
        </w:rPr>
        <w:t xml:space="preserve"> </w:t>
      </w:r>
      <w:r w:rsidR="00645338" w:rsidRPr="00162F94">
        <w:rPr>
          <w:rFonts w:cs="Times New Roman"/>
        </w:rPr>
        <w:t>(</w:t>
      </w:r>
      <w:r w:rsidRPr="00162F94">
        <w:rPr>
          <w:rFonts w:cs="Times New Roman"/>
        </w:rPr>
        <w:t>2019</w:t>
      </w:r>
      <w:r w:rsidR="00645338" w:rsidRPr="00162F94">
        <w:rPr>
          <w:rFonts w:cs="Times New Roman"/>
        </w:rPr>
        <w:t xml:space="preserve">) </w:t>
      </w:r>
      <w:r w:rsidR="008A4FB0" w:rsidRPr="00162F94">
        <w:rPr>
          <w:rFonts w:cs="Times New Roman"/>
        </w:rPr>
        <w:t>‘</w:t>
      </w:r>
      <w:r w:rsidRPr="00162F94">
        <w:rPr>
          <w:rFonts w:cs="Times New Roman"/>
        </w:rPr>
        <w:t>Married Women's Wills: Probate, Property, and Piety in Later Medieval England</w:t>
      </w:r>
      <w:r w:rsidR="00451CC9" w:rsidRPr="00162F94">
        <w:rPr>
          <w:rFonts w:cs="Times New Roman"/>
        </w:rPr>
        <w:t xml:space="preserve">’ </w:t>
      </w:r>
      <w:r w:rsidR="00451CC9" w:rsidRPr="00162F94">
        <w:rPr>
          <w:rFonts w:cs="Times New Roman"/>
          <w:i/>
          <w:iCs/>
        </w:rPr>
        <w:t>Law</w:t>
      </w:r>
      <w:r w:rsidRPr="00162F94">
        <w:rPr>
          <w:rFonts w:cs="Times New Roman"/>
          <w:i/>
          <w:iCs/>
        </w:rPr>
        <w:t xml:space="preserve"> and History Review</w:t>
      </w:r>
      <w:r w:rsidR="00451CC9" w:rsidRPr="00162F94">
        <w:rPr>
          <w:rFonts w:cs="Times New Roman"/>
        </w:rPr>
        <w:t xml:space="preserve"> - </w:t>
      </w:r>
      <w:r w:rsidRPr="00162F94">
        <w:rPr>
          <w:rFonts w:cs="Times New Roman"/>
        </w:rPr>
        <w:t>37(1)</w:t>
      </w:r>
      <w:r w:rsidR="00451CC9" w:rsidRPr="00162F94">
        <w:rPr>
          <w:rFonts w:cs="Times New Roman"/>
        </w:rPr>
        <w:t xml:space="preserve"> -</w:t>
      </w:r>
      <w:r w:rsidRPr="00162F94">
        <w:rPr>
          <w:rFonts w:cs="Times New Roman"/>
        </w:rPr>
        <w:t xml:space="preserve"> pp.29-60</w:t>
      </w:r>
      <w:r w:rsidR="0023549E" w:rsidRPr="00162F94">
        <w:rPr>
          <w:rFonts w:cs="Times New Roman"/>
        </w:rPr>
        <w:t xml:space="preserve"> </w:t>
      </w:r>
    </w:p>
    <w:p w14:paraId="6A6AA15C" w14:textId="4B237151" w:rsidR="002B4905" w:rsidRPr="00162F94" w:rsidRDefault="002B4905" w:rsidP="000451F9">
      <w:pPr>
        <w:spacing w:before="0" w:after="0" w:line="240" w:lineRule="auto"/>
      </w:pPr>
      <w:r w:rsidRPr="00162F94">
        <w:rPr>
          <w:rFonts w:cs="Times New Roman"/>
        </w:rPr>
        <w:t xml:space="preserve">Available at: </w:t>
      </w:r>
      <w:hyperlink r:id="rId7" w:history="1">
        <w:r w:rsidR="00AF0887" w:rsidRPr="00162F94">
          <w:rPr>
            <w:rStyle w:val="Hyperlink"/>
          </w:rPr>
          <w:t>https://doi.org/10.1017/S0738248018000652</w:t>
        </w:r>
      </w:hyperlink>
    </w:p>
    <w:p w14:paraId="3479466C" w14:textId="53FC521B" w:rsidR="00AF0887" w:rsidRPr="00162F94" w:rsidRDefault="00AF0887" w:rsidP="000451F9">
      <w:pPr>
        <w:spacing w:before="0" w:after="0" w:line="240" w:lineRule="auto"/>
      </w:pPr>
      <w:r w:rsidRPr="00162F94">
        <w:t xml:space="preserve">(Accessed: </w:t>
      </w:r>
      <w:r w:rsidR="0023549E" w:rsidRPr="00162F94">
        <w:t>11</w:t>
      </w:r>
      <w:r w:rsidR="0023549E" w:rsidRPr="00162F94">
        <w:rPr>
          <w:vertAlign w:val="superscript"/>
        </w:rPr>
        <w:t>th</w:t>
      </w:r>
      <w:r w:rsidR="0023549E" w:rsidRPr="00162F94">
        <w:t xml:space="preserve"> March 2024) </w:t>
      </w:r>
    </w:p>
    <w:p w14:paraId="3EC8CFE8" w14:textId="77777777" w:rsidR="000451F9" w:rsidRPr="00162F94" w:rsidRDefault="000451F9" w:rsidP="000451F9">
      <w:pPr>
        <w:spacing w:before="0" w:after="0" w:line="240" w:lineRule="auto"/>
        <w:rPr>
          <w:rFonts w:cs="Times New Roman"/>
        </w:rPr>
      </w:pPr>
    </w:p>
    <w:p w14:paraId="5B1CBA7B" w14:textId="15ADA42B" w:rsidR="00AB3A71" w:rsidRPr="00162F94" w:rsidRDefault="00AB3A71" w:rsidP="00A97841">
      <w:pPr>
        <w:spacing w:before="0" w:after="0" w:line="240" w:lineRule="auto"/>
        <w:rPr>
          <w:rFonts w:cs="Times New Roman"/>
        </w:rPr>
      </w:pPr>
      <w:r w:rsidRPr="00162F94">
        <w:rPr>
          <w:rFonts w:cs="Times New Roman"/>
        </w:rPr>
        <w:t>Bonfield, L.</w:t>
      </w:r>
      <w:r w:rsidR="00315D8C" w:rsidRPr="00162F94">
        <w:rPr>
          <w:rFonts w:cs="Times New Roman"/>
        </w:rPr>
        <w:t xml:space="preserve"> (</w:t>
      </w:r>
      <w:r w:rsidRPr="00162F94">
        <w:rPr>
          <w:rFonts w:cs="Times New Roman"/>
        </w:rPr>
        <w:t>2016</w:t>
      </w:r>
      <w:r w:rsidR="00315D8C" w:rsidRPr="00162F94">
        <w:rPr>
          <w:rFonts w:cs="Times New Roman"/>
        </w:rPr>
        <w:t>)</w:t>
      </w:r>
      <w:r w:rsidRPr="00162F94">
        <w:rPr>
          <w:rFonts w:cs="Times New Roman"/>
        </w:rPr>
        <w:t> </w:t>
      </w:r>
      <w:r w:rsidRPr="00162F94">
        <w:rPr>
          <w:rFonts w:cs="Times New Roman"/>
          <w:i/>
          <w:iCs/>
        </w:rPr>
        <w:t>Devising, dying and dispute: probate litigation in early modern England</w:t>
      </w:r>
      <w:r w:rsidRPr="00162F94">
        <w:rPr>
          <w:rFonts w:cs="Times New Roman"/>
        </w:rPr>
        <w:t xml:space="preserve">. </w:t>
      </w:r>
      <w:r w:rsidR="003E205E" w:rsidRPr="00162F94">
        <w:rPr>
          <w:rFonts w:cs="Times New Roman"/>
        </w:rPr>
        <w:t>Oxon</w:t>
      </w:r>
      <w:r w:rsidR="00B05E4F" w:rsidRPr="00162F94">
        <w:rPr>
          <w:rFonts w:cs="Times New Roman"/>
        </w:rPr>
        <w:t xml:space="preserve">: </w:t>
      </w:r>
      <w:r w:rsidRPr="00162F94">
        <w:rPr>
          <w:rFonts w:cs="Times New Roman"/>
        </w:rPr>
        <w:t xml:space="preserve">Routledge. </w:t>
      </w:r>
    </w:p>
    <w:p w14:paraId="2F4487C3" w14:textId="77777777" w:rsidR="00C61448" w:rsidRPr="00162F94" w:rsidRDefault="00C61448" w:rsidP="00A97841">
      <w:pPr>
        <w:spacing w:before="0" w:after="0" w:line="240" w:lineRule="auto"/>
        <w:rPr>
          <w:rFonts w:cs="Times New Roman"/>
        </w:rPr>
      </w:pPr>
    </w:p>
    <w:p w14:paraId="0591C40F" w14:textId="2F007F00" w:rsidR="00633553" w:rsidRPr="00162F94" w:rsidRDefault="00AB3A71" w:rsidP="00C61448">
      <w:pPr>
        <w:spacing w:before="0" w:after="0" w:line="240" w:lineRule="auto"/>
      </w:pPr>
      <w:r w:rsidRPr="00162F94">
        <w:rPr>
          <w:rFonts w:cs="Times New Roman"/>
        </w:rPr>
        <w:t>Braun, A.</w:t>
      </w:r>
      <w:r w:rsidR="005272E0" w:rsidRPr="00162F94">
        <w:rPr>
          <w:rFonts w:cs="Times New Roman"/>
        </w:rPr>
        <w:t xml:space="preserve"> (</w:t>
      </w:r>
      <w:r w:rsidRPr="00162F94">
        <w:rPr>
          <w:rFonts w:cs="Times New Roman"/>
        </w:rPr>
        <w:t>2016</w:t>
      </w:r>
      <w:r w:rsidR="005272E0" w:rsidRPr="00162F94">
        <w:rPr>
          <w:rFonts w:cs="Times New Roman"/>
        </w:rPr>
        <w:t xml:space="preserve">) </w:t>
      </w:r>
      <w:r w:rsidR="00E470A9" w:rsidRPr="00162F94">
        <w:rPr>
          <w:rFonts w:cs="Times New Roman"/>
        </w:rPr>
        <w:t>‘</w:t>
      </w:r>
      <w:r w:rsidRPr="00162F94">
        <w:rPr>
          <w:rFonts w:cs="Times New Roman"/>
        </w:rPr>
        <w:t xml:space="preserve">Will-substitutes in England and </w:t>
      </w:r>
      <w:proofErr w:type="spellStart"/>
      <w:r w:rsidRPr="00162F94">
        <w:rPr>
          <w:rFonts w:cs="Times New Roman"/>
        </w:rPr>
        <w:t>Wales</w:t>
      </w:r>
      <w:r w:rsidR="00E470A9" w:rsidRPr="00162F94">
        <w:rPr>
          <w:rFonts w:cs="Times New Roman"/>
        </w:rPr>
        <w:t>’</w:t>
      </w:r>
      <w:proofErr w:type="spellEnd"/>
      <w:r w:rsidR="00456F1B" w:rsidRPr="00162F94">
        <w:rPr>
          <w:rFonts w:cs="Times New Roman"/>
        </w:rPr>
        <w:t xml:space="preserve"> </w:t>
      </w:r>
      <w:r w:rsidR="00456F1B" w:rsidRPr="00162F94">
        <w:rPr>
          <w:rFonts w:cs="Times New Roman"/>
          <w:i/>
          <w:iCs/>
        </w:rPr>
        <w:t xml:space="preserve">A Braun and A </w:t>
      </w:r>
      <w:proofErr w:type="spellStart"/>
      <w:r w:rsidR="00456F1B" w:rsidRPr="00162F94">
        <w:rPr>
          <w:rFonts w:cs="Times New Roman"/>
          <w:i/>
          <w:iCs/>
        </w:rPr>
        <w:t>Röthel</w:t>
      </w:r>
      <w:proofErr w:type="spellEnd"/>
      <w:r w:rsidR="00456F1B" w:rsidRPr="00162F94">
        <w:rPr>
          <w:rFonts w:cs="Times New Roman"/>
          <w:i/>
          <w:iCs/>
        </w:rPr>
        <w:t xml:space="preserve"> (eds), Passing Wealth on Death. Will-Substitutes in Comparative Perspective (Hart Publishing, Oxford, 2016</w:t>
      </w:r>
      <w:r w:rsidR="00C61448" w:rsidRPr="00162F94">
        <w:rPr>
          <w:rFonts w:cs="Times New Roman"/>
          <w:i/>
          <w:iCs/>
        </w:rPr>
        <w:t>)</w:t>
      </w:r>
      <w:r w:rsidR="00C61448" w:rsidRPr="00162F94">
        <w:rPr>
          <w:rFonts w:cs="Times New Roman"/>
        </w:rPr>
        <w:t xml:space="preserve"> 51</w:t>
      </w:r>
      <w:r w:rsidR="00E470A9" w:rsidRPr="00162F94">
        <w:t xml:space="preserve">-77, Oxford Legal Studies Research Paper No. 39/2016, </w:t>
      </w:r>
    </w:p>
    <w:p w14:paraId="2FE455F9" w14:textId="0769EC10" w:rsidR="00E470A9" w:rsidRPr="00162F94" w:rsidRDefault="00E470A9" w:rsidP="00C61448">
      <w:pPr>
        <w:spacing w:before="0" w:after="0" w:line="240" w:lineRule="auto"/>
      </w:pPr>
      <w:r w:rsidRPr="00162F94">
        <w:t xml:space="preserve">Available at SSRN: </w:t>
      </w:r>
      <w:hyperlink r:id="rId8" w:tgtFrame="_blank" w:history="1">
        <w:r w:rsidRPr="00162F94">
          <w:rPr>
            <w:rStyle w:val="Hyperlink"/>
          </w:rPr>
          <w:t>https://ssrn.com/abstract=2788469</w:t>
        </w:r>
      </w:hyperlink>
      <w:r w:rsidRPr="00162F94">
        <w:t xml:space="preserve"> </w:t>
      </w:r>
    </w:p>
    <w:p w14:paraId="546CA608" w14:textId="47B450B5" w:rsidR="00633553" w:rsidRPr="00162F94" w:rsidRDefault="00633553" w:rsidP="00C61448">
      <w:pPr>
        <w:spacing w:before="0" w:after="0" w:line="240" w:lineRule="auto"/>
      </w:pPr>
      <w:r w:rsidRPr="00162F94">
        <w:t xml:space="preserve">(Accessed: </w:t>
      </w:r>
      <w:r w:rsidR="00C61448" w:rsidRPr="00162F94">
        <w:t>13</w:t>
      </w:r>
      <w:r w:rsidRPr="00162F94">
        <w:rPr>
          <w:vertAlign w:val="superscript"/>
        </w:rPr>
        <w:t>th</w:t>
      </w:r>
      <w:r w:rsidRPr="00162F94">
        <w:t xml:space="preserve"> March 2024) </w:t>
      </w:r>
    </w:p>
    <w:p w14:paraId="6777A7C6" w14:textId="77777777" w:rsidR="00FD67BD" w:rsidRPr="00162F94" w:rsidRDefault="00FD67BD" w:rsidP="00FD67BD">
      <w:pPr>
        <w:spacing w:before="0" w:after="0" w:line="240" w:lineRule="auto"/>
        <w:rPr>
          <w:rFonts w:cs="Times New Roman"/>
        </w:rPr>
      </w:pPr>
    </w:p>
    <w:p w14:paraId="4B7BB5FE" w14:textId="1F910D25" w:rsidR="00E31714" w:rsidRPr="00162F94" w:rsidRDefault="00AB3A71" w:rsidP="00FD67BD">
      <w:pPr>
        <w:spacing w:before="0" w:after="0" w:line="240" w:lineRule="auto"/>
        <w:rPr>
          <w:rFonts w:cs="Times New Roman"/>
        </w:rPr>
      </w:pPr>
      <w:r w:rsidRPr="00162F94">
        <w:rPr>
          <w:rFonts w:cs="Times New Roman"/>
        </w:rPr>
        <w:t>Crawford, B.J.</w:t>
      </w:r>
      <w:r w:rsidR="00AF3EBC" w:rsidRPr="00162F94">
        <w:rPr>
          <w:rFonts w:cs="Times New Roman"/>
        </w:rPr>
        <w:t xml:space="preserve"> (</w:t>
      </w:r>
      <w:r w:rsidRPr="00162F94">
        <w:rPr>
          <w:rFonts w:cs="Times New Roman"/>
        </w:rPr>
        <w:t>2019</w:t>
      </w:r>
      <w:r w:rsidR="00AF3EBC" w:rsidRPr="00162F94">
        <w:rPr>
          <w:rFonts w:cs="Times New Roman"/>
        </w:rPr>
        <w:t>)</w:t>
      </w:r>
      <w:r w:rsidR="00FD67BD" w:rsidRPr="00162F94">
        <w:rPr>
          <w:rFonts w:cs="Times New Roman"/>
        </w:rPr>
        <w:t xml:space="preserve"> ‘</w:t>
      </w:r>
      <w:r w:rsidRPr="00162F94">
        <w:rPr>
          <w:rFonts w:cs="Times New Roman"/>
        </w:rPr>
        <w:t>Wills Formalities in the Twenty-First Century</w:t>
      </w:r>
      <w:r w:rsidR="00FD67BD" w:rsidRPr="00162F94">
        <w:rPr>
          <w:rFonts w:cs="Times New Roman"/>
        </w:rPr>
        <w:t xml:space="preserve">’ </w:t>
      </w:r>
      <w:r w:rsidR="0015254F" w:rsidRPr="00162F94">
        <w:rPr>
          <w:rFonts w:cs="Times New Roman"/>
          <w:i/>
          <w:iCs/>
        </w:rPr>
        <w:t xml:space="preserve">2019 Wisconsin Law Review 269 - </w:t>
      </w:r>
      <w:r w:rsidRPr="00162F94">
        <w:rPr>
          <w:rFonts w:cs="Times New Roman"/>
        </w:rPr>
        <w:t xml:space="preserve">p.269 </w:t>
      </w:r>
    </w:p>
    <w:p w14:paraId="527AF3EF" w14:textId="3FEDC35B" w:rsidR="00AB007B" w:rsidRPr="00162F94" w:rsidRDefault="00E31714" w:rsidP="0022464D">
      <w:pPr>
        <w:spacing w:before="0" w:after="0" w:line="240" w:lineRule="auto"/>
        <w:rPr>
          <w:rFonts w:cs="Times New Roman"/>
        </w:rPr>
      </w:pPr>
      <w:r w:rsidRPr="00162F94">
        <w:rPr>
          <w:rFonts w:cs="Times New Roman"/>
        </w:rPr>
        <w:t xml:space="preserve">Available at: </w:t>
      </w:r>
      <w:hyperlink r:id="rId9" w:tgtFrame="_blank" w:history="1">
        <w:r w:rsidR="0022464D" w:rsidRPr="00162F94">
          <w:rPr>
            <w:rStyle w:val="Hyperlink"/>
          </w:rPr>
          <w:t xml:space="preserve">http://dx.doi.org/10.2139/ssrn.3264683 </w:t>
        </w:r>
      </w:hyperlink>
    </w:p>
    <w:p w14:paraId="176BAC4B" w14:textId="2757E171" w:rsidR="0022464D" w:rsidRPr="00162F94" w:rsidRDefault="0022464D" w:rsidP="0022464D">
      <w:pPr>
        <w:spacing w:before="0" w:after="0" w:line="240" w:lineRule="auto"/>
        <w:rPr>
          <w:rFonts w:cs="Times New Roman"/>
        </w:rPr>
      </w:pPr>
      <w:r w:rsidRPr="00162F94">
        <w:rPr>
          <w:rFonts w:cs="Times New Roman"/>
        </w:rPr>
        <w:t>(Accessed: 3</w:t>
      </w:r>
      <w:r w:rsidRPr="00162F94">
        <w:rPr>
          <w:rFonts w:cs="Times New Roman"/>
          <w:vertAlign w:val="superscript"/>
        </w:rPr>
        <w:t>rd</w:t>
      </w:r>
      <w:r w:rsidRPr="00162F94">
        <w:rPr>
          <w:rFonts w:cs="Times New Roman"/>
        </w:rPr>
        <w:t xml:space="preserve"> March 2024) </w:t>
      </w:r>
    </w:p>
    <w:p w14:paraId="0227E1FD" w14:textId="77777777" w:rsidR="00D50C9C" w:rsidRPr="00162F94" w:rsidRDefault="00D50C9C" w:rsidP="005E11B2">
      <w:pPr>
        <w:spacing w:before="0" w:after="0" w:line="240" w:lineRule="auto"/>
        <w:rPr>
          <w:rFonts w:cs="Times New Roman"/>
        </w:rPr>
      </w:pPr>
    </w:p>
    <w:p w14:paraId="7D16602E" w14:textId="77CCAD79" w:rsidR="00740B19" w:rsidRPr="00162F94" w:rsidRDefault="005E11B2" w:rsidP="005E11B2">
      <w:pPr>
        <w:spacing w:before="0" w:after="0" w:line="240" w:lineRule="auto"/>
      </w:pPr>
      <w:r w:rsidRPr="00162F94">
        <w:t xml:space="preserve">D. W. L. (1939) “Some Makers of English Law: The Tagore Lectures, 1937—1938. By SirWilliam Holdsworth. Cambridge: The University Press. 1938. xi and 308 pp. (15 </w:t>
      </w:r>
      <w:r w:rsidR="00740B19" w:rsidRPr="00162F94">
        <w:t>s.</w:t>
      </w:r>
      <w:r w:rsidRPr="00162F94">
        <w:t xml:space="preserve">),” </w:t>
      </w:r>
      <w:r w:rsidRPr="00162F94">
        <w:rPr>
          <w:i/>
          <w:iCs/>
        </w:rPr>
        <w:t>Cambridge law journal</w:t>
      </w:r>
      <w:r w:rsidRPr="00162F94">
        <w:t xml:space="preserve">, 7(1), pp. 193–193. </w:t>
      </w:r>
    </w:p>
    <w:p w14:paraId="0D83FC28" w14:textId="41970EA3" w:rsidR="005E11B2" w:rsidRPr="00162F94" w:rsidRDefault="005E11B2" w:rsidP="005E11B2">
      <w:pPr>
        <w:spacing w:before="0" w:after="0" w:line="240" w:lineRule="auto"/>
      </w:pPr>
      <w:r w:rsidRPr="00162F94">
        <w:t xml:space="preserve">Available at: </w:t>
      </w:r>
      <w:hyperlink r:id="rId10" w:history="1">
        <w:r w:rsidR="00D50C9C" w:rsidRPr="00162F94">
          <w:rPr>
            <w:rStyle w:val="Hyperlink"/>
          </w:rPr>
          <w:t>https://doi.org/10.1017/S0008197300128284</w:t>
        </w:r>
      </w:hyperlink>
    </w:p>
    <w:p w14:paraId="041C5572" w14:textId="77777777" w:rsidR="00D50C9C" w:rsidRPr="00162F94" w:rsidRDefault="00D50C9C" w:rsidP="00D50C9C">
      <w:pPr>
        <w:spacing w:before="0" w:after="0" w:line="240" w:lineRule="auto"/>
        <w:rPr>
          <w:rFonts w:cs="Times New Roman"/>
        </w:rPr>
      </w:pPr>
      <w:r w:rsidRPr="00162F94">
        <w:rPr>
          <w:rFonts w:cs="Times New Roman"/>
        </w:rPr>
        <w:t>(Accessed: 3</w:t>
      </w:r>
      <w:r w:rsidRPr="00162F94">
        <w:rPr>
          <w:rFonts w:cs="Times New Roman"/>
          <w:vertAlign w:val="superscript"/>
        </w:rPr>
        <w:t>rd</w:t>
      </w:r>
      <w:r w:rsidRPr="00162F94">
        <w:rPr>
          <w:rFonts w:cs="Times New Roman"/>
        </w:rPr>
        <w:t xml:space="preserve"> March 2024) </w:t>
      </w:r>
    </w:p>
    <w:p w14:paraId="16899934" w14:textId="77777777" w:rsidR="00D50C9C" w:rsidRPr="00162F94" w:rsidRDefault="00D50C9C" w:rsidP="005E11B2">
      <w:pPr>
        <w:spacing w:before="0" w:after="0" w:line="240" w:lineRule="auto"/>
        <w:rPr>
          <w:rFonts w:cs="Times New Roman"/>
        </w:rPr>
      </w:pPr>
    </w:p>
    <w:p w14:paraId="08135DE9" w14:textId="71D47B61" w:rsidR="00950E97" w:rsidRPr="00162F94" w:rsidRDefault="00AB3A71" w:rsidP="008A12B1">
      <w:pPr>
        <w:spacing w:before="0" w:after="0" w:line="240" w:lineRule="auto"/>
      </w:pPr>
      <w:r w:rsidRPr="00162F94">
        <w:rPr>
          <w:rFonts w:cs="Times New Roman"/>
        </w:rPr>
        <w:t>Horton, D.</w:t>
      </w:r>
      <w:r w:rsidR="00950E97" w:rsidRPr="00162F94">
        <w:rPr>
          <w:rFonts w:cs="Times New Roman"/>
        </w:rPr>
        <w:t xml:space="preserve"> (</w:t>
      </w:r>
      <w:r w:rsidRPr="00162F94">
        <w:rPr>
          <w:rFonts w:cs="Times New Roman"/>
        </w:rPr>
        <w:t>2019</w:t>
      </w:r>
      <w:r w:rsidR="00950E97" w:rsidRPr="00162F94">
        <w:rPr>
          <w:rFonts w:cs="Times New Roman"/>
        </w:rPr>
        <w:t xml:space="preserve">) </w:t>
      </w:r>
      <w:r w:rsidR="008A12B1" w:rsidRPr="00162F94">
        <w:rPr>
          <w:rFonts w:cs="Times New Roman"/>
        </w:rPr>
        <w:t>‘</w:t>
      </w:r>
      <w:r w:rsidRPr="00162F94">
        <w:rPr>
          <w:rFonts w:cs="Times New Roman"/>
        </w:rPr>
        <w:t>Wills Without Signatures</w:t>
      </w:r>
      <w:r w:rsidR="008A12B1" w:rsidRPr="00162F94">
        <w:rPr>
          <w:rFonts w:cs="Times New Roman"/>
        </w:rPr>
        <w:t>’</w:t>
      </w:r>
      <w:r w:rsidR="008A12B1" w:rsidRPr="00162F94">
        <w:t xml:space="preserve"> </w:t>
      </w:r>
      <w:r w:rsidR="00950E97" w:rsidRPr="00162F94">
        <w:rPr>
          <w:i/>
          <w:iCs/>
        </w:rPr>
        <w:t>Boston University Law Review</w:t>
      </w:r>
      <w:r w:rsidR="008A12B1" w:rsidRPr="00162F94">
        <w:rPr>
          <w:i/>
          <w:iCs/>
        </w:rPr>
        <w:t xml:space="preserve"> -</w:t>
      </w:r>
      <w:r w:rsidR="00950E97" w:rsidRPr="00162F94">
        <w:rPr>
          <w:i/>
          <w:iCs/>
        </w:rPr>
        <w:t xml:space="preserve"> </w:t>
      </w:r>
      <w:r w:rsidR="00950E97" w:rsidRPr="00162F94">
        <w:t>99(4)</w:t>
      </w:r>
      <w:r w:rsidR="0009720B" w:rsidRPr="00162F94">
        <w:t xml:space="preserve"> </w:t>
      </w:r>
      <w:r w:rsidR="008A12B1" w:rsidRPr="00162F94">
        <w:t>-</w:t>
      </w:r>
      <w:r w:rsidR="00950E97" w:rsidRPr="00162F94">
        <w:t xml:space="preserve"> pp.1623-1685</w:t>
      </w:r>
    </w:p>
    <w:p w14:paraId="0519CA7A" w14:textId="77777777" w:rsidR="00D649EB" w:rsidRPr="00162F94" w:rsidRDefault="008A12B1" w:rsidP="008A12B1">
      <w:pPr>
        <w:spacing w:before="0" w:after="0" w:line="240" w:lineRule="auto"/>
      </w:pPr>
      <w:r w:rsidRPr="00162F94">
        <w:rPr>
          <w:rFonts w:cs="Times New Roman"/>
        </w:rPr>
        <w:t>Available at:</w:t>
      </w:r>
    </w:p>
    <w:p w14:paraId="4F16B4EA" w14:textId="5037BB50" w:rsidR="008A12B1" w:rsidRPr="00162F94" w:rsidRDefault="00D649EB" w:rsidP="008A12B1">
      <w:pPr>
        <w:spacing w:before="0" w:after="0" w:line="240" w:lineRule="auto"/>
        <w:rPr>
          <w:rFonts w:cs="Times New Roman"/>
        </w:rPr>
      </w:pPr>
      <w:r w:rsidRPr="00162F94">
        <w:rPr>
          <w:rFonts w:cs="Times New Roman"/>
        </w:rPr>
        <w:t>https://www.proquest.com/scholarly-journals/wills-without-signatures/docview/2304943781/se-2?accountid=130472</w:t>
      </w:r>
      <w:r w:rsidR="008A12B1" w:rsidRPr="00162F94">
        <w:rPr>
          <w:rFonts w:cs="Times New Roman"/>
        </w:rPr>
        <w:t xml:space="preserve"> </w:t>
      </w:r>
    </w:p>
    <w:p w14:paraId="4CDEAD7B" w14:textId="77777777" w:rsidR="00D649EB" w:rsidRPr="00162F94" w:rsidRDefault="00D649EB" w:rsidP="00D649EB">
      <w:pPr>
        <w:spacing w:before="0" w:after="0" w:line="240" w:lineRule="auto"/>
        <w:rPr>
          <w:rFonts w:cs="Times New Roman"/>
        </w:rPr>
      </w:pPr>
      <w:r w:rsidRPr="00162F94">
        <w:rPr>
          <w:rFonts w:cs="Times New Roman"/>
        </w:rPr>
        <w:t>(Accessed: 3</w:t>
      </w:r>
      <w:r w:rsidRPr="00162F94">
        <w:rPr>
          <w:rFonts w:cs="Times New Roman"/>
          <w:vertAlign w:val="superscript"/>
        </w:rPr>
        <w:t>rd</w:t>
      </w:r>
      <w:r w:rsidRPr="00162F94">
        <w:rPr>
          <w:rFonts w:cs="Times New Roman"/>
        </w:rPr>
        <w:t xml:space="preserve"> March 2024) </w:t>
      </w:r>
    </w:p>
    <w:p w14:paraId="38E1033D" w14:textId="77777777" w:rsidR="002329E0" w:rsidRPr="00162F94" w:rsidRDefault="002329E0" w:rsidP="00D649EB">
      <w:pPr>
        <w:spacing w:before="0" w:after="0" w:line="240" w:lineRule="auto"/>
        <w:rPr>
          <w:rFonts w:cs="Times New Roman"/>
        </w:rPr>
      </w:pPr>
    </w:p>
    <w:p w14:paraId="51A2213D" w14:textId="5941F041" w:rsidR="0028227E" w:rsidRPr="00162F94" w:rsidRDefault="002329E0" w:rsidP="002329E0">
      <w:pPr>
        <w:spacing w:before="0" w:after="0" w:line="240" w:lineRule="auto"/>
      </w:pPr>
      <w:proofErr w:type="spellStart"/>
      <w:r w:rsidRPr="00162F94">
        <w:t>Keibek</w:t>
      </w:r>
      <w:proofErr w:type="spellEnd"/>
      <w:r w:rsidRPr="00162F94">
        <w:t>, S. (2017) ‘</w:t>
      </w:r>
      <w:r w:rsidR="0028227E" w:rsidRPr="00162F94">
        <w:t>Cambridge Working Papers in Economic and Social History’</w:t>
      </w:r>
      <w:r w:rsidR="0028227E" w:rsidRPr="00162F94">
        <w:rPr>
          <w:i/>
          <w:iCs/>
        </w:rPr>
        <w:t xml:space="preserve"> </w:t>
      </w:r>
      <w:r w:rsidRPr="00162F94">
        <w:rPr>
          <w:i/>
          <w:iCs/>
        </w:rPr>
        <w:t>Correcting the probate inventory record for wealth bias</w:t>
      </w:r>
      <w:r w:rsidR="006D05BE" w:rsidRPr="00162F94">
        <w:rPr>
          <w:i/>
          <w:iCs/>
        </w:rPr>
        <w:t xml:space="preserve"> - </w:t>
      </w:r>
      <w:r w:rsidR="00A52066" w:rsidRPr="00162F94">
        <w:t>28.</w:t>
      </w:r>
    </w:p>
    <w:p w14:paraId="559F4688" w14:textId="6CB407F5" w:rsidR="002329E0" w:rsidRPr="00162F94" w:rsidRDefault="00501BD0" w:rsidP="002329E0">
      <w:pPr>
        <w:spacing w:before="0" w:after="0" w:line="240" w:lineRule="auto"/>
      </w:pPr>
      <w:r w:rsidRPr="00162F94">
        <w:t xml:space="preserve">Available at: </w:t>
      </w:r>
      <w:r w:rsidR="002329E0" w:rsidRPr="00162F94">
        <w:t>doi:10.17863/CAM.13234.</w:t>
      </w:r>
    </w:p>
    <w:p w14:paraId="09B1915A" w14:textId="77777777" w:rsidR="00501BD0" w:rsidRPr="00162F94" w:rsidRDefault="00501BD0" w:rsidP="00501BD0">
      <w:pPr>
        <w:spacing w:before="0" w:after="0" w:line="240" w:lineRule="auto"/>
        <w:rPr>
          <w:rFonts w:cs="Times New Roman"/>
        </w:rPr>
      </w:pPr>
      <w:r w:rsidRPr="00162F94">
        <w:rPr>
          <w:rFonts w:cs="Times New Roman"/>
        </w:rPr>
        <w:t>(Accessed: 3</w:t>
      </w:r>
      <w:r w:rsidRPr="00162F94">
        <w:rPr>
          <w:rFonts w:cs="Times New Roman"/>
          <w:vertAlign w:val="superscript"/>
        </w:rPr>
        <w:t>rd</w:t>
      </w:r>
      <w:r w:rsidRPr="00162F94">
        <w:rPr>
          <w:rFonts w:cs="Times New Roman"/>
        </w:rPr>
        <w:t xml:space="preserve"> March 2024) </w:t>
      </w:r>
    </w:p>
    <w:p w14:paraId="7D2EDBC2" w14:textId="77777777" w:rsidR="00501BD0" w:rsidRPr="00162F94" w:rsidRDefault="00501BD0" w:rsidP="002329E0">
      <w:pPr>
        <w:spacing w:before="0" w:after="0" w:line="240" w:lineRule="auto"/>
      </w:pPr>
    </w:p>
    <w:p w14:paraId="0F5765BE" w14:textId="26CB31CE" w:rsidR="000451F9" w:rsidRPr="00162F94" w:rsidRDefault="000451F9" w:rsidP="003D379D">
      <w:pPr>
        <w:spacing w:before="0" w:after="0" w:line="240" w:lineRule="auto"/>
      </w:pPr>
      <w:r w:rsidRPr="00162F94">
        <w:t xml:space="preserve">King, Lesley. (2022) </w:t>
      </w:r>
      <w:r w:rsidRPr="00162F94">
        <w:rPr>
          <w:i/>
          <w:iCs/>
        </w:rPr>
        <w:t xml:space="preserve">Private Client: Wills, </w:t>
      </w:r>
      <w:proofErr w:type="gramStart"/>
      <w:r w:rsidRPr="00162F94">
        <w:rPr>
          <w:i/>
          <w:iCs/>
        </w:rPr>
        <w:t>Trusts</w:t>
      </w:r>
      <w:proofErr w:type="gramEnd"/>
      <w:r w:rsidRPr="00162F94">
        <w:rPr>
          <w:i/>
          <w:iCs/>
        </w:rPr>
        <w:t xml:space="preserve"> and Estate Planning</w:t>
      </w:r>
      <w:r w:rsidRPr="00162F94">
        <w:t xml:space="preserve"> </w:t>
      </w:r>
      <w:r w:rsidR="00552249" w:rsidRPr="00162F94">
        <w:t>-</w:t>
      </w:r>
      <w:r w:rsidRPr="00162F94">
        <w:t>1</w:t>
      </w:r>
      <w:r w:rsidR="00D47E20" w:rsidRPr="00162F94">
        <w:rPr>
          <w:vertAlign w:val="superscript"/>
        </w:rPr>
        <w:t>st</w:t>
      </w:r>
      <w:r w:rsidR="00D47E20" w:rsidRPr="00162F94">
        <w:t xml:space="preserve"> E</w:t>
      </w:r>
      <w:r w:rsidRPr="00162F94">
        <w:t>d</w:t>
      </w:r>
      <w:r w:rsidR="00D47E20" w:rsidRPr="00162F94">
        <w:t xml:space="preserve"> - </w:t>
      </w:r>
      <w:r w:rsidRPr="00162F94">
        <w:t>Guildford: College of Law Publishing.</w:t>
      </w:r>
    </w:p>
    <w:p w14:paraId="0AF0ACEF" w14:textId="77777777" w:rsidR="00FA0918" w:rsidRPr="00162F94" w:rsidRDefault="00FA0918" w:rsidP="00D47E20">
      <w:pPr>
        <w:spacing w:before="0" w:after="0" w:line="240" w:lineRule="auto"/>
        <w:ind w:left="357"/>
      </w:pPr>
    </w:p>
    <w:p w14:paraId="12AD225F" w14:textId="1375C8EC" w:rsidR="00352AED" w:rsidRPr="00162F94" w:rsidRDefault="00352AED" w:rsidP="00E420B7">
      <w:pPr>
        <w:spacing w:before="0" w:after="0" w:line="240" w:lineRule="auto"/>
      </w:pPr>
      <w:r w:rsidRPr="00162F94">
        <w:t xml:space="preserve">Lambrechts, L. and Jacobs, J. (2013) “Valid or not? General principles for challenging a </w:t>
      </w:r>
      <w:proofErr w:type="gramStart"/>
      <w:r w:rsidRPr="00162F94">
        <w:t>will :</w:t>
      </w:r>
      <w:proofErr w:type="gramEnd"/>
      <w:r w:rsidRPr="00162F94">
        <w:t xml:space="preserve"> Wills Week feature,” </w:t>
      </w:r>
      <w:r w:rsidRPr="00162F94">
        <w:rPr>
          <w:i/>
          <w:iCs/>
        </w:rPr>
        <w:t>De rebus</w:t>
      </w:r>
      <w:r w:rsidRPr="00162F94">
        <w:t>, 2013(535), pp. 30–32.</w:t>
      </w:r>
    </w:p>
    <w:p w14:paraId="6942C3DF" w14:textId="5CE6A8BD" w:rsidR="006673A1" w:rsidRPr="00162F94" w:rsidRDefault="006673A1" w:rsidP="00E420B7">
      <w:pPr>
        <w:spacing w:before="0" w:after="0" w:line="240" w:lineRule="auto"/>
      </w:pPr>
      <w:r w:rsidRPr="00162F94">
        <w:t xml:space="preserve">Available at: </w:t>
      </w:r>
      <w:hyperlink r:id="rId11" w:history="1">
        <w:r w:rsidRPr="00162F94">
          <w:rPr>
            <w:rStyle w:val="Hyperlink"/>
          </w:rPr>
          <w:t>https://journals.co.za/doi/abs/10.10520/EJC141876</w:t>
        </w:r>
      </w:hyperlink>
    </w:p>
    <w:p w14:paraId="202B4550" w14:textId="77777777" w:rsidR="00E420B7" w:rsidRPr="00162F94" w:rsidRDefault="00E420B7" w:rsidP="00E420B7">
      <w:pPr>
        <w:spacing w:before="0" w:after="0" w:line="240" w:lineRule="auto"/>
        <w:rPr>
          <w:rFonts w:cs="Times New Roman"/>
        </w:rPr>
      </w:pPr>
      <w:r w:rsidRPr="00162F94">
        <w:rPr>
          <w:rFonts w:cs="Times New Roman"/>
        </w:rPr>
        <w:t>(Accessed: 3</w:t>
      </w:r>
      <w:r w:rsidRPr="00162F94">
        <w:rPr>
          <w:rFonts w:cs="Times New Roman"/>
          <w:vertAlign w:val="superscript"/>
        </w:rPr>
        <w:t>rd</w:t>
      </w:r>
      <w:r w:rsidRPr="00162F94">
        <w:rPr>
          <w:rFonts w:cs="Times New Roman"/>
        </w:rPr>
        <w:t xml:space="preserve"> March 2024) </w:t>
      </w:r>
    </w:p>
    <w:p w14:paraId="71F911CE" w14:textId="77777777" w:rsidR="006673A1" w:rsidRPr="00162F94" w:rsidRDefault="006673A1" w:rsidP="00D47E20">
      <w:pPr>
        <w:spacing w:before="0" w:after="0" w:line="240" w:lineRule="auto"/>
        <w:ind w:left="357"/>
      </w:pPr>
    </w:p>
    <w:p w14:paraId="02741E43" w14:textId="184AB6D5" w:rsidR="003E5E15" w:rsidRDefault="00552249" w:rsidP="00B53BB4">
      <w:pPr>
        <w:spacing w:before="0" w:after="0" w:line="240" w:lineRule="auto"/>
      </w:pPr>
      <w:r w:rsidRPr="00162F94">
        <w:t xml:space="preserve">McCarthy, F. (2013) </w:t>
      </w:r>
      <w:r w:rsidRPr="00162F94">
        <w:rPr>
          <w:i/>
          <w:iCs/>
        </w:rPr>
        <w:t>Succession law</w:t>
      </w:r>
      <w:r w:rsidRPr="00162F94">
        <w:t xml:space="preserve"> </w:t>
      </w:r>
      <w:r w:rsidR="00E05F01" w:rsidRPr="00162F94">
        <w:t>-</w:t>
      </w:r>
      <w:r w:rsidRPr="00162F94">
        <w:t>1</w:t>
      </w:r>
      <w:r w:rsidRPr="00162F94">
        <w:rPr>
          <w:vertAlign w:val="superscript"/>
        </w:rPr>
        <w:t>st</w:t>
      </w:r>
      <w:r w:rsidRPr="00162F94">
        <w:t xml:space="preserve"> Ed </w:t>
      </w:r>
      <w:r w:rsidR="003E5E15" w:rsidRPr="00162F94">
        <w:t>–</w:t>
      </w:r>
      <w:r w:rsidRPr="00162F94">
        <w:t xml:space="preserve"> Scotland: Dundee University Press</w:t>
      </w:r>
    </w:p>
    <w:p w14:paraId="528613FB" w14:textId="77777777" w:rsidR="00DA5D33" w:rsidRDefault="00DA5D33" w:rsidP="00B53BB4">
      <w:pPr>
        <w:spacing w:before="0" w:after="0" w:line="240" w:lineRule="auto"/>
      </w:pPr>
    </w:p>
    <w:p w14:paraId="6DD1C3ED" w14:textId="77777777" w:rsidR="00DA5D33" w:rsidRDefault="00DA5D33" w:rsidP="00B53BB4">
      <w:pPr>
        <w:spacing w:before="0" w:after="0" w:line="240" w:lineRule="auto"/>
      </w:pPr>
    </w:p>
    <w:p w14:paraId="250067AE" w14:textId="77777777" w:rsidR="00DA5D33" w:rsidRPr="00162F94" w:rsidRDefault="00DA5D33" w:rsidP="00DA5D33">
      <w:pPr>
        <w:spacing w:before="0" w:after="0" w:line="240" w:lineRule="auto"/>
        <w:rPr>
          <w:rFonts w:cs="Times New Roman"/>
        </w:rPr>
      </w:pPr>
      <w:r w:rsidRPr="00162F94">
        <w:rPr>
          <w:rFonts w:cs="Times New Roman"/>
        </w:rPr>
        <w:lastRenderedPageBreak/>
        <w:t xml:space="preserve">Mental Capacity Act 2005 – available at: </w:t>
      </w:r>
    </w:p>
    <w:p w14:paraId="1B964CE3" w14:textId="77777777" w:rsidR="00DA5D33" w:rsidRDefault="00DA5D33" w:rsidP="00DA5D33">
      <w:pPr>
        <w:spacing w:before="0" w:after="0" w:line="240" w:lineRule="auto"/>
        <w:rPr>
          <w:rStyle w:val="Hyperlink"/>
          <w:rFonts w:cs="Times New Roman"/>
        </w:rPr>
      </w:pPr>
      <w:hyperlink r:id="rId12" w:history="1">
        <w:r w:rsidRPr="00162F94">
          <w:rPr>
            <w:rStyle w:val="Hyperlink"/>
            <w:rFonts w:cs="Times New Roman"/>
          </w:rPr>
          <w:t>https://www.legislation.gov.uk/ukpga/2005/9/contents</w:t>
        </w:r>
      </w:hyperlink>
    </w:p>
    <w:p w14:paraId="3ADB8084" w14:textId="77777777" w:rsidR="00B53BB4" w:rsidRPr="00162F94" w:rsidRDefault="00B53BB4" w:rsidP="00B53BB4">
      <w:pPr>
        <w:spacing w:before="0" w:after="0" w:line="240" w:lineRule="auto"/>
      </w:pPr>
    </w:p>
    <w:p w14:paraId="44233A58" w14:textId="5003CB99" w:rsidR="00AB3A71" w:rsidRPr="00162F94" w:rsidRDefault="00AB3A71" w:rsidP="00B53BB4">
      <w:pPr>
        <w:spacing w:before="0" w:after="0" w:line="240" w:lineRule="auto"/>
        <w:rPr>
          <w:rFonts w:cs="Times New Roman"/>
        </w:rPr>
      </w:pPr>
      <w:r w:rsidRPr="00162F94">
        <w:rPr>
          <w:rFonts w:cs="Times New Roman"/>
        </w:rPr>
        <w:t>Oliver, L.</w:t>
      </w:r>
      <w:r w:rsidR="00B53BB4" w:rsidRPr="00162F94">
        <w:rPr>
          <w:rFonts w:cs="Times New Roman"/>
        </w:rPr>
        <w:t xml:space="preserve"> (</w:t>
      </w:r>
      <w:r w:rsidRPr="00162F94">
        <w:rPr>
          <w:rFonts w:cs="Times New Roman"/>
        </w:rPr>
        <w:t>2002</w:t>
      </w:r>
      <w:r w:rsidR="00B53BB4" w:rsidRPr="00162F94">
        <w:rPr>
          <w:rFonts w:cs="Times New Roman"/>
        </w:rPr>
        <w:t>)</w:t>
      </w:r>
      <w:r w:rsidRPr="00162F94">
        <w:rPr>
          <w:rFonts w:cs="Times New Roman"/>
        </w:rPr>
        <w:t> </w:t>
      </w:r>
      <w:r w:rsidRPr="00162F94">
        <w:rPr>
          <w:rFonts w:cs="Times New Roman"/>
          <w:i/>
          <w:iCs/>
        </w:rPr>
        <w:t>The beginnings of English law</w:t>
      </w:r>
      <w:r w:rsidR="00C670E3" w:rsidRPr="00162F94">
        <w:rPr>
          <w:rFonts w:cs="Times New Roman"/>
        </w:rPr>
        <w:t xml:space="preserve"> - </w:t>
      </w:r>
      <w:r w:rsidRPr="00162F94">
        <w:rPr>
          <w:rFonts w:cs="Times New Roman"/>
        </w:rPr>
        <w:t>University of Toronto Press</w:t>
      </w:r>
    </w:p>
    <w:p w14:paraId="4315DA9D" w14:textId="77777777" w:rsidR="007B2629" w:rsidRPr="00162F94" w:rsidRDefault="007B2629" w:rsidP="007B2629">
      <w:pPr>
        <w:spacing w:before="0" w:after="0" w:line="240" w:lineRule="auto"/>
        <w:rPr>
          <w:rFonts w:cs="Times New Roman"/>
        </w:rPr>
      </w:pPr>
    </w:p>
    <w:p w14:paraId="24BBCB0B" w14:textId="01134B54" w:rsidR="007B2629" w:rsidRPr="00162F94" w:rsidRDefault="007B2629" w:rsidP="007B2629">
      <w:pPr>
        <w:spacing w:before="0" w:after="0" w:line="240" w:lineRule="auto"/>
      </w:pPr>
      <w:r w:rsidRPr="00162F94">
        <w:t>Pecora, V.P. (2008) Inheritances, Gifts, and Expectation</w:t>
      </w:r>
      <w:r w:rsidR="00625A34" w:rsidRPr="00162F94">
        <w:t xml:space="preserve">’ </w:t>
      </w:r>
      <w:r w:rsidRPr="00162F94">
        <w:rPr>
          <w:i/>
          <w:iCs/>
        </w:rPr>
        <w:t>Law and literature</w:t>
      </w:r>
      <w:r w:rsidRPr="00162F94">
        <w:t>, 20(2)</w:t>
      </w:r>
      <w:r w:rsidR="00625A34" w:rsidRPr="00162F94">
        <w:t xml:space="preserve"> -</w:t>
      </w:r>
      <w:r w:rsidRPr="00162F94">
        <w:t xml:space="preserve">pp. 177–196. </w:t>
      </w:r>
    </w:p>
    <w:p w14:paraId="302B56CC" w14:textId="6073FF5F" w:rsidR="007B2629" w:rsidRPr="00162F94" w:rsidRDefault="007B2629" w:rsidP="007B2629">
      <w:pPr>
        <w:spacing w:before="0" w:after="0" w:line="240" w:lineRule="auto"/>
      </w:pPr>
      <w:r w:rsidRPr="00162F94">
        <w:t xml:space="preserve">Available at: </w:t>
      </w:r>
      <w:hyperlink r:id="rId13" w:history="1">
        <w:r w:rsidRPr="00162F94">
          <w:rPr>
            <w:rStyle w:val="Hyperlink"/>
          </w:rPr>
          <w:t>https://doi.org/10.1525/lal.2008.20.2.177</w:t>
        </w:r>
      </w:hyperlink>
      <w:r w:rsidRPr="00162F94">
        <w:t>.</w:t>
      </w:r>
    </w:p>
    <w:p w14:paraId="3515A35B" w14:textId="77777777" w:rsidR="007B2629" w:rsidRPr="00162F94" w:rsidRDefault="007B2629" w:rsidP="007B2629">
      <w:pPr>
        <w:spacing w:before="0" w:after="0" w:line="240" w:lineRule="auto"/>
        <w:rPr>
          <w:rFonts w:cs="Times New Roman"/>
        </w:rPr>
      </w:pPr>
      <w:r w:rsidRPr="00162F94">
        <w:rPr>
          <w:rFonts w:cs="Times New Roman"/>
        </w:rPr>
        <w:t>(Accessed: 3</w:t>
      </w:r>
      <w:r w:rsidRPr="00162F94">
        <w:rPr>
          <w:rFonts w:cs="Times New Roman"/>
          <w:vertAlign w:val="superscript"/>
        </w:rPr>
        <w:t>rd</w:t>
      </w:r>
      <w:r w:rsidRPr="00162F94">
        <w:rPr>
          <w:rFonts w:cs="Times New Roman"/>
        </w:rPr>
        <w:t xml:space="preserve"> March 2024) </w:t>
      </w:r>
    </w:p>
    <w:p w14:paraId="5BAFE820" w14:textId="77777777" w:rsidR="00625A34" w:rsidRPr="00162F94" w:rsidRDefault="00625A34" w:rsidP="007B2629">
      <w:pPr>
        <w:spacing w:before="0" w:after="0" w:line="240" w:lineRule="auto"/>
        <w:rPr>
          <w:rFonts w:cs="Times New Roman"/>
        </w:rPr>
      </w:pPr>
    </w:p>
    <w:p w14:paraId="3D50A219" w14:textId="3AF6312D" w:rsidR="00625A34" w:rsidRPr="00162F94" w:rsidRDefault="00625A34" w:rsidP="00625A34">
      <w:pPr>
        <w:spacing w:before="0" w:after="0" w:line="240" w:lineRule="auto"/>
      </w:pPr>
      <w:proofErr w:type="spellStart"/>
      <w:r w:rsidRPr="00162F94">
        <w:t>Peisah</w:t>
      </w:r>
      <w:proofErr w:type="spellEnd"/>
      <w:r w:rsidRPr="00162F94">
        <w:t xml:space="preserve">, C. </w:t>
      </w:r>
      <w:r w:rsidRPr="00162F94">
        <w:rPr>
          <w:i/>
          <w:iCs/>
        </w:rPr>
        <w:t>et al.</w:t>
      </w:r>
      <w:r w:rsidRPr="00162F94">
        <w:t xml:space="preserve"> (2009) ‘The wills of older people: risk factors for undue influence,’ </w:t>
      </w:r>
      <w:r w:rsidRPr="00162F94">
        <w:rPr>
          <w:i/>
          <w:iCs/>
        </w:rPr>
        <w:t>International psychogeriatrics</w:t>
      </w:r>
      <w:r w:rsidRPr="00162F94">
        <w:t xml:space="preserve"> - 21(1) - pp. 7–15. </w:t>
      </w:r>
    </w:p>
    <w:p w14:paraId="1B8CF103" w14:textId="592560B7" w:rsidR="007B2629" w:rsidRPr="00162F94" w:rsidRDefault="00625A34" w:rsidP="00625A34">
      <w:pPr>
        <w:spacing w:before="0" w:after="0" w:line="240" w:lineRule="auto"/>
      </w:pPr>
      <w:r w:rsidRPr="00162F94">
        <w:t xml:space="preserve">Available at: </w:t>
      </w:r>
      <w:hyperlink r:id="rId14" w:history="1">
        <w:r w:rsidRPr="00162F94">
          <w:rPr>
            <w:rStyle w:val="Hyperlink"/>
          </w:rPr>
          <w:t>https://doi.org/10.1017/S1041610208008120</w:t>
        </w:r>
      </w:hyperlink>
    </w:p>
    <w:p w14:paraId="6CB988C7" w14:textId="47E7A7E1" w:rsidR="00625A34" w:rsidRPr="00162F94" w:rsidRDefault="00625A34" w:rsidP="00625A34">
      <w:pPr>
        <w:spacing w:before="0" w:after="0" w:line="240" w:lineRule="auto"/>
        <w:rPr>
          <w:rFonts w:cs="Times New Roman"/>
        </w:rPr>
      </w:pPr>
      <w:r w:rsidRPr="00162F94">
        <w:rPr>
          <w:rFonts w:cs="Times New Roman"/>
        </w:rPr>
        <w:t>(Accessed: 7</w:t>
      </w:r>
      <w:r w:rsidRPr="00162F94">
        <w:rPr>
          <w:rFonts w:cs="Times New Roman"/>
          <w:vertAlign w:val="superscript"/>
        </w:rPr>
        <w:t>th</w:t>
      </w:r>
      <w:r w:rsidRPr="00162F94">
        <w:rPr>
          <w:rFonts w:cs="Times New Roman"/>
        </w:rPr>
        <w:t xml:space="preserve"> March 2024) </w:t>
      </w:r>
    </w:p>
    <w:p w14:paraId="0F1D71ED" w14:textId="77777777" w:rsidR="00F01C38" w:rsidRPr="00162F94" w:rsidRDefault="00F01C38" w:rsidP="007873DE">
      <w:pPr>
        <w:spacing w:before="0" w:after="0" w:line="240" w:lineRule="auto"/>
        <w:rPr>
          <w:rFonts w:cs="Times New Roman"/>
        </w:rPr>
      </w:pPr>
    </w:p>
    <w:p w14:paraId="21FAAAF3" w14:textId="49D93201" w:rsidR="00AB3A71" w:rsidRPr="00162F94" w:rsidRDefault="00AB3A71" w:rsidP="007873DE">
      <w:pPr>
        <w:spacing w:before="0" w:after="0" w:line="240" w:lineRule="auto"/>
        <w:rPr>
          <w:rFonts w:cs="Times New Roman"/>
        </w:rPr>
      </w:pPr>
      <w:proofErr w:type="spellStart"/>
      <w:r w:rsidRPr="00162F94">
        <w:rPr>
          <w:rFonts w:cs="Times New Roman"/>
        </w:rPr>
        <w:t>Plucknett</w:t>
      </w:r>
      <w:proofErr w:type="spellEnd"/>
      <w:r w:rsidRPr="00162F94">
        <w:rPr>
          <w:rFonts w:cs="Times New Roman"/>
        </w:rPr>
        <w:t>, T.F.T.</w:t>
      </w:r>
      <w:r w:rsidR="00C670E3" w:rsidRPr="00162F94">
        <w:rPr>
          <w:rFonts w:cs="Times New Roman"/>
        </w:rPr>
        <w:t xml:space="preserve"> (</w:t>
      </w:r>
      <w:r w:rsidRPr="00162F94">
        <w:rPr>
          <w:rFonts w:cs="Times New Roman"/>
        </w:rPr>
        <w:t>2001</w:t>
      </w:r>
      <w:r w:rsidR="00C670E3" w:rsidRPr="00162F94">
        <w:rPr>
          <w:rFonts w:cs="Times New Roman"/>
        </w:rPr>
        <w:t>)</w:t>
      </w:r>
      <w:r w:rsidRPr="00162F94">
        <w:rPr>
          <w:rFonts w:cs="Times New Roman"/>
        </w:rPr>
        <w:t> </w:t>
      </w:r>
      <w:r w:rsidRPr="00162F94">
        <w:rPr>
          <w:rFonts w:cs="Times New Roman"/>
          <w:i/>
          <w:iCs/>
        </w:rPr>
        <w:t>A concise history of the common law</w:t>
      </w:r>
      <w:r w:rsidR="00C670E3" w:rsidRPr="00162F94">
        <w:rPr>
          <w:rFonts w:cs="Times New Roman"/>
        </w:rPr>
        <w:t xml:space="preserve"> - </w:t>
      </w:r>
      <w:r w:rsidRPr="00162F94">
        <w:rPr>
          <w:rFonts w:cs="Times New Roman"/>
        </w:rPr>
        <w:t>The Lawbook Exchange</w:t>
      </w:r>
      <w:r w:rsidR="00C670E3" w:rsidRPr="00162F94">
        <w:rPr>
          <w:rFonts w:cs="Times New Roman"/>
        </w:rPr>
        <w:t xml:space="preserve"> Ltd</w:t>
      </w:r>
    </w:p>
    <w:p w14:paraId="6E92EA11" w14:textId="77777777" w:rsidR="007873DE" w:rsidRPr="00162F94" w:rsidRDefault="007873DE" w:rsidP="007873DE">
      <w:pPr>
        <w:spacing w:before="0" w:after="0" w:line="240" w:lineRule="auto"/>
        <w:ind w:left="357"/>
        <w:rPr>
          <w:rFonts w:cs="Times New Roman"/>
        </w:rPr>
      </w:pPr>
    </w:p>
    <w:p w14:paraId="287CE0A7" w14:textId="77777777" w:rsidR="00AB3A71" w:rsidRPr="00162F94" w:rsidRDefault="00AB3A71" w:rsidP="007873DE">
      <w:pPr>
        <w:spacing w:before="0" w:after="0" w:line="240" w:lineRule="auto"/>
        <w:rPr>
          <w:rFonts w:cs="Times New Roman"/>
        </w:rPr>
      </w:pPr>
      <w:r w:rsidRPr="00162F94">
        <w:rPr>
          <w:rFonts w:cs="Times New Roman"/>
        </w:rPr>
        <w:t>Scalise Jr, R.J., 2008. Undue influence and the law of wills: a comparative analysis. </w:t>
      </w:r>
      <w:r w:rsidRPr="00162F94">
        <w:rPr>
          <w:rFonts w:cs="Times New Roman"/>
          <w:i/>
          <w:iCs/>
        </w:rPr>
        <w:t>Duke J. Comp. &amp; Int'l L.</w:t>
      </w:r>
      <w:r w:rsidRPr="00162F94">
        <w:rPr>
          <w:rFonts w:cs="Times New Roman"/>
        </w:rPr>
        <w:t>, </w:t>
      </w:r>
      <w:r w:rsidRPr="00162F94">
        <w:rPr>
          <w:rFonts w:cs="Times New Roman"/>
          <w:i/>
          <w:iCs/>
        </w:rPr>
        <w:t>19</w:t>
      </w:r>
      <w:r w:rsidRPr="00162F94">
        <w:rPr>
          <w:rFonts w:cs="Times New Roman"/>
        </w:rPr>
        <w:t>, p.41.</w:t>
      </w:r>
    </w:p>
    <w:p w14:paraId="16ECFA43" w14:textId="77777777" w:rsidR="007873DE" w:rsidRPr="00162F94" w:rsidRDefault="007873DE" w:rsidP="007873DE">
      <w:pPr>
        <w:spacing w:before="0" w:after="0" w:line="240" w:lineRule="auto"/>
        <w:ind w:left="714"/>
        <w:rPr>
          <w:rFonts w:cs="Times New Roman"/>
        </w:rPr>
      </w:pPr>
    </w:p>
    <w:p w14:paraId="70145B1F" w14:textId="33A811F8" w:rsidR="00B70205" w:rsidRPr="00162F94" w:rsidRDefault="00B70205" w:rsidP="00B70205">
      <w:pPr>
        <w:spacing w:before="0" w:after="0" w:line="240" w:lineRule="auto"/>
      </w:pPr>
      <w:proofErr w:type="spellStart"/>
      <w:r w:rsidRPr="00162F94">
        <w:t>Vonasch</w:t>
      </w:r>
      <w:proofErr w:type="spellEnd"/>
      <w:r w:rsidRPr="00162F94">
        <w:t xml:space="preserve">, A.J., Baumeister, R.F. and Mele, A.R. (2018) “Ordinary people think free will is a lack of constraint, not the presence of a soul,” </w:t>
      </w:r>
      <w:r w:rsidRPr="00162F94">
        <w:rPr>
          <w:i/>
          <w:iCs/>
        </w:rPr>
        <w:t>Consciousness and cognition</w:t>
      </w:r>
      <w:r w:rsidRPr="00162F94">
        <w:t xml:space="preserve">, 60, pp. 133–151. Available at: </w:t>
      </w:r>
      <w:hyperlink r:id="rId15" w:history="1">
        <w:r w:rsidRPr="00162F94">
          <w:rPr>
            <w:rStyle w:val="Hyperlink"/>
          </w:rPr>
          <w:t>https://doi.org/10.1016/j.concog.2018.03.002</w:t>
        </w:r>
      </w:hyperlink>
    </w:p>
    <w:p w14:paraId="0E9953BB" w14:textId="4C04F493" w:rsidR="00B70205" w:rsidRDefault="00B70205" w:rsidP="00B70205">
      <w:pPr>
        <w:spacing w:before="0" w:after="0" w:line="240" w:lineRule="auto"/>
      </w:pPr>
      <w:r w:rsidRPr="00162F94">
        <w:t>(Accessed: 4</w:t>
      </w:r>
      <w:r w:rsidRPr="00162F94">
        <w:rPr>
          <w:vertAlign w:val="superscript"/>
        </w:rPr>
        <w:t>th</w:t>
      </w:r>
      <w:r w:rsidRPr="00162F94">
        <w:t xml:space="preserve"> March 2024)</w:t>
      </w:r>
    </w:p>
    <w:p w14:paraId="08186E3C" w14:textId="77777777" w:rsidR="00C50605" w:rsidRPr="00162F94" w:rsidRDefault="00C50605" w:rsidP="00B70205">
      <w:pPr>
        <w:spacing w:before="0" w:after="0" w:line="240" w:lineRule="auto"/>
        <w:rPr>
          <w:rFonts w:cs="Times New Roman"/>
        </w:rPr>
      </w:pPr>
    </w:p>
    <w:p w14:paraId="0448E88F" w14:textId="2F20BCC2" w:rsidR="00FE6381" w:rsidRPr="00162F94" w:rsidRDefault="00FE6381" w:rsidP="00B70205">
      <w:pPr>
        <w:spacing w:before="0" w:after="0" w:line="240" w:lineRule="auto"/>
        <w:rPr>
          <w:rFonts w:cs="Times New Roman"/>
        </w:rPr>
      </w:pPr>
      <w:r w:rsidRPr="00162F94">
        <w:rPr>
          <w:rFonts w:cs="Times New Roman"/>
        </w:rPr>
        <w:t xml:space="preserve">Wills Act 1983 – available at: </w:t>
      </w:r>
    </w:p>
    <w:p w14:paraId="1FC883EF" w14:textId="3D4B32EC" w:rsidR="00C50605" w:rsidRPr="00162F94" w:rsidRDefault="003C277C" w:rsidP="00B70205">
      <w:pPr>
        <w:spacing w:before="0" w:after="0" w:line="240" w:lineRule="auto"/>
        <w:rPr>
          <w:rFonts w:cs="Times New Roman"/>
        </w:rPr>
      </w:pPr>
      <w:hyperlink r:id="rId16" w:history="1">
        <w:r w:rsidR="00FE6381" w:rsidRPr="00162F94">
          <w:rPr>
            <w:rStyle w:val="Hyperlink"/>
            <w:rFonts w:cs="Times New Roman"/>
          </w:rPr>
          <w:t>https://www.legislation.gov.uk/ukpga/Will4and1Vict/7/26/section/9</w:t>
        </w:r>
      </w:hyperlink>
    </w:p>
    <w:p w14:paraId="44185D82" w14:textId="77777777" w:rsidR="00FE6381" w:rsidRPr="00162F94" w:rsidRDefault="00FE6381" w:rsidP="00B70205">
      <w:pPr>
        <w:spacing w:before="0" w:after="0" w:line="240" w:lineRule="auto"/>
        <w:rPr>
          <w:rFonts w:cs="Times New Roman"/>
        </w:rPr>
      </w:pPr>
    </w:p>
    <w:p w14:paraId="499BDAED" w14:textId="77777777" w:rsidR="00366694" w:rsidRPr="00162F94" w:rsidRDefault="00366694" w:rsidP="00B70205">
      <w:pPr>
        <w:spacing w:before="0" w:after="0" w:line="240" w:lineRule="auto"/>
        <w:rPr>
          <w:rFonts w:cs="Times New Roman"/>
        </w:rPr>
      </w:pPr>
    </w:p>
    <w:p w14:paraId="0AC07FEE" w14:textId="43C29534" w:rsidR="00362734" w:rsidRPr="00162F94" w:rsidRDefault="00362734" w:rsidP="001840FF">
      <w:pPr>
        <w:spacing w:before="0" w:after="0" w:line="240" w:lineRule="auto"/>
        <w:rPr>
          <w:rFonts w:cs="Times New Roman"/>
        </w:rPr>
      </w:pPr>
      <w:r w:rsidRPr="00162F94">
        <w:rPr>
          <w:rFonts w:cs="Times New Roman"/>
        </w:rPr>
        <w:t>Banks v Goodfellow (1870) LR 5 QB 549</w:t>
      </w:r>
    </w:p>
    <w:p w14:paraId="219C3370" w14:textId="77777777" w:rsidR="003A1C24" w:rsidRPr="00162F94" w:rsidRDefault="003A1C24" w:rsidP="001840FF">
      <w:pPr>
        <w:spacing w:before="0" w:after="0" w:line="240" w:lineRule="auto"/>
        <w:rPr>
          <w:rFonts w:cs="Times New Roman"/>
        </w:rPr>
      </w:pPr>
    </w:p>
    <w:p w14:paraId="15F88895" w14:textId="5C51A8B8" w:rsidR="00362734" w:rsidRPr="00162F94" w:rsidRDefault="00362734" w:rsidP="001840FF">
      <w:pPr>
        <w:spacing w:before="0" w:after="0" w:line="240" w:lineRule="auto"/>
        <w:rPr>
          <w:rFonts w:cs="Times New Roman"/>
        </w:rPr>
      </w:pPr>
      <w:r w:rsidRPr="00162F94">
        <w:rPr>
          <w:rFonts w:cs="Times New Roman"/>
        </w:rPr>
        <w:t>Coles v Reynolds &amp; other (2020) EWHC 2151 (Ch)</w:t>
      </w:r>
    </w:p>
    <w:p w14:paraId="1B19CA4A" w14:textId="77777777" w:rsidR="003A1C24" w:rsidRPr="00162F94" w:rsidRDefault="003A1C24" w:rsidP="001840FF">
      <w:pPr>
        <w:spacing w:before="0" w:after="0" w:line="240" w:lineRule="auto"/>
        <w:rPr>
          <w:rFonts w:cs="Times New Roman"/>
        </w:rPr>
      </w:pPr>
    </w:p>
    <w:p w14:paraId="7A9C7BAA" w14:textId="3A29453B" w:rsidR="00362734" w:rsidRPr="00162F94" w:rsidRDefault="00362734" w:rsidP="001840FF">
      <w:pPr>
        <w:spacing w:before="0" w:after="0" w:line="240" w:lineRule="auto"/>
        <w:rPr>
          <w:rFonts w:cs="Times New Roman"/>
        </w:rPr>
      </w:pPr>
      <w:r w:rsidRPr="00162F94">
        <w:rPr>
          <w:rFonts w:cs="Times New Roman"/>
        </w:rPr>
        <w:t>Face v Cunningham (2020) EWHC 3119 (Ch)</w:t>
      </w:r>
    </w:p>
    <w:p w14:paraId="04670837" w14:textId="77777777" w:rsidR="003A1C24" w:rsidRPr="00162F94" w:rsidRDefault="003A1C24" w:rsidP="001840FF">
      <w:pPr>
        <w:spacing w:before="0" w:after="0" w:line="240" w:lineRule="auto"/>
        <w:rPr>
          <w:rFonts w:cs="Times New Roman"/>
        </w:rPr>
      </w:pPr>
    </w:p>
    <w:p w14:paraId="60412A28" w14:textId="487308FF" w:rsidR="00362734" w:rsidRPr="00162F94" w:rsidRDefault="00362734" w:rsidP="001840FF">
      <w:pPr>
        <w:spacing w:before="0" w:after="0" w:line="240" w:lineRule="auto"/>
        <w:rPr>
          <w:rFonts w:cs="Times New Roman"/>
        </w:rPr>
      </w:pPr>
      <w:r w:rsidRPr="00162F94">
        <w:rPr>
          <w:rFonts w:cs="Times New Roman"/>
        </w:rPr>
        <w:t xml:space="preserve">Gill v RSPCA </w:t>
      </w:r>
      <w:r w:rsidR="003A1C24" w:rsidRPr="00162F94">
        <w:rPr>
          <w:rFonts w:cs="Times New Roman"/>
        </w:rPr>
        <w:t>(</w:t>
      </w:r>
      <w:r w:rsidRPr="00162F94">
        <w:rPr>
          <w:rFonts w:cs="Times New Roman"/>
        </w:rPr>
        <w:t>2010</w:t>
      </w:r>
      <w:r w:rsidR="003A1C24" w:rsidRPr="00162F94">
        <w:rPr>
          <w:rFonts w:cs="Times New Roman"/>
        </w:rPr>
        <w:t>)</w:t>
      </w:r>
      <w:r w:rsidRPr="00162F94">
        <w:rPr>
          <w:rFonts w:cs="Times New Roman"/>
        </w:rPr>
        <w:t xml:space="preserve"> EWCA </w:t>
      </w:r>
      <w:proofErr w:type="spellStart"/>
      <w:r w:rsidRPr="00162F94">
        <w:rPr>
          <w:rFonts w:cs="Times New Roman"/>
        </w:rPr>
        <w:t>Civ</w:t>
      </w:r>
      <w:proofErr w:type="spellEnd"/>
      <w:r w:rsidRPr="00162F94">
        <w:rPr>
          <w:rFonts w:cs="Times New Roman"/>
        </w:rPr>
        <w:t xml:space="preserve"> 1430</w:t>
      </w:r>
    </w:p>
    <w:p w14:paraId="0DEAF10C" w14:textId="77777777" w:rsidR="003A1C24" w:rsidRPr="00162F94" w:rsidRDefault="003A1C24" w:rsidP="001840FF">
      <w:pPr>
        <w:spacing w:before="0" w:after="0" w:line="240" w:lineRule="auto"/>
        <w:rPr>
          <w:rFonts w:cs="Times New Roman"/>
        </w:rPr>
      </w:pPr>
    </w:p>
    <w:p w14:paraId="3EFB350C" w14:textId="002CF436" w:rsidR="00362734" w:rsidRPr="00162F94" w:rsidRDefault="00362734" w:rsidP="001840FF">
      <w:pPr>
        <w:spacing w:before="0" w:after="0" w:line="240" w:lineRule="auto"/>
        <w:rPr>
          <w:rFonts w:cs="Times New Roman"/>
        </w:rPr>
      </w:pPr>
      <w:r w:rsidRPr="00162F94">
        <w:rPr>
          <w:rFonts w:cs="Times New Roman"/>
        </w:rPr>
        <w:t xml:space="preserve">Gill v Woodall (2010) </w:t>
      </w:r>
    </w:p>
    <w:p w14:paraId="4675C200" w14:textId="77777777" w:rsidR="003A1C24" w:rsidRPr="00162F94" w:rsidRDefault="003A1C24" w:rsidP="001840FF">
      <w:pPr>
        <w:spacing w:before="0" w:after="0" w:line="240" w:lineRule="auto"/>
        <w:rPr>
          <w:rFonts w:cs="Times New Roman"/>
        </w:rPr>
      </w:pPr>
    </w:p>
    <w:p w14:paraId="462ED225" w14:textId="2EA05916" w:rsidR="00362734" w:rsidRPr="00162F94" w:rsidRDefault="00362734" w:rsidP="001840FF">
      <w:pPr>
        <w:spacing w:before="0" w:after="0" w:line="240" w:lineRule="auto"/>
        <w:rPr>
          <w:rFonts w:cs="Times New Roman"/>
        </w:rPr>
      </w:pPr>
      <w:r w:rsidRPr="00162F94">
        <w:rPr>
          <w:rFonts w:cs="Times New Roman"/>
        </w:rPr>
        <w:t>Hall v Hall (1868)</w:t>
      </w:r>
    </w:p>
    <w:p w14:paraId="37461008" w14:textId="77777777" w:rsidR="003A1C24" w:rsidRPr="00162F94" w:rsidRDefault="003A1C24" w:rsidP="001840FF">
      <w:pPr>
        <w:spacing w:before="0" w:after="0" w:line="240" w:lineRule="auto"/>
        <w:rPr>
          <w:rFonts w:cs="Times New Roman"/>
        </w:rPr>
      </w:pPr>
    </w:p>
    <w:p w14:paraId="0D40A58B" w14:textId="15E1C4FF" w:rsidR="00362734" w:rsidRPr="00162F94" w:rsidRDefault="00362734" w:rsidP="001840FF">
      <w:pPr>
        <w:spacing w:before="0" w:after="0" w:line="240" w:lineRule="auto"/>
        <w:rPr>
          <w:rFonts w:cs="Times New Roman"/>
        </w:rPr>
      </w:pPr>
      <w:r w:rsidRPr="00162F94">
        <w:rPr>
          <w:rFonts w:cs="Times New Roman"/>
        </w:rPr>
        <w:t>James v James (2018) EWHC 43 (Ch)</w:t>
      </w:r>
    </w:p>
    <w:p w14:paraId="3780041B" w14:textId="77777777" w:rsidR="00171B6F" w:rsidRPr="00162F94" w:rsidRDefault="00171B6F" w:rsidP="001840FF">
      <w:pPr>
        <w:spacing w:before="0" w:after="0" w:line="240" w:lineRule="auto"/>
        <w:rPr>
          <w:rFonts w:cs="Times New Roman"/>
        </w:rPr>
      </w:pPr>
    </w:p>
    <w:p w14:paraId="041B7FA5" w14:textId="77777777" w:rsidR="00362734" w:rsidRPr="00162F94" w:rsidRDefault="00362734" w:rsidP="001840FF">
      <w:pPr>
        <w:spacing w:before="0" w:after="0" w:line="240" w:lineRule="auto"/>
        <w:rPr>
          <w:rFonts w:cs="Times New Roman"/>
        </w:rPr>
      </w:pPr>
      <w:r w:rsidRPr="00162F94">
        <w:rPr>
          <w:rFonts w:cs="Times New Roman"/>
        </w:rPr>
        <w:t>Mason and others v Robinson Solicitors and others) [2019] EWHC 4055 (Ch)</w:t>
      </w:r>
    </w:p>
    <w:p w14:paraId="2473C280" w14:textId="77777777" w:rsidR="003A1C24" w:rsidRPr="00162F94" w:rsidRDefault="003A1C24" w:rsidP="001840FF">
      <w:pPr>
        <w:spacing w:before="0" w:after="0" w:line="240" w:lineRule="auto"/>
        <w:rPr>
          <w:rFonts w:cs="Times New Roman"/>
        </w:rPr>
      </w:pPr>
    </w:p>
    <w:p w14:paraId="2DFC8E9F" w14:textId="77777777" w:rsidR="00362734" w:rsidRPr="00162F94" w:rsidRDefault="00362734" w:rsidP="001840FF">
      <w:pPr>
        <w:spacing w:before="0" w:after="0" w:line="240" w:lineRule="auto"/>
        <w:rPr>
          <w:rFonts w:cs="Times New Roman"/>
        </w:rPr>
      </w:pPr>
      <w:proofErr w:type="spellStart"/>
      <w:r w:rsidRPr="00162F94">
        <w:rPr>
          <w:rFonts w:cs="Times New Roman"/>
        </w:rPr>
        <w:t>Mundil</w:t>
      </w:r>
      <w:proofErr w:type="spellEnd"/>
      <w:r w:rsidRPr="00162F94">
        <w:rPr>
          <w:rFonts w:cs="Times New Roman"/>
        </w:rPr>
        <w:t xml:space="preserve">-Williams v Williams &amp; </w:t>
      </w:r>
      <w:proofErr w:type="spellStart"/>
      <w:r w:rsidRPr="00162F94">
        <w:rPr>
          <w:rFonts w:cs="Times New Roman"/>
        </w:rPr>
        <w:t>Ors</w:t>
      </w:r>
      <w:proofErr w:type="spellEnd"/>
      <w:r w:rsidRPr="00162F94">
        <w:rPr>
          <w:rFonts w:cs="Times New Roman"/>
        </w:rPr>
        <w:t xml:space="preserve"> | [2021] EWHC 586 (Ch)</w:t>
      </w:r>
    </w:p>
    <w:p w14:paraId="07BFAFAA" w14:textId="77777777" w:rsidR="003A1C24" w:rsidRPr="00162F94" w:rsidRDefault="003A1C24" w:rsidP="001840FF">
      <w:pPr>
        <w:spacing w:before="0" w:after="0" w:line="240" w:lineRule="auto"/>
        <w:rPr>
          <w:rFonts w:cs="Times New Roman"/>
        </w:rPr>
      </w:pPr>
    </w:p>
    <w:p w14:paraId="4CF82DA5" w14:textId="5FC2BC7C" w:rsidR="00362734" w:rsidRPr="00162F94" w:rsidRDefault="00362734" w:rsidP="001840FF">
      <w:pPr>
        <w:spacing w:before="0" w:after="0" w:line="240" w:lineRule="auto"/>
        <w:rPr>
          <w:rFonts w:cs="Times New Roman"/>
        </w:rPr>
      </w:pPr>
      <w:r w:rsidRPr="00162F94">
        <w:rPr>
          <w:rFonts w:cs="Times New Roman"/>
        </w:rPr>
        <w:t>Parfitt v Lawless (1872) LR 2 P&amp;D 462</w:t>
      </w:r>
    </w:p>
    <w:p w14:paraId="5CAD1973" w14:textId="77777777" w:rsidR="003A1C24" w:rsidRPr="00162F94" w:rsidRDefault="003A1C24" w:rsidP="001840FF">
      <w:pPr>
        <w:spacing w:before="0" w:after="0" w:line="240" w:lineRule="auto"/>
        <w:rPr>
          <w:rFonts w:cs="Times New Roman"/>
        </w:rPr>
      </w:pPr>
    </w:p>
    <w:p w14:paraId="67FC0282" w14:textId="4D731A10" w:rsidR="00362734" w:rsidRPr="00162F94" w:rsidRDefault="00362734" w:rsidP="001840FF">
      <w:pPr>
        <w:spacing w:before="0" w:after="0" w:line="240" w:lineRule="auto"/>
        <w:rPr>
          <w:rFonts w:cs="Times New Roman"/>
        </w:rPr>
      </w:pPr>
      <w:r w:rsidRPr="00162F94">
        <w:rPr>
          <w:rFonts w:cs="Times New Roman"/>
        </w:rPr>
        <w:t xml:space="preserve">Payne </w:t>
      </w:r>
      <w:r w:rsidR="003A1C24" w:rsidRPr="00162F94">
        <w:rPr>
          <w:rFonts w:cs="Times New Roman"/>
        </w:rPr>
        <w:t>v</w:t>
      </w:r>
      <w:r w:rsidRPr="00162F94">
        <w:rPr>
          <w:rFonts w:cs="Times New Roman"/>
        </w:rPr>
        <w:t xml:space="preserve"> White, 101 A.D.2d 975</w:t>
      </w:r>
    </w:p>
    <w:p w14:paraId="0758ED44" w14:textId="77777777" w:rsidR="00BD1EF9" w:rsidRPr="00162F94" w:rsidRDefault="00BD1EF9" w:rsidP="001840FF">
      <w:pPr>
        <w:spacing w:before="0" w:after="0" w:line="240" w:lineRule="auto"/>
        <w:rPr>
          <w:rFonts w:cs="Times New Roman"/>
        </w:rPr>
      </w:pPr>
    </w:p>
    <w:p w14:paraId="17D69613" w14:textId="1E481445" w:rsidR="00BD1EF9" w:rsidRPr="00162F94" w:rsidRDefault="00BD1EF9" w:rsidP="001840FF">
      <w:pPr>
        <w:spacing w:before="0" w:after="0" w:line="240" w:lineRule="auto"/>
        <w:rPr>
          <w:rFonts w:cs="Times New Roman"/>
        </w:rPr>
      </w:pPr>
      <w:r w:rsidRPr="00162F94">
        <w:rPr>
          <w:rStyle w:val="issue-underline"/>
        </w:rPr>
        <w:t>Rita</w:t>
      </w:r>
      <w:r w:rsidRPr="00162F94">
        <w:t xml:space="preserve"> Rea v Remo Rea and </w:t>
      </w:r>
      <w:proofErr w:type="spellStart"/>
      <w:r w:rsidRPr="00162F94">
        <w:t>Oths</w:t>
      </w:r>
      <w:proofErr w:type="spellEnd"/>
      <w:r w:rsidRPr="00162F94">
        <w:t xml:space="preserve"> [2024] EWCA </w:t>
      </w:r>
      <w:proofErr w:type="spellStart"/>
      <w:r w:rsidRPr="00162F94">
        <w:t>Civ</w:t>
      </w:r>
      <w:proofErr w:type="spellEnd"/>
      <w:r w:rsidRPr="00162F94">
        <w:t xml:space="preserve"> 169</w:t>
      </w:r>
    </w:p>
    <w:p w14:paraId="23C1533C" w14:textId="77777777" w:rsidR="003A1C24" w:rsidRPr="00162F94" w:rsidRDefault="003A1C24" w:rsidP="001840FF">
      <w:pPr>
        <w:spacing w:before="0" w:after="0" w:line="240" w:lineRule="auto"/>
        <w:rPr>
          <w:rFonts w:cs="Times New Roman"/>
        </w:rPr>
      </w:pPr>
    </w:p>
    <w:p w14:paraId="31F5CE66" w14:textId="319044BE" w:rsidR="002F7DCC" w:rsidRPr="00366694" w:rsidRDefault="00362734" w:rsidP="00366694">
      <w:pPr>
        <w:spacing w:before="0" w:after="0" w:line="240" w:lineRule="auto"/>
        <w:rPr>
          <w:rFonts w:cs="Times New Roman"/>
        </w:rPr>
      </w:pPr>
      <w:r w:rsidRPr="00162F94">
        <w:rPr>
          <w:rFonts w:cs="Times New Roman"/>
        </w:rPr>
        <w:t>Wingrove v Wingrove (1885) 11 P.D. 8</w:t>
      </w:r>
      <w:r w:rsidR="00366694" w:rsidRPr="00162F94">
        <w:rPr>
          <w:rFonts w:cs="Times New Roman"/>
        </w:rPr>
        <w:t>1</w:t>
      </w:r>
    </w:p>
    <w:sectPr w:rsidR="002F7DCC" w:rsidRPr="00366694" w:rsidSect="00362734">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5166C9" w14:textId="77777777" w:rsidR="003C277C" w:rsidRDefault="003C277C">
      <w:pPr>
        <w:spacing w:before="0" w:after="0" w:line="240" w:lineRule="auto"/>
      </w:pPr>
      <w:r>
        <w:separator/>
      </w:r>
    </w:p>
  </w:endnote>
  <w:endnote w:type="continuationSeparator" w:id="0">
    <w:p w14:paraId="39C6A16B" w14:textId="77777777" w:rsidR="003C277C" w:rsidRDefault="003C277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694D8" w14:textId="77777777" w:rsidR="00366694" w:rsidRDefault="003666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92575" w14:textId="77777777" w:rsidR="003C277C" w:rsidRDefault="003C277C">
      <w:pPr>
        <w:spacing w:before="0" w:after="0" w:line="240" w:lineRule="auto"/>
      </w:pPr>
      <w:r>
        <w:separator/>
      </w:r>
    </w:p>
  </w:footnote>
  <w:footnote w:type="continuationSeparator" w:id="0">
    <w:p w14:paraId="724D6BD7" w14:textId="77777777" w:rsidR="003C277C" w:rsidRDefault="003C277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D6507"/>
    <w:multiLevelType w:val="hybridMultilevel"/>
    <w:tmpl w:val="7B3AC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A834F3"/>
    <w:multiLevelType w:val="hybridMultilevel"/>
    <w:tmpl w:val="F3EC670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D872F9B"/>
    <w:multiLevelType w:val="multilevel"/>
    <w:tmpl w:val="E1007D2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13057093">
    <w:abstractNumId w:val="0"/>
  </w:num>
  <w:num w:numId="2" w16cid:durableId="199247932">
    <w:abstractNumId w:val="1"/>
  </w:num>
  <w:num w:numId="3" w16cid:durableId="3470274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734"/>
    <w:rsid w:val="00006F92"/>
    <w:rsid w:val="00014D97"/>
    <w:rsid w:val="00024806"/>
    <w:rsid w:val="000451F9"/>
    <w:rsid w:val="00064990"/>
    <w:rsid w:val="000727B4"/>
    <w:rsid w:val="000865A9"/>
    <w:rsid w:val="0009720B"/>
    <w:rsid w:val="000D091F"/>
    <w:rsid w:val="000F2607"/>
    <w:rsid w:val="0011022D"/>
    <w:rsid w:val="00115F67"/>
    <w:rsid w:val="0014348F"/>
    <w:rsid w:val="00146161"/>
    <w:rsid w:val="0015254F"/>
    <w:rsid w:val="00162F94"/>
    <w:rsid w:val="00167B2F"/>
    <w:rsid w:val="00171B6F"/>
    <w:rsid w:val="0017571B"/>
    <w:rsid w:val="001840FF"/>
    <w:rsid w:val="001A5A6B"/>
    <w:rsid w:val="001C254D"/>
    <w:rsid w:val="00204DBF"/>
    <w:rsid w:val="002120B5"/>
    <w:rsid w:val="0022464D"/>
    <w:rsid w:val="00224D25"/>
    <w:rsid w:val="002329E0"/>
    <w:rsid w:val="0023549E"/>
    <w:rsid w:val="00242549"/>
    <w:rsid w:val="00257871"/>
    <w:rsid w:val="0027543E"/>
    <w:rsid w:val="00276C1D"/>
    <w:rsid w:val="002808D0"/>
    <w:rsid w:val="0028227E"/>
    <w:rsid w:val="0029501F"/>
    <w:rsid w:val="00295531"/>
    <w:rsid w:val="002A7981"/>
    <w:rsid w:val="002B4905"/>
    <w:rsid w:val="002B4DAF"/>
    <w:rsid w:val="002C1461"/>
    <w:rsid w:val="002D524D"/>
    <w:rsid w:val="002F7DCC"/>
    <w:rsid w:val="003050D5"/>
    <w:rsid w:val="00315449"/>
    <w:rsid w:val="00315989"/>
    <w:rsid w:val="00315D8C"/>
    <w:rsid w:val="00352AED"/>
    <w:rsid w:val="00353626"/>
    <w:rsid w:val="00362734"/>
    <w:rsid w:val="0036548D"/>
    <w:rsid w:val="00366694"/>
    <w:rsid w:val="003A1C24"/>
    <w:rsid w:val="003B2D87"/>
    <w:rsid w:val="003C277C"/>
    <w:rsid w:val="003C5771"/>
    <w:rsid w:val="003D379D"/>
    <w:rsid w:val="003E205E"/>
    <w:rsid w:val="003E5E15"/>
    <w:rsid w:val="004261E7"/>
    <w:rsid w:val="00433D37"/>
    <w:rsid w:val="0044540E"/>
    <w:rsid w:val="00451CC9"/>
    <w:rsid w:val="004520C9"/>
    <w:rsid w:val="00456F1B"/>
    <w:rsid w:val="004635A3"/>
    <w:rsid w:val="0048049A"/>
    <w:rsid w:val="004872BF"/>
    <w:rsid w:val="004A3789"/>
    <w:rsid w:val="004A4F73"/>
    <w:rsid w:val="004B2754"/>
    <w:rsid w:val="004B4577"/>
    <w:rsid w:val="004C014B"/>
    <w:rsid w:val="004E03C2"/>
    <w:rsid w:val="004E6653"/>
    <w:rsid w:val="004F6B3B"/>
    <w:rsid w:val="00501BD0"/>
    <w:rsid w:val="00516716"/>
    <w:rsid w:val="005241D1"/>
    <w:rsid w:val="005272E0"/>
    <w:rsid w:val="00545062"/>
    <w:rsid w:val="005520A4"/>
    <w:rsid w:val="00552249"/>
    <w:rsid w:val="00567E24"/>
    <w:rsid w:val="00584646"/>
    <w:rsid w:val="00596BF9"/>
    <w:rsid w:val="005E11B2"/>
    <w:rsid w:val="005E486D"/>
    <w:rsid w:val="0060623A"/>
    <w:rsid w:val="00625A34"/>
    <w:rsid w:val="00633553"/>
    <w:rsid w:val="00645338"/>
    <w:rsid w:val="006673A1"/>
    <w:rsid w:val="00685EFE"/>
    <w:rsid w:val="0069074C"/>
    <w:rsid w:val="006A3B5D"/>
    <w:rsid w:val="006B3C3D"/>
    <w:rsid w:val="006D05BE"/>
    <w:rsid w:val="006E2AF2"/>
    <w:rsid w:val="00707203"/>
    <w:rsid w:val="007169C8"/>
    <w:rsid w:val="00740B19"/>
    <w:rsid w:val="007572B2"/>
    <w:rsid w:val="00777CB8"/>
    <w:rsid w:val="0078032C"/>
    <w:rsid w:val="007821CC"/>
    <w:rsid w:val="007873DE"/>
    <w:rsid w:val="00787C3E"/>
    <w:rsid w:val="00792F90"/>
    <w:rsid w:val="00797ACB"/>
    <w:rsid w:val="007B2629"/>
    <w:rsid w:val="007C1A6F"/>
    <w:rsid w:val="007C5977"/>
    <w:rsid w:val="007C5B91"/>
    <w:rsid w:val="007F1150"/>
    <w:rsid w:val="00800560"/>
    <w:rsid w:val="00814660"/>
    <w:rsid w:val="00824B20"/>
    <w:rsid w:val="0085544F"/>
    <w:rsid w:val="008848F1"/>
    <w:rsid w:val="00885C25"/>
    <w:rsid w:val="00891DBD"/>
    <w:rsid w:val="008A12B1"/>
    <w:rsid w:val="008A3A4D"/>
    <w:rsid w:val="008A4FB0"/>
    <w:rsid w:val="008B7983"/>
    <w:rsid w:val="008F797E"/>
    <w:rsid w:val="008F7DC6"/>
    <w:rsid w:val="0090328D"/>
    <w:rsid w:val="00931D5D"/>
    <w:rsid w:val="00932575"/>
    <w:rsid w:val="00950488"/>
    <w:rsid w:val="00950E97"/>
    <w:rsid w:val="00977543"/>
    <w:rsid w:val="009B4803"/>
    <w:rsid w:val="009B4C81"/>
    <w:rsid w:val="009D6754"/>
    <w:rsid w:val="009E370A"/>
    <w:rsid w:val="009F74C6"/>
    <w:rsid w:val="00A12788"/>
    <w:rsid w:val="00A52066"/>
    <w:rsid w:val="00A57D1A"/>
    <w:rsid w:val="00A60912"/>
    <w:rsid w:val="00A9349C"/>
    <w:rsid w:val="00A97841"/>
    <w:rsid w:val="00AB007B"/>
    <w:rsid w:val="00AB3A71"/>
    <w:rsid w:val="00AF0887"/>
    <w:rsid w:val="00AF3EBC"/>
    <w:rsid w:val="00B05E4F"/>
    <w:rsid w:val="00B3129E"/>
    <w:rsid w:val="00B35988"/>
    <w:rsid w:val="00B35B63"/>
    <w:rsid w:val="00B37DA2"/>
    <w:rsid w:val="00B53BB4"/>
    <w:rsid w:val="00B70205"/>
    <w:rsid w:val="00B86BA0"/>
    <w:rsid w:val="00B928FE"/>
    <w:rsid w:val="00BC6A2F"/>
    <w:rsid w:val="00BD1EF9"/>
    <w:rsid w:val="00BE560D"/>
    <w:rsid w:val="00BF72F0"/>
    <w:rsid w:val="00C05942"/>
    <w:rsid w:val="00C14877"/>
    <w:rsid w:val="00C15C66"/>
    <w:rsid w:val="00C243E7"/>
    <w:rsid w:val="00C31A12"/>
    <w:rsid w:val="00C32538"/>
    <w:rsid w:val="00C34FD1"/>
    <w:rsid w:val="00C41C2A"/>
    <w:rsid w:val="00C47FC1"/>
    <w:rsid w:val="00C50605"/>
    <w:rsid w:val="00C5671A"/>
    <w:rsid w:val="00C61448"/>
    <w:rsid w:val="00C670E3"/>
    <w:rsid w:val="00C67597"/>
    <w:rsid w:val="00C94AAB"/>
    <w:rsid w:val="00CD723E"/>
    <w:rsid w:val="00D13807"/>
    <w:rsid w:val="00D35B72"/>
    <w:rsid w:val="00D47E20"/>
    <w:rsid w:val="00D50C9C"/>
    <w:rsid w:val="00D649EB"/>
    <w:rsid w:val="00D64C82"/>
    <w:rsid w:val="00D83F62"/>
    <w:rsid w:val="00DA5D33"/>
    <w:rsid w:val="00DA6B2E"/>
    <w:rsid w:val="00DB432F"/>
    <w:rsid w:val="00DB5D4C"/>
    <w:rsid w:val="00DC0E84"/>
    <w:rsid w:val="00DC422C"/>
    <w:rsid w:val="00E047B7"/>
    <w:rsid w:val="00E05F01"/>
    <w:rsid w:val="00E3165D"/>
    <w:rsid w:val="00E31714"/>
    <w:rsid w:val="00E3760A"/>
    <w:rsid w:val="00E4088D"/>
    <w:rsid w:val="00E420B7"/>
    <w:rsid w:val="00E470A9"/>
    <w:rsid w:val="00E51C55"/>
    <w:rsid w:val="00E64EAF"/>
    <w:rsid w:val="00E7335D"/>
    <w:rsid w:val="00E818B4"/>
    <w:rsid w:val="00E97D24"/>
    <w:rsid w:val="00EA75CE"/>
    <w:rsid w:val="00EB16CD"/>
    <w:rsid w:val="00ED5DE8"/>
    <w:rsid w:val="00EF0CD1"/>
    <w:rsid w:val="00F01C38"/>
    <w:rsid w:val="00F15344"/>
    <w:rsid w:val="00F46AAA"/>
    <w:rsid w:val="00F530A6"/>
    <w:rsid w:val="00F659B6"/>
    <w:rsid w:val="00F93461"/>
    <w:rsid w:val="00FA0918"/>
    <w:rsid w:val="00FA5085"/>
    <w:rsid w:val="00FC6B9A"/>
    <w:rsid w:val="00FD67BD"/>
    <w:rsid w:val="00FE0110"/>
    <w:rsid w:val="00FE1BCC"/>
    <w:rsid w:val="00FE6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4F5FC"/>
  <w15:chartTrackingRefBased/>
  <w15:docId w15:val="{838BAF9D-D8A1-4875-8421-C73D76D6D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2734"/>
    <w:pPr>
      <w:spacing w:before="240" w:after="40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627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27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27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27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27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27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27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27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27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7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27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27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27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27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27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27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27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2734"/>
    <w:rPr>
      <w:rFonts w:eastAsiaTheme="majorEastAsia" w:cstheme="majorBidi"/>
      <w:color w:val="272727" w:themeColor="text1" w:themeTint="D8"/>
    </w:rPr>
  </w:style>
  <w:style w:type="paragraph" w:styleId="Title">
    <w:name w:val="Title"/>
    <w:basedOn w:val="Normal"/>
    <w:next w:val="Normal"/>
    <w:link w:val="TitleChar"/>
    <w:uiPriority w:val="10"/>
    <w:qFormat/>
    <w:rsid w:val="003627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27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27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27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2734"/>
    <w:pPr>
      <w:spacing w:before="160"/>
      <w:jc w:val="center"/>
    </w:pPr>
    <w:rPr>
      <w:i/>
      <w:iCs/>
      <w:color w:val="404040" w:themeColor="text1" w:themeTint="BF"/>
    </w:rPr>
  </w:style>
  <w:style w:type="character" w:customStyle="1" w:styleId="QuoteChar">
    <w:name w:val="Quote Char"/>
    <w:basedOn w:val="DefaultParagraphFont"/>
    <w:link w:val="Quote"/>
    <w:uiPriority w:val="29"/>
    <w:rsid w:val="00362734"/>
    <w:rPr>
      <w:i/>
      <w:iCs/>
      <w:color w:val="404040" w:themeColor="text1" w:themeTint="BF"/>
    </w:rPr>
  </w:style>
  <w:style w:type="paragraph" w:styleId="ListParagraph">
    <w:name w:val="List Paragraph"/>
    <w:basedOn w:val="Normal"/>
    <w:uiPriority w:val="34"/>
    <w:qFormat/>
    <w:rsid w:val="00362734"/>
    <w:pPr>
      <w:ind w:left="720"/>
      <w:contextualSpacing/>
    </w:pPr>
  </w:style>
  <w:style w:type="character" w:styleId="IntenseEmphasis">
    <w:name w:val="Intense Emphasis"/>
    <w:basedOn w:val="DefaultParagraphFont"/>
    <w:uiPriority w:val="21"/>
    <w:qFormat/>
    <w:rsid w:val="00362734"/>
    <w:rPr>
      <w:i/>
      <w:iCs/>
      <w:color w:val="0F4761" w:themeColor="accent1" w:themeShade="BF"/>
    </w:rPr>
  </w:style>
  <w:style w:type="paragraph" w:styleId="IntenseQuote">
    <w:name w:val="Intense Quote"/>
    <w:basedOn w:val="Normal"/>
    <w:next w:val="Normal"/>
    <w:link w:val="IntenseQuoteChar"/>
    <w:uiPriority w:val="30"/>
    <w:qFormat/>
    <w:rsid w:val="003627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2734"/>
    <w:rPr>
      <w:i/>
      <w:iCs/>
      <w:color w:val="0F4761" w:themeColor="accent1" w:themeShade="BF"/>
    </w:rPr>
  </w:style>
  <w:style w:type="character" w:styleId="IntenseReference">
    <w:name w:val="Intense Reference"/>
    <w:basedOn w:val="DefaultParagraphFont"/>
    <w:uiPriority w:val="32"/>
    <w:qFormat/>
    <w:rsid w:val="00362734"/>
    <w:rPr>
      <w:b/>
      <w:bCs/>
      <w:smallCaps/>
      <w:color w:val="0F4761" w:themeColor="accent1" w:themeShade="BF"/>
      <w:spacing w:val="5"/>
    </w:rPr>
  </w:style>
  <w:style w:type="paragraph" w:styleId="Footer">
    <w:name w:val="footer"/>
    <w:basedOn w:val="Normal"/>
    <w:link w:val="FooterChar"/>
    <w:uiPriority w:val="99"/>
    <w:unhideWhenUsed/>
    <w:rsid w:val="0036273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62734"/>
    <w:rPr>
      <w:rFonts w:ascii="Times New Roman" w:hAnsi="Times New Roman"/>
      <w:sz w:val="24"/>
    </w:rPr>
  </w:style>
  <w:style w:type="character" w:styleId="Hyperlink">
    <w:name w:val="Hyperlink"/>
    <w:basedOn w:val="DefaultParagraphFont"/>
    <w:uiPriority w:val="99"/>
    <w:unhideWhenUsed/>
    <w:rsid w:val="00AF0887"/>
    <w:rPr>
      <w:color w:val="467886" w:themeColor="hyperlink"/>
      <w:u w:val="single"/>
    </w:rPr>
  </w:style>
  <w:style w:type="character" w:styleId="UnresolvedMention">
    <w:name w:val="Unresolved Mention"/>
    <w:basedOn w:val="DefaultParagraphFont"/>
    <w:uiPriority w:val="99"/>
    <w:semiHidden/>
    <w:unhideWhenUsed/>
    <w:rsid w:val="00AF0887"/>
    <w:rPr>
      <w:color w:val="605E5C"/>
      <w:shd w:val="clear" w:color="auto" w:fill="E1DFDD"/>
    </w:rPr>
  </w:style>
  <w:style w:type="paragraph" w:customStyle="1" w:styleId="pb-2">
    <w:name w:val="pb-2"/>
    <w:basedOn w:val="Normal"/>
    <w:rsid w:val="00242549"/>
    <w:pPr>
      <w:spacing w:before="100" w:beforeAutospacing="1" w:after="100" w:afterAutospacing="1" w:line="240" w:lineRule="auto"/>
      <w:jc w:val="left"/>
    </w:pPr>
    <w:rPr>
      <w:rFonts w:eastAsia="Times New Roman" w:cs="Times New Roman"/>
      <w:kern w:val="0"/>
      <w:szCs w:val="24"/>
      <w:lang w:eastAsia="en-GB"/>
      <w14:ligatures w14:val="none"/>
    </w:rPr>
  </w:style>
  <w:style w:type="character" w:customStyle="1" w:styleId="issue-underline">
    <w:name w:val="issue-underline"/>
    <w:basedOn w:val="DefaultParagraphFont"/>
    <w:rsid w:val="00433D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718653">
      <w:bodyDiv w:val="1"/>
      <w:marLeft w:val="0"/>
      <w:marRight w:val="0"/>
      <w:marTop w:val="0"/>
      <w:marBottom w:val="0"/>
      <w:divBdr>
        <w:top w:val="none" w:sz="0" w:space="0" w:color="auto"/>
        <w:left w:val="none" w:sz="0" w:space="0" w:color="auto"/>
        <w:bottom w:val="none" w:sz="0" w:space="0" w:color="auto"/>
        <w:right w:val="none" w:sz="0" w:space="0" w:color="auto"/>
      </w:divBdr>
      <w:divsChild>
        <w:div w:id="1582913469">
          <w:marLeft w:val="0"/>
          <w:marRight w:val="0"/>
          <w:marTop w:val="0"/>
          <w:marBottom w:val="0"/>
          <w:divBdr>
            <w:top w:val="none" w:sz="0" w:space="0" w:color="auto"/>
            <w:left w:val="none" w:sz="0" w:space="0" w:color="auto"/>
            <w:bottom w:val="none" w:sz="0" w:space="0" w:color="auto"/>
            <w:right w:val="none" w:sz="0" w:space="0" w:color="auto"/>
          </w:divBdr>
        </w:div>
      </w:divsChild>
    </w:div>
    <w:div w:id="385031357">
      <w:bodyDiv w:val="1"/>
      <w:marLeft w:val="0"/>
      <w:marRight w:val="0"/>
      <w:marTop w:val="0"/>
      <w:marBottom w:val="0"/>
      <w:divBdr>
        <w:top w:val="none" w:sz="0" w:space="0" w:color="auto"/>
        <w:left w:val="none" w:sz="0" w:space="0" w:color="auto"/>
        <w:bottom w:val="none" w:sz="0" w:space="0" w:color="auto"/>
        <w:right w:val="none" w:sz="0" w:space="0" w:color="auto"/>
      </w:divBdr>
    </w:div>
    <w:div w:id="743139075">
      <w:bodyDiv w:val="1"/>
      <w:marLeft w:val="0"/>
      <w:marRight w:val="0"/>
      <w:marTop w:val="0"/>
      <w:marBottom w:val="0"/>
      <w:divBdr>
        <w:top w:val="none" w:sz="0" w:space="0" w:color="auto"/>
        <w:left w:val="none" w:sz="0" w:space="0" w:color="auto"/>
        <w:bottom w:val="none" w:sz="0" w:space="0" w:color="auto"/>
        <w:right w:val="none" w:sz="0" w:space="0" w:color="auto"/>
      </w:divBdr>
    </w:div>
    <w:div w:id="1049570176">
      <w:bodyDiv w:val="1"/>
      <w:marLeft w:val="0"/>
      <w:marRight w:val="0"/>
      <w:marTop w:val="0"/>
      <w:marBottom w:val="0"/>
      <w:divBdr>
        <w:top w:val="none" w:sz="0" w:space="0" w:color="auto"/>
        <w:left w:val="none" w:sz="0" w:space="0" w:color="auto"/>
        <w:bottom w:val="none" w:sz="0" w:space="0" w:color="auto"/>
        <w:right w:val="none" w:sz="0" w:space="0" w:color="auto"/>
      </w:divBdr>
      <w:divsChild>
        <w:div w:id="250314626">
          <w:marLeft w:val="0"/>
          <w:marRight w:val="0"/>
          <w:marTop w:val="0"/>
          <w:marBottom w:val="0"/>
          <w:divBdr>
            <w:top w:val="none" w:sz="0" w:space="0" w:color="auto"/>
            <w:left w:val="none" w:sz="0" w:space="0" w:color="auto"/>
            <w:bottom w:val="none" w:sz="0" w:space="0" w:color="auto"/>
            <w:right w:val="none" w:sz="0" w:space="0" w:color="auto"/>
          </w:divBdr>
        </w:div>
      </w:divsChild>
    </w:div>
    <w:div w:id="1173570373">
      <w:bodyDiv w:val="1"/>
      <w:marLeft w:val="0"/>
      <w:marRight w:val="0"/>
      <w:marTop w:val="0"/>
      <w:marBottom w:val="0"/>
      <w:divBdr>
        <w:top w:val="none" w:sz="0" w:space="0" w:color="auto"/>
        <w:left w:val="none" w:sz="0" w:space="0" w:color="auto"/>
        <w:bottom w:val="none" w:sz="0" w:space="0" w:color="auto"/>
        <w:right w:val="none" w:sz="0" w:space="0" w:color="auto"/>
      </w:divBdr>
      <w:divsChild>
        <w:div w:id="567149236">
          <w:marLeft w:val="0"/>
          <w:marRight w:val="0"/>
          <w:marTop w:val="0"/>
          <w:marBottom w:val="0"/>
          <w:divBdr>
            <w:top w:val="none" w:sz="0" w:space="0" w:color="auto"/>
            <w:left w:val="none" w:sz="0" w:space="0" w:color="auto"/>
            <w:bottom w:val="none" w:sz="0" w:space="0" w:color="auto"/>
            <w:right w:val="none" w:sz="0" w:space="0" w:color="auto"/>
          </w:divBdr>
        </w:div>
      </w:divsChild>
    </w:div>
    <w:div w:id="1969553986">
      <w:bodyDiv w:val="1"/>
      <w:marLeft w:val="0"/>
      <w:marRight w:val="0"/>
      <w:marTop w:val="0"/>
      <w:marBottom w:val="0"/>
      <w:divBdr>
        <w:top w:val="none" w:sz="0" w:space="0" w:color="auto"/>
        <w:left w:val="none" w:sz="0" w:space="0" w:color="auto"/>
        <w:bottom w:val="none" w:sz="0" w:space="0" w:color="auto"/>
        <w:right w:val="none" w:sz="0" w:space="0" w:color="auto"/>
      </w:divBdr>
      <w:divsChild>
        <w:div w:id="20501792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srn.com/abstract=2788469" TargetMode="External"/><Relationship Id="rId13" Type="http://schemas.openxmlformats.org/officeDocument/2006/relationships/hyperlink" Target="https://doi.org/10.1525/lal.2008.20.2.177"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7/S0738248018000652" TargetMode="External"/><Relationship Id="rId12" Type="http://schemas.openxmlformats.org/officeDocument/2006/relationships/hyperlink" Target="https://www.legislation.gov.uk/ukpga/2005/9/content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legislation.gov.uk/ukpga/Will4and1Vict/7/26/section/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co.za/doi/abs/10.10520/EJC141876" TargetMode="External"/><Relationship Id="rId5" Type="http://schemas.openxmlformats.org/officeDocument/2006/relationships/footnotes" Target="footnotes.xml"/><Relationship Id="rId15" Type="http://schemas.openxmlformats.org/officeDocument/2006/relationships/hyperlink" Target="https://doi.org/10.1016/j.concog.2018.03.002" TargetMode="External"/><Relationship Id="rId10" Type="http://schemas.openxmlformats.org/officeDocument/2006/relationships/hyperlink" Target="https://doi.org/10.1017/S000819730012828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x.doi.org/10.2139/ssrn.3264683" TargetMode="External"/><Relationship Id="rId14" Type="http://schemas.openxmlformats.org/officeDocument/2006/relationships/hyperlink" Target="https://doi.org/10.1017/S10416102080081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TotalTime>
  <Pages>8</Pages>
  <Words>3101</Words>
  <Characters>17682</Characters>
  <Application>Microsoft Office Word</Application>
  <DocSecurity>0</DocSecurity>
  <Lines>147</Lines>
  <Paragraphs>41</Paragraphs>
  <ScaleCrop>false</ScaleCrop>
  <Company/>
  <LinksUpToDate>false</LinksUpToDate>
  <CharactersWithSpaces>20742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Mukta Khan (2029151)</dc:creator>
  <cp:keywords/>
  <dc:description/>
  <cp:lastModifiedBy>Mukta Khan (2029151)</cp:lastModifiedBy>
  <cp:revision>272</cp:revision>
  <dcterms:created xsi:type="dcterms:W3CDTF">2024-03-19T23:47:00Z</dcterms:created>
  <dcterms:modified xsi:type="dcterms:W3CDTF">2024-03-22T20:48:00Z</dcterms:modified>
</cp:coreProperties>
</file>