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3758CC" w14:textId="6C54B284" w:rsidR="007B48AB" w:rsidRPr="00A115D2" w:rsidRDefault="00A115D2" w:rsidP="007A25C4">
      <w:pPr>
        <w:rPr>
          <w:b/>
          <w:sz w:val="36"/>
          <w:szCs w:val="36"/>
        </w:rPr>
      </w:pPr>
      <w:r>
        <w:rPr>
          <w:b/>
          <w:sz w:val="36"/>
          <w:szCs w:val="36"/>
        </w:rPr>
        <w:t>Family Home – Answer 3</w:t>
      </w:r>
    </w:p>
    <w:p w14:paraId="7F568DD4" w14:textId="77777777" w:rsidR="007B48AB" w:rsidRDefault="007B48AB" w:rsidP="007B48AB">
      <w:r>
        <w:t xml:space="preserve">Beth will have to establish that Adam held the legal title to the house on trust for her. The presumption is that a sole owner of the legal estate is also the sole equitable owner. The burden will be on Beth to prove that she has an equitable interest. Unlike express trusts, resulting and constructive trusts can be created without writing (s53(2) Law of Property Act 1925).  </w:t>
      </w:r>
    </w:p>
    <w:p w14:paraId="368C0ACF" w14:textId="77777777" w:rsidR="007B48AB" w:rsidRDefault="007B48AB" w:rsidP="007B48AB">
      <w:r>
        <w:t xml:space="preserve"> </w:t>
      </w:r>
    </w:p>
    <w:p w14:paraId="3587665D" w14:textId="77777777" w:rsidR="007B48AB" w:rsidRDefault="007B48AB" w:rsidP="007B48AB">
      <w:r>
        <w:t xml:space="preserve">Beth cannot claim an interest under a resulting trust because she made no direct contribution to the purchase price at the time of purchase (Curley v Parkes (2004)). The payment for furniture was not a contribution to the purchase price. In any event, constructive trusts are more appropriate for determining the interests of cohabitees (Stack v Dowden (2007)). </w:t>
      </w:r>
    </w:p>
    <w:p w14:paraId="266EDC59" w14:textId="77777777" w:rsidR="007B48AB" w:rsidRDefault="007B48AB" w:rsidP="007B48AB">
      <w:r>
        <w:t xml:space="preserve"> </w:t>
      </w:r>
    </w:p>
    <w:p w14:paraId="0607FEA7" w14:textId="77777777" w:rsidR="007B48AB" w:rsidRDefault="007B48AB" w:rsidP="007B48AB">
      <w:r>
        <w:t xml:space="preserve">To establish a constructive trust, Beth will have to show there was a common intention that she should have an interest in the house and she acted to her detriment in reliance on that common intention (Lloyds Bank v Rosset (1990)). The common intention may be express or implied.  </w:t>
      </w:r>
    </w:p>
    <w:p w14:paraId="7BC1089B" w14:textId="77777777" w:rsidR="007B48AB" w:rsidRDefault="007B48AB" w:rsidP="007B48AB">
      <w:r>
        <w:t xml:space="preserve">An express common intention exists if there was an ‘agreement, arrangement or understanding’ that the house should be shared beneficially. Adam’s statement that he would treat it as Beth’s home may have been intended to be a statement that she could live there, but not an agreement that she should have a beneficial interest. However, Beth could argue that there was a common intention that the house would have been in joint names but for the mortgagee’s stance. In Grant v Edwards (1986) the party who would become the sole legal owner of the house explained that it would be better not to convey it into joint names because it would prejudice the claimant’s divorce. This was sufficient evidence of an express common intention that the house was jointly owned. The court reached a similar decision in Eves v Eves (1975). Grant and Eves are controversial decisions. Arguably, the ‘excuse’ why the house is not in joint names shows that the legal owner had no intention of sharing the beneficial interest.  </w:t>
      </w:r>
    </w:p>
    <w:p w14:paraId="37742E80" w14:textId="77777777" w:rsidR="007B48AB" w:rsidRDefault="007B48AB" w:rsidP="007B48AB">
      <w:r>
        <w:t xml:space="preserve">If the court decides there is insufficient evidence of an express common intention, Beth will have to persuade the court to infer a common intention which may prove difficult. In Lloyds Bank v Rosset, Lord Bridge said that a common intention could be inferred only from direct contributions to the price such as paying the deposit or some of the mortgage instalments. Beth’s payments for </w:t>
      </w:r>
      <w:proofErr w:type="spellStart"/>
      <w:r>
        <w:t>for</w:t>
      </w:r>
      <w:proofErr w:type="spellEnd"/>
      <w:r>
        <w:t xml:space="preserve"> furniture and household expenses were not direct contributions. </w:t>
      </w:r>
    </w:p>
    <w:p w14:paraId="7F28B8A4" w14:textId="77777777" w:rsidR="007B48AB" w:rsidRDefault="007B48AB" w:rsidP="007B48AB">
      <w:r>
        <w:t xml:space="preserve">Beth might argue that her substantial contributions to household expenses were indirect contributions to the purchase price because they freed up Adam’s resources to pay the mortgage. Indirect contributions were not sufficient for the court to infer a common intention in Gissing v Gissing (1971) nor </w:t>
      </w:r>
      <w:proofErr w:type="spellStart"/>
      <w:r>
        <w:t>Tackaberry</w:t>
      </w:r>
      <w:proofErr w:type="spellEnd"/>
      <w:r>
        <w:t xml:space="preserve"> v Hollis (2007). However, in Le Foe v Le Foe, the High Court judge felt able to infer a common intention from the wife’s substantial contribution to household expenses pursuant to an agreement that the parties would share the mortgage and expenses equally with one paying the mortgage and the other paying the general household expenses. There have been obiter dicta suggesting the Lord Bridge’s statement ruling out indirect contributions might be too narrow (House of Lords in Stack v Dowden). </w:t>
      </w:r>
    </w:p>
    <w:p w14:paraId="58406B1B" w14:textId="77777777" w:rsidR="007B48AB" w:rsidRDefault="007B48AB" w:rsidP="007B48AB">
      <w:r>
        <w:t xml:space="preserve">If Beth is able to establish a common intention (whether expressly or by inference), her payment of the household expenses will also suffice for detrimental reliance (Grant v Edwards). </w:t>
      </w:r>
    </w:p>
    <w:p w14:paraId="3A59CAA4" w14:textId="77777777" w:rsidR="007B48AB" w:rsidRDefault="007B48AB" w:rsidP="007B48AB"/>
    <w:p w14:paraId="21BFDBA2" w14:textId="77777777" w:rsidR="007B48AB" w:rsidRDefault="007B48AB" w:rsidP="007B48AB">
      <w:r>
        <w:lastRenderedPageBreak/>
        <w:t xml:space="preserve">The next step is to quantify her interest. In Stack v Dowden the House of Lords said that the court will look at the whole course of dealings between the parties to determine the extent of a claimant’s beneficial interest under a constructive trust. The size of each party’s share will be what was said or agreed when the property was acquired. If there is no evidence of any such agreement or discussion, the court will infer the parties’ intentions having regard to the whole course of dealing between them in relation to the property. Baroness Hale envisaged that many factors could be taken into account to determine the nature of this intention including: discussions at the time of purchase, the nature of the parties’ relationship, how the parties’ arranged their finances, and how the parties discharged outgoings on the property.  </w:t>
      </w:r>
    </w:p>
    <w:p w14:paraId="58599876" w14:textId="77777777" w:rsidR="007B48AB" w:rsidRDefault="007B48AB" w:rsidP="007B48AB">
      <w:r>
        <w:t xml:space="preserve"> </w:t>
      </w:r>
    </w:p>
    <w:p w14:paraId="003AD311" w14:textId="77777777" w:rsidR="007B48AB" w:rsidRDefault="007B48AB" w:rsidP="007B48AB">
      <w:r>
        <w:t xml:space="preserve">In Jones v Kernott (2011) the Supreme Court adopted the same approach but it was held that if the court cannot ascertain the parties’ intentions as regards their shares, the court will ascertain what would be fair having regard to the whole course of dealings. </w:t>
      </w:r>
    </w:p>
    <w:p w14:paraId="6BBFF1BD" w14:textId="77777777" w:rsidR="007B48AB" w:rsidRDefault="007B48AB" w:rsidP="007B48AB">
      <w:r>
        <w:t xml:space="preserve">It is arguable that the parties intended to have equal shares at the beginning (because it would have been a joint purchase had it not been for Beth’s credit rating). The fact that they opened a joint account and Beth’s contributions to the joint account will be significant according to Stack v Dowden. </w:t>
      </w:r>
    </w:p>
    <w:p w14:paraId="3DA9D334" w14:textId="77777777" w:rsidR="007B48AB" w:rsidRDefault="007B48AB" w:rsidP="007B48AB">
      <w:r>
        <w:t xml:space="preserve"> </w:t>
      </w:r>
    </w:p>
    <w:p w14:paraId="37183733" w14:textId="77777777" w:rsidR="007B48AB" w:rsidRDefault="007B48AB" w:rsidP="007B48AB">
      <w:r>
        <w:t xml:space="preserve">Beth could argue that she should have a remedy through proprietary estoppel.  </w:t>
      </w:r>
    </w:p>
    <w:p w14:paraId="370A7A0B" w14:textId="77777777" w:rsidR="007B48AB" w:rsidRDefault="007B48AB" w:rsidP="007B48AB">
      <w:r>
        <w:t xml:space="preserve">A claimant can use proprietary estoppel as a cause of action if the defendant made an assurance on which the claimant relied to her detriment. The three elements are intertwined and the courts are favouring a broader approach where they consider whether it would be unconscionable to deny the claimant what was promised or understood (Gillett v Holt (2000)). </w:t>
      </w:r>
    </w:p>
    <w:p w14:paraId="27F8BBA8" w14:textId="77777777" w:rsidR="007B48AB" w:rsidRDefault="007B48AB" w:rsidP="007B48AB">
      <w:r>
        <w:t xml:space="preserve">Arguably, Adam made an active assurance that Beth could live there. In any event, Beth will contend that he made a passive assurance because he stood by and watched her act to her detriment believing that she had an interest.  </w:t>
      </w:r>
    </w:p>
    <w:p w14:paraId="0C43F6B3" w14:textId="77777777" w:rsidR="007B48AB" w:rsidRDefault="007B48AB" w:rsidP="007B48AB">
      <w:r>
        <w:t xml:space="preserve">Beth acted to her detriment by contributing substantial sums to the joint account. Adam may argue that she did not incur this detriment in reliance on the belief that she had a share of the house but rather she was just paying her way in which case there will be no estoppel.  </w:t>
      </w:r>
    </w:p>
    <w:p w14:paraId="265BDC43" w14:textId="77777777" w:rsidR="007B48AB" w:rsidRDefault="007B48AB" w:rsidP="007B48AB">
      <w:r>
        <w:t>The remedy for proprietary estoppel is in the court’s discretion. In Jennings v Rice (2003) it was said that the court had to ensure that justice was done between the parties and that the remedy was proportionate. The court may award a share in the house or monetary compensation for Beth’s detriment or occupation rights.</w:t>
      </w:r>
    </w:p>
    <w:sectPr w:rsidR="007B4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5C4"/>
    <w:rsid w:val="000B13C0"/>
    <w:rsid w:val="0015088B"/>
    <w:rsid w:val="0017356F"/>
    <w:rsid w:val="00212968"/>
    <w:rsid w:val="007A25C4"/>
    <w:rsid w:val="007B48AB"/>
    <w:rsid w:val="00A115D2"/>
    <w:rsid w:val="00A26D5C"/>
    <w:rsid w:val="00A806D3"/>
    <w:rsid w:val="00B163C3"/>
    <w:rsid w:val="00C57E0A"/>
    <w:rsid w:val="00DF1CA9"/>
    <w:rsid w:val="00E81C88"/>
    <w:rsid w:val="00F61CE6"/>
    <w:rsid w:val="00FA4263"/>
    <w:rsid w:val="00FB4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BB32F"/>
  <w15:chartTrackingRefBased/>
  <w15:docId w15:val="{C7283353-CBA7-4F6D-B574-6C91069EF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115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15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924</Words>
  <Characters>5269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 (FBAM)</dc:creator>
  <cp:keywords/>
  <dc:description/>
  <cp:lastModifiedBy>Louise Holmes</cp:lastModifiedBy>
  <cp:revision>2</cp:revision>
  <cp:lastPrinted>2019-11-18T15:33:00Z</cp:lastPrinted>
  <dcterms:created xsi:type="dcterms:W3CDTF">2020-11-25T16:18:00Z</dcterms:created>
  <dcterms:modified xsi:type="dcterms:W3CDTF">2020-11-25T16:18:00Z</dcterms:modified>
</cp:coreProperties>
</file>