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0E777" w14:textId="740035A4" w:rsidR="001E35DD" w:rsidRPr="00616254" w:rsidRDefault="001E35DD" w:rsidP="00616254">
      <w:pPr>
        <w:spacing w:line="360" w:lineRule="auto"/>
        <w:jc w:val="center"/>
        <w:rPr>
          <w:rFonts w:ascii="Arial" w:hAnsi="Arial" w:cs="Arial"/>
          <w:b/>
          <w:bCs/>
          <w:sz w:val="24"/>
          <w:szCs w:val="24"/>
          <w:u w:val="single"/>
        </w:rPr>
      </w:pPr>
      <w:r w:rsidRPr="00616254">
        <w:rPr>
          <w:rFonts w:ascii="Arial" w:hAnsi="Arial" w:cs="Arial"/>
          <w:b/>
          <w:bCs/>
          <w:sz w:val="24"/>
          <w:szCs w:val="24"/>
          <w:u w:val="single"/>
        </w:rPr>
        <w:t>Part One</w:t>
      </w:r>
    </w:p>
    <w:p w14:paraId="1E648073" w14:textId="7F9834D8" w:rsidR="00184616" w:rsidRPr="00616254" w:rsidRDefault="001E35DD" w:rsidP="00616254">
      <w:pPr>
        <w:spacing w:line="360" w:lineRule="auto"/>
        <w:jc w:val="center"/>
        <w:rPr>
          <w:rFonts w:ascii="Arial" w:hAnsi="Arial" w:cs="Arial"/>
          <w:b/>
          <w:bCs/>
          <w:sz w:val="24"/>
          <w:szCs w:val="24"/>
          <w:u w:val="single"/>
        </w:rPr>
      </w:pPr>
      <w:r w:rsidRPr="00616254">
        <w:rPr>
          <w:rFonts w:ascii="Arial" w:hAnsi="Arial" w:cs="Arial"/>
          <w:b/>
          <w:bCs/>
          <w:sz w:val="24"/>
          <w:szCs w:val="24"/>
          <w:u w:val="single"/>
        </w:rPr>
        <w:t>C</w:t>
      </w:r>
      <w:r w:rsidR="00184616" w:rsidRPr="00616254">
        <w:rPr>
          <w:rFonts w:ascii="Arial" w:hAnsi="Arial" w:cs="Arial"/>
          <w:b/>
          <w:bCs/>
          <w:sz w:val="24"/>
          <w:szCs w:val="24"/>
          <w:u w:val="single"/>
        </w:rPr>
        <w:t>atalytic leadership and how the challenging nature of leading and managing early years provision ensures that the early years workforce is equipped to meet the complex demands of sociological factors and issues that impact on young children’s lives</w:t>
      </w:r>
      <w:r w:rsidRPr="00616254">
        <w:rPr>
          <w:rFonts w:ascii="Arial" w:hAnsi="Arial" w:cs="Arial"/>
          <w:b/>
          <w:bCs/>
          <w:sz w:val="24"/>
          <w:szCs w:val="24"/>
          <w:u w:val="single"/>
        </w:rPr>
        <w:t>.</w:t>
      </w:r>
    </w:p>
    <w:p w14:paraId="4D5E656B" w14:textId="78C3CD33" w:rsidR="003C1550" w:rsidRPr="00616254" w:rsidRDefault="003C1550" w:rsidP="00616254">
      <w:pPr>
        <w:spacing w:line="360" w:lineRule="auto"/>
        <w:rPr>
          <w:rFonts w:ascii="Arial" w:hAnsi="Arial" w:cs="Arial"/>
          <w:sz w:val="24"/>
          <w:szCs w:val="24"/>
        </w:rPr>
      </w:pPr>
      <w:r w:rsidRPr="00616254">
        <w:rPr>
          <w:rFonts w:ascii="Arial" w:hAnsi="Arial" w:cs="Arial"/>
          <w:sz w:val="24"/>
          <w:szCs w:val="24"/>
        </w:rPr>
        <w:t xml:space="preserve">A catalyst leader facilitates the growth and development of individuals in order to motivate and inspire them to work towards a shared vision (Siraj &amp; </w:t>
      </w:r>
      <w:proofErr w:type="spellStart"/>
      <w:r w:rsidRPr="00616254">
        <w:rPr>
          <w:rFonts w:ascii="Arial" w:hAnsi="Arial" w:cs="Arial"/>
          <w:sz w:val="24"/>
          <w:szCs w:val="24"/>
        </w:rPr>
        <w:t>Hallet</w:t>
      </w:r>
      <w:proofErr w:type="spellEnd"/>
      <w:r w:rsidRPr="00616254">
        <w:rPr>
          <w:rFonts w:ascii="Arial" w:hAnsi="Arial" w:cs="Arial"/>
          <w:sz w:val="24"/>
          <w:szCs w:val="24"/>
        </w:rPr>
        <w:t>, 2013). The hallmarks of this leadership approach are collaboration, empowerment, and innovation, with a focus on creating a shared purpose among team members (Avolio et al., 2011). In early childhood education, a catalytic leader would provide a nurturing and stimulating environment for young children (Leo, 2007; Campbell-Barr &amp; Leeson, 2016). As an agent of change, a catalytic leader encourages the growth and development of young children as well as early childhood practitioners by creating an environment of learning and innovation (</w:t>
      </w:r>
      <w:proofErr w:type="spellStart"/>
      <w:r w:rsidRPr="00616254">
        <w:rPr>
          <w:rFonts w:ascii="Arial" w:hAnsi="Arial" w:cs="Arial"/>
          <w:sz w:val="24"/>
          <w:szCs w:val="24"/>
        </w:rPr>
        <w:t>Cels</w:t>
      </w:r>
      <w:proofErr w:type="spellEnd"/>
      <w:r w:rsidRPr="00616254">
        <w:rPr>
          <w:rFonts w:ascii="Arial" w:hAnsi="Arial" w:cs="Arial"/>
          <w:sz w:val="24"/>
          <w:szCs w:val="24"/>
        </w:rPr>
        <w:t xml:space="preserve">, De Jong &amp; </w:t>
      </w:r>
      <w:proofErr w:type="spellStart"/>
      <w:r w:rsidRPr="00616254">
        <w:rPr>
          <w:rFonts w:ascii="Arial" w:hAnsi="Arial" w:cs="Arial"/>
          <w:sz w:val="24"/>
          <w:szCs w:val="24"/>
        </w:rPr>
        <w:t>Nauta</w:t>
      </w:r>
      <w:proofErr w:type="spellEnd"/>
      <w:r w:rsidRPr="00616254">
        <w:rPr>
          <w:rFonts w:ascii="Arial" w:hAnsi="Arial" w:cs="Arial"/>
          <w:sz w:val="24"/>
          <w:szCs w:val="24"/>
        </w:rPr>
        <w:t xml:space="preserve">, 2012; Baines &amp; Blatchford, 2018), striving for social justice and equality in the early years (Katz &amp; McClellan, 2019; Kessler &amp; </w:t>
      </w:r>
      <w:proofErr w:type="spellStart"/>
      <w:r w:rsidRPr="00616254">
        <w:rPr>
          <w:rFonts w:ascii="Arial" w:hAnsi="Arial" w:cs="Arial"/>
          <w:sz w:val="24"/>
          <w:szCs w:val="24"/>
        </w:rPr>
        <w:t>Swadener</w:t>
      </w:r>
      <w:proofErr w:type="spellEnd"/>
      <w:r w:rsidRPr="00616254">
        <w:rPr>
          <w:rFonts w:ascii="Arial" w:hAnsi="Arial" w:cs="Arial"/>
          <w:sz w:val="24"/>
          <w:szCs w:val="24"/>
        </w:rPr>
        <w:t>, 2019).</w:t>
      </w:r>
    </w:p>
    <w:p w14:paraId="071D3319" w14:textId="294C8CD7" w:rsidR="003C1550" w:rsidRPr="00616254" w:rsidRDefault="003C1550" w:rsidP="00616254">
      <w:pPr>
        <w:spacing w:line="360" w:lineRule="auto"/>
        <w:rPr>
          <w:rFonts w:ascii="Arial" w:hAnsi="Arial" w:cs="Arial"/>
          <w:sz w:val="24"/>
          <w:szCs w:val="24"/>
        </w:rPr>
      </w:pPr>
      <w:r w:rsidRPr="00616254">
        <w:rPr>
          <w:rFonts w:ascii="Arial" w:hAnsi="Arial" w:cs="Arial"/>
          <w:sz w:val="24"/>
          <w:szCs w:val="24"/>
        </w:rPr>
        <w:t xml:space="preserve">The development of effective catalytic leadership within early childhood requires the provision of a robust program of reflective practice (Eichner &amp; Damico, 2015), as well as a continuous pursuit of professional development and risk-taking, which should be encouraged in accordance with the philosophy of inspiring leadership in others (Whalley, et al., 2018). Creating a shared vision, maintaining positive relationships between staff and children, and adjusting to changing circumstances are characteristics of catalytic leadership in the early years. As a result of building trust, collaboration, and teamwork, these outcomes can be achieved (Guo &amp; Bowers, 2017; </w:t>
      </w:r>
      <w:proofErr w:type="spellStart"/>
      <w:r w:rsidRPr="00616254">
        <w:rPr>
          <w:rFonts w:ascii="Arial" w:hAnsi="Arial" w:cs="Arial"/>
          <w:sz w:val="24"/>
          <w:szCs w:val="24"/>
        </w:rPr>
        <w:t>Caston</w:t>
      </w:r>
      <w:proofErr w:type="spellEnd"/>
      <w:r w:rsidRPr="00616254">
        <w:rPr>
          <w:rFonts w:ascii="Arial" w:hAnsi="Arial" w:cs="Arial"/>
          <w:sz w:val="24"/>
          <w:szCs w:val="24"/>
        </w:rPr>
        <w:t xml:space="preserve"> &amp; DiCarlo, 2021). </w:t>
      </w:r>
    </w:p>
    <w:p w14:paraId="4DDC542F" w14:textId="65C09CCF" w:rsidR="003C1550" w:rsidRPr="00616254" w:rsidRDefault="003C1550" w:rsidP="00616254">
      <w:pPr>
        <w:spacing w:line="360" w:lineRule="auto"/>
        <w:rPr>
          <w:rFonts w:ascii="Arial" w:hAnsi="Arial" w:cs="Arial"/>
          <w:sz w:val="24"/>
          <w:szCs w:val="24"/>
        </w:rPr>
      </w:pPr>
      <w:r w:rsidRPr="00616254">
        <w:rPr>
          <w:rFonts w:ascii="Arial" w:hAnsi="Arial" w:cs="Arial"/>
          <w:sz w:val="24"/>
          <w:szCs w:val="24"/>
        </w:rPr>
        <w:t xml:space="preserve">Although catalytic leadership has many benefits, it is not without limitations. In organizations whose culture emphasizes compliance and conformity, implementing it may prove challenging (Hinkley &amp; </w:t>
      </w:r>
      <w:proofErr w:type="spellStart"/>
      <w:r w:rsidRPr="00616254">
        <w:rPr>
          <w:rFonts w:ascii="Arial" w:hAnsi="Arial" w:cs="Arial"/>
          <w:sz w:val="24"/>
          <w:szCs w:val="24"/>
        </w:rPr>
        <w:t>Chavkin</w:t>
      </w:r>
      <w:proofErr w:type="spellEnd"/>
      <w:r w:rsidRPr="00616254">
        <w:rPr>
          <w:rFonts w:ascii="Arial" w:hAnsi="Arial" w:cs="Arial"/>
          <w:sz w:val="24"/>
          <w:szCs w:val="24"/>
        </w:rPr>
        <w:t>, 2016; Giordano, 2019). The emphasis on collaboration and empowerment may also result in a lack of accountability and an unclear decision-making process (Avolio et al., 2011).</w:t>
      </w:r>
    </w:p>
    <w:p w14:paraId="603D6868" w14:textId="5319A6ED" w:rsidR="003C1550" w:rsidRPr="00616254" w:rsidRDefault="003C1550" w:rsidP="00616254">
      <w:pPr>
        <w:spacing w:line="360" w:lineRule="auto"/>
        <w:rPr>
          <w:rFonts w:ascii="Arial" w:hAnsi="Arial" w:cs="Arial"/>
          <w:sz w:val="24"/>
          <w:szCs w:val="24"/>
        </w:rPr>
      </w:pPr>
      <w:r w:rsidRPr="00616254">
        <w:rPr>
          <w:rFonts w:ascii="Arial" w:hAnsi="Arial" w:cs="Arial"/>
          <w:sz w:val="24"/>
          <w:szCs w:val="24"/>
        </w:rPr>
        <w:t xml:space="preserve">As Reed &amp; Canning (2012) note, despite recognizing these challenges, children's social and emotional environments can also have a significant impact on their early </w:t>
      </w:r>
      <w:r w:rsidRPr="00616254">
        <w:rPr>
          <w:rFonts w:ascii="Arial" w:hAnsi="Arial" w:cs="Arial"/>
          <w:sz w:val="24"/>
          <w:szCs w:val="24"/>
        </w:rPr>
        <w:lastRenderedPageBreak/>
        <w:t>years, and many sociological factors can be mitigated through the effective implementation of catalytic leadership (Garvey, 2017; Garvey 2018).</w:t>
      </w:r>
    </w:p>
    <w:p w14:paraId="2DF11DE8" w14:textId="29AFAA01" w:rsidR="003C1550" w:rsidRPr="00616254" w:rsidRDefault="003C1550" w:rsidP="00616254">
      <w:pPr>
        <w:spacing w:line="360" w:lineRule="auto"/>
        <w:rPr>
          <w:rFonts w:ascii="Arial" w:hAnsi="Arial" w:cs="Arial"/>
          <w:sz w:val="24"/>
          <w:szCs w:val="24"/>
        </w:rPr>
      </w:pPr>
      <w:r w:rsidRPr="00616254">
        <w:rPr>
          <w:rFonts w:ascii="Arial" w:hAnsi="Arial" w:cs="Arial"/>
          <w:sz w:val="24"/>
          <w:szCs w:val="24"/>
        </w:rPr>
        <w:t xml:space="preserve">There are a number of complex sociological factors that a catalytic leader within early years should be aware of. These factors include family issues, social class, gender, and cultural backgrounds (Gadsden, Ford &amp; </w:t>
      </w:r>
      <w:proofErr w:type="spellStart"/>
      <w:r w:rsidRPr="00616254">
        <w:rPr>
          <w:rFonts w:ascii="Arial" w:hAnsi="Arial" w:cs="Arial"/>
          <w:sz w:val="24"/>
          <w:szCs w:val="24"/>
        </w:rPr>
        <w:t>Breiner</w:t>
      </w:r>
      <w:proofErr w:type="spellEnd"/>
      <w:r w:rsidRPr="00616254">
        <w:rPr>
          <w:rFonts w:ascii="Arial" w:hAnsi="Arial" w:cs="Arial"/>
          <w:sz w:val="24"/>
          <w:szCs w:val="24"/>
        </w:rPr>
        <w:t xml:space="preserve">, 2016; Lareau, 2007). </w:t>
      </w:r>
      <w:proofErr w:type="spellStart"/>
      <w:r w:rsidRPr="00616254">
        <w:rPr>
          <w:rFonts w:ascii="Arial" w:hAnsi="Arial" w:cs="Arial"/>
          <w:sz w:val="24"/>
          <w:szCs w:val="24"/>
        </w:rPr>
        <w:t>Analyzing</w:t>
      </w:r>
      <w:proofErr w:type="spellEnd"/>
      <w:r w:rsidRPr="00616254">
        <w:rPr>
          <w:rFonts w:ascii="Arial" w:hAnsi="Arial" w:cs="Arial"/>
          <w:sz w:val="24"/>
          <w:szCs w:val="24"/>
        </w:rPr>
        <w:t xml:space="preserve"> some of these factors closely and raising employee awareness can be beneficial. When providing quality care to a child, it is essential to be aware of the child's background (Andrew &amp; Fane, 2018). For example, family structure can have a profound effect on a child's development; for instance, children from a single-parent family may experience stress, social isolation, and resource deprivation (</w:t>
      </w:r>
      <w:proofErr w:type="spellStart"/>
      <w:r w:rsidRPr="00616254">
        <w:rPr>
          <w:rFonts w:ascii="Arial" w:hAnsi="Arial" w:cs="Arial"/>
          <w:sz w:val="24"/>
          <w:szCs w:val="24"/>
        </w:rPr>
        <w:t>McLanahan</w:t>
      </w:r>
      <w:proofErr w:type="spellEnd"/>
      <w:r w:rsidRPr="00616254">
        <w:rPr>
          <w:rFonts w:ascii="Arial" w:hAnsi="Arial" w:cs="Arial"/>
          <w:sz w:val="24"/>
          <w:szCs w:val="24"/>
        </w:rPr>
        <w:t xml:space="preserve"> &amp; </w:t>
      </w:r>
      <w:proofErr w:type="spellStart"/>
      <w:r w:rsidRPr="00616254">
        <w:rPr>
          <w:rFonts w:ascii="Arial" w:hAnsi="Arial" w:cs="Arial"/>
          <w:sz w:val="24"/>
          <w:szCs w:val="24"/>
        </w:rPr>
        <w:t>Sandefur</w:t>
      </w:r>
      <w:proofErr w:type="spellEnd"/>
      <w:r w:rsidRPr="00616254">
        <w:rPr>
          <w:rFonts w:ascii="Arial" w:hAnsi="Arial" w:cs="Arial"/>
          <w:sz w:val="24"/>
          <w:szCs w:val="24"/>
        </w:rPr>
        <w:t xml:space="preserve">, 1994). </w:t>
      </w:r>
    </w:p>
    <w:p w14:paraId="408E2FD8" w14:textId="1E11FC3B" w:rsidR="003C1550" w:rsidRPr="00616254" w:rsidRDefault="003C1550" w:rsidP="00616254">
      <w:pPr>
        <w:spacing w:line="360" w:lineRule="auto"/>
        <w:rPr>
          <w:rFonts w:ascii="Arial" w:hAnsi="Arial" w:cs="Arial"/>
          <w:sz w:val="24"/>
          <w:szCs w:val="24"/>
        </w:rPr>
      </w:pPr>
      <w:r w:rsidRPr="00616254">
        <w:rPr>
          <w:rFonts w:ascii="Arial" w:hAnsi="Arial" w:cs="Arial"/>
          <w:sz w:val="24"/>
          <w:szCs w:val="24"/>
        </w:rPr>
        <w:t xml:space="preserve">As a comparison, children raised in two-parent families tend to perform better academically, emotionally, and socially (Amato, 2005). Furthermore, it is noteworthy that social class has a significant impact on a child's access to resources, education, and health care during their early development. In addition to poor housing, poor nutrition, and limited educational opportunities, children from low-income families face a number of challenges (Bradley and </w:t>
      </w:r>
      <w:proofErr w:type="spellStart"/>
      <w:r w:rsidRPr="00616254">
        <w:rPr>
          <w:rFonts w:ascii="Arial" w:hAnsi="Arial" w:cs="Arial"/>
          <w:sz w:val="24"/>
          <w:szCs w:val="24"/>
        </w:rPr>
        <w:t>Corwyn</w:t>
      </w:r>
      <w:proofErr w:type="spellEnd"/>
      <w:r w:rsidRPr="00616254">
        <w:rPr>
          <w:rFonts w:ascii="Arial" w:hAnsi="Arial" w:cs="Arial"/>
          <w:sz w:val="24"/>
          <w:szCs w:val="24"/>
        </w:rPr>
        <w:t xml:space="preserve">, 2002). Compared to children from low-income families, children from high-income families often have better resources and are more likely to achieve better academically and cognitively (Lareau, 2003). </w:t>
      </w:r>
    </w:p>
    <w:p w14:paraId="6AE0FF39" w14:textId="787E8B37" w:rsidR="003C1550" w:rsidRPr="00616254" w:rsidRDefault="003C1550" w:rsidP="00616254">
      <w:pPr>
        <w:spacing w:line="360" w:lineRule="auto"/>
        <w:rPr>
          <w:rFonts w:ascii="Arial" w:hAnsi="Arial" w:cs="Arial"/>
          <w:sz w:val="24"/>
          <w:szCs w:val="24"/>
        </w:rPr>
      </w:pPr>
      <w:r w:rsidRPr="00616254">
        <w:rPr>
          <w:rFonts w:ascii="Arial" w:hAnsi="Arial" w:cs="Arial"/>
          <w:sz w:val="24"/>
          <w:szCs w:val="24"/>
        </w:rPr>
        <w:t>A child's gender can also influence his or her biological experiences in a sociological manner not related to finances. A general tendency for boys is to be physically aggressive and take risks, whereas girls tend to be more prosocial and have better verbal skills (Maccoby &amp; Jacklin, 1974). Additionally, gender roles and stereotypes can affect how children interact with others, as well as their self-esteem and sense of identity (</w:t>
      </w:r>
      <w:proofErr w:type="spellStart"/>
      <w:r w:rsidRPr="00616254">
        <w:rPr>
          <w:rFonts w:ascii="Arial" w:hAnsi="Arial" w:cs="Arial"/>
          <w:sz w:val="24"/>
          <w:szCs w:val="24"/>
        </w:rPr>
        <w:t>Eagly</w:t>
      </w:r>
      <w:proofErr w:type="spellEnd"/>
      <w:r w:rsidRPr="00616254">
        <w:rPr>
          <w:rFonts w:ascii="Arial" w:hAnsi="Arial" w:cs="Arial"/>
          <w:sz w:val="24"/>
          <w:szCs w:val="24"/>
        </w:rPr>
        <w:t xml:space="preserve"> and Wood, 2012). Additionally, cultural background plays a significant role in influencing parenting practices and socialization of a child during the early years of life (Bornstein, 2014). Some cultures emphasize obedience and conformity, while others value independence and self-expression more. During the early years, children face a variety of physical and social demands as well as learning opportunities (</w:t>
      </w:r>
      <w:proofErr w:type="spellStart"/>
      <w:r w:rsidRPr="00616254">
        <w:rPr>
          <w:rFonts w:ascii="Arial" w:hAnsi="Arial" w:cs="Arial"/>
          <w:sz w:val="24"/>
          <w:szCs w:val="24"/>
        </w:rPr>
        <w:t>O'Day</w:t>
      </w:r>
      <w:proofErr w:type="spellEnd"/>
      <w:r w:rsidRPr="00616254">
        <w:rPr>
          <w:rFonts w:ascii="Arial" w:hAnsi="Arial" w:cs="Arial"/>
          <w:sz w:val="24"/>
          <w:szCs w:val="24"/>
        </w:rPr>
        <w:t xml:space="preserve"> &amp; Smith, 2019).</w:t>
      </w:r>
    </w:p>
    <w:p w14:paraId="67EF28EA" w14:textId="75C743BC" w:rsidR="003C1550" w:rsidRPr="00616254" w:rsidRDefault="003C1550" w:rsidP="00616254">
      <w:pPr>
        <w:spacing w:line="360" w:lineRule="auto"/>
        <w:rPr>
          <w:rFonts w:ascii="Arial" w:hAnsi="Arial" w:cs="Arial"/>
          <w:sz w:val="24"/>
          <w:szCs w:val="24"/>
        </w:rPr>
      </w:pPr>
      <w:r w:rsidRPr="00616254">
        <w:rPr>
          <w:rFonts w:ascii="Arial" w:hAnsi="Arial" w:cs="Arial"/>
          <w:sz w:val="24"/>
          <w:szCs w:val="24"/>
        </w:rPr>
        <w:lastRenderedPageBreak/>
        <w:t xml:space="preserve">Recognizing this, as a catalytic early childhood leader, you must ensure that your workforce and you are prepared to meet these sociological demands. As well as providing a safe and stimulating learning environment, adequate staffing, and appropriate materials (Department for Education, 2013). The ability to create inclusiveness and supportive environments that allow all children to reach their full potential begins with a better understanding of family structure, social class, gender, and cultural background is essential to promoting good wellbeing and making children resilient (Williams Brown &amp; </w:t>
      </w:r>
      <w:proofErr w:type="spellStart"/>
      <w:r w:rsidRPr="00616254">
        <w:rPr>
          <w:rFonts w:ascii="Arial" w:hAnsi="Arial" w:cs="Arial"/>
          <w:sz w:val="24"/>
          <w:szCs w:val="24"/>
        </w:rPr>
        <w:t>Mander</w:t>
      </w:r>
      <w:proofErr w:type="spellEnd"/>
      <w:r w:rsidRPr="00616254">
        <w:rPr>
          <w:rFonts w:ascii="Arial" w:hAnsi="Arial" w:cs="Arial"/>
          <w:sz w:val="24"/>
          <w:szCs w:val="24"/>
        </w:rPr>
        <w:t>; 2021; Dodge, et al., 2012; Musgrave, 2017). Among the most important roles of early years practitioners is the promotion of equality and inclusion in order to mitigate the effects of some of these sociological factors on children (Talan, Bloom &amp; Kelton, 2013). It is the opinion of Morrissey and Callaghan (2018) that all children should have equal educational opportunities and their individual needs and backgrounds must be considered (Reid, 2019).</w:t>
      </w:r>
    </w:p>
    <w:p w14:paraId="20822840" w14:textId="05B46D06" w:rsidR="003C1550" w:rsidRPr="00616254" w:rsidRDefault="003C1550" w:rsidP="00616254">
      <w:pPr>
        <w:spacing w:line="360" w:lineRule="auto"/>
        <w:rPr>
          <w:rFonts w:ascii="Arial" w:hAnsi="Arial" w:cs="Arial"/>
          <w:sz w:val="24"/>
          <w:szCs w:val="24"/>
        </w:rPr>
      </w:pPr>
      <w:r w:rsidRPr="00616254">
        <w:rPr>
          <w:rFonts w:ascii="Arial" w:hAnsi="Arial" w:cs="Arial"/>
          <w:sz w:val="24"/>
          <w:szCs w:val="24"/>
        </w:rPr>
        <w:t>The sociological factors previously mentioned should also be complemented by the fact that COVID-19 is a relevant and recent global event that has had a sociological impact on children that may have exacerbated the severity of these factors. The Delphi study (Welsh Government, 2021) highlights some of the long-term sociological effects that may or may not be experienced by children. The study found that children who previously faced sociological disadvantage were more likely to be adversely affected by the pandemic, regardless of their developmental status (Gupta &amp; Jawanda, 2020). Due to the pandemic, these families had fewer support services available, such as school and nursery closings, as well as a complete shutdown of social activities or hobbies (</w:t>
      </w:r>
      <w:proofErr w:type="spellStart"/>
      <w:r w:rsidRPr="00616254">
        <w:rPr>
          <w:rFonts w:ascii="Arial" w:hAnsi="Arial" w:cs="Arial"/>
          <w:sz w:val="24"/>
          <w:szCs w:val="24"/>
        </w:rPr>
        <w:t>Silton</w:t>
      </w:r>
      <w:proofErr w:type="spellEnd"/>
      <w:r w:rsidRPr="00616254">
        <w:rPr>
          <w:rFonts w:ascii="Arial" w:hAnsi="Arial" w:cs="Arial"/>
          <w:sz w:val="24"/>
          <w:szCs w:val="24"/>
        </w:rPr>
        <w:t>, 2022).</w:t>
      </w:r>
    </w:p>
    <w:p w14:paraId="38754A0B" w14:textId="4C12BB9E" w:rsidR="003C1550" w:rsidRPr="00616254" w:rsidRDefault="003C1550" w:rsidP="00616254">
      <w:pPr>
        <w:spacing w:line="360" w:lineRule="auto"/>
        <w:rPr>
          <w:rFonts w:ascii="Arial" w:hAnsi="Arial" w:cs="Arial"/>
          <w:sz w:val="24"/>
          <w:szCs w:val="24"/>
        </w:rPr>
      </w:pPr>
      <w:r w:rsidRPr="00616254">
        <w:rPr>
          <w:rFonts w:ascii="Arial" w:hAnsi="Arial" w:cs="Arial"/>
          <w:sz w:val="24"/>
          <w:szCs w:val="24"/>
        </w:rPr>
        <w:t>Further, as an additional consequence of COVID, some children were adversely affected by furloughs, which may have further exacerbated the negative effects of sociological impacts on children. In contrast, other children benefitted from spending more time with caregivers, particularly those whose parents worked from home or were critical workers (Mehta, et al., 2022). According to the Delphi study (Welsh government, 2021), early childhood practitioners should understand each child's and family's specific experiences in order to provide appropriate support. Experts suggest that COVID-19 may adversely affect young children under the age of five. In order to mitigate the long-term impacts of these sociological issues and the effects they will have on children, strategies are urgently needed (Ludwig &amp; Phillips, 2007).</w:t>
      </w:r>
    </w:p>
    <w:p w14:paraId="364C5434" w14:textId="0725B162" w:rsidR="003C1550" w:rsidRPr="00616254" w:rsidRDefault="003C1550" w:rsidP="00616254">
      <w:pPr>
        <w:spacing w:line="360" w:lineRule="auto"/>
        <w:rPr>
          <w:rFonts w:ascii="Arial" w:hAnsi="Arial" w:cs="Arial"/>
          <w:sz w:val="24"/>
          <w:szCs w:val="24"/>
        </w:rPr>
      </w:pPr>
      <w:r w:rsidRPr="00616254">
        <w:rPr>
          <w:rFonts w:ascii="Arial" w:hAnsi="Arial" w:cs="Arial"/>
          <w:sz w:val="24"/>
          <w:szCs w:val="24"/>
        </w:rPr>
        <w:lastRenderedPageBreak/>
        <w:t>It is anticipated that the long-term effects will be primarily on existing low-income families that were already experiencing food insecurity prior to the pandemic, poor housing, and limited access to healthcare, which will negatively impact the mental and physical health of their children (</w:t>
      </w:r>
      <w:proofErr w:type="spellStart"/>
      <w:r w:rsidRPr="00616254">
        <w:rPr>
          <w:rFonts w:ascii="Arial" w:hAnsi="Arial" w:cs="Arial"/>
          <w:sz w:val="24"/>
          <w:szCs w:val="24"/>
        </w:rPr>
        <w:t>Kuhfeld</w:t>
      </w:r>
      <w:proofErr w:type="spellEnd"/>
      <w:r w:rsidRPr="00616254">
        <w:rPr>
          <w:rFonts w:ascii="Arial" w:hAnsi="Arial" w:cs="Arial"/>
          <w:sz w:val="24"/>
          <w:szCs w:val="24"/>
        </w:rPr>
        <w:t xml:space="preserve">, et al., 2020; Bradshaw, 2019). As suggested by the Welsh Government (2020) and Cameron et al. (2018), early childhood practitioners should provide support and resources to families through things such as regular school </w:t>
      </w:r>
      <w:r w:rsidRPr="00616254">
        <w:rPr>
          <w:rFonts w:ascii="Arial" w:hAnsi="Arial" w:cs="Arial"/>
          <w:sz w:val="24"/>
          <w:szCs w:val="24"/>
        </w:rPr>
        <w:t>counselling</w:t>
      </w:r>
      <w:r w:rsidRPr="00616254">
        <w:rPr>
          <w:rFonts w:ascii="Arial" w:hAnsi="Arial" w:cs="Arial"/>
          <w:sz w:val="24"/>
          <w:szCs w:val="24"/>
        </w:rPr>
        <w:t xml:space="preserve"> and wellbeing checks. Communication and positive relationships between early childhood professionals can benefit children and their families (Bradshaw &amp; Richardson, 2009; Clark et al., 2019).</w:t>
      </w:r>
    </w:p>
    <w:p w14:paraId="26A265C2" w14:textId="5A1F1619" w:rsidR="003C1550" w:rsidRPr="00616254" w:rsidRDefault="003C1550" w:rsidP="00616254">
      <w:pPr>
        <w:spacing w:line="360" w:lineRule="auto"/>
        <w:rPr>
          <w:rFonts w:ascii="Arial" w:hAnsi="Arial" w:cs="Arial"/>
          <w:sz w:val="24"/>
          <w:szCs w:val="24"/>
        </w:rPr>
      </w:pPr>
      <w:r w:rsidRPr="00616254">
        <w:rPr>
          <w:rFonts w:ascii="Arial" w:hAnsi="Arial" w:cs="Arial"/>
          <w:sz w:val="24"/>
          <w:szCs w:val="24"/>
        </w:rPr>
        <w:t>When communication is effective, it is believed that early identification and addressing of issues and concerns can reduce the potential impact on a child's well-being (Shonkoff &amp; Fischer, 2013; Moser, et al., 2017). Additionally, practitioners can provide children with opportunities to develop their social and emotional skills, which may offset the detrimental effects of adverse sociological factors (O'Connor et al., 2020). Early childhood practitioners are key in inspiring change and mitigating the consequences of sociological factors of covid on children (Rodd, 2015). In order to positively impact children's development and well-being, practitioners must promote equality and inclusion, address poverty, foster positive relationships, and develop social and emotional skills (Rodgers &amp; Wilmot, 2012).</w:t>
      </w:r>
    </w:p>
    <w:p w14:paraId="4593B370" w14:textId="0AC71891" w:rsidR="003C1550" w:rsidRPr="00616254" w:rsidRDefault="003C1550" w:rsidP="00616254">
      <w:pPr>
        <w:spacing w:line="360" w:lineRule="auto"/>
        <w:rPr>
          <w:rFonts w:ascii="Arial" w:hAnsi="Arial" w:cs="Arial"/>
          <w:sz w:val="24"/>
          <w:szCs w:val="24"/>
        </w:rPr>
      </w:pPr>
      <w:r w:rsidRPr="00616254">
        <w:rPr>
          <w:rFonts w:ascii="Arial" w:hAnsi="Arial" w:cs="Arial"/>
          <w:sz w:val="24"/>
          <w:szCs w:val="24"/>
        </w:rPr>
        <w:t>A study of Reggio Emilia's response to sociological impacts post-World War II could serve as a model for how to move forward post-pandemic as a Catalytic leader. A new culture was required following the war in order to resist fascism, which had gained a foothold in Italy during the decades before the war (Thornton &amp; Brunton, 2005). A key aspect of Reggio Emilia's catalytic leadership was demonstrated through the establishment of schools for young children as part of this initiative. Children's relationships with others, teachers, parents, and the classroom environment were emphasized as important aspects of their approach</w:t>
      </w:r>
      <w:r w:rsidR="00D51699" w:rsidRPr="00616254">
        <w:rPr>
          <w:rFonts w:ascii="Arial" w:hAnsi="Arial" w:cs="Arial"/>
          <w:sz w:val="24"/>
          <w:szCs w:val="24"/>
        </w:rPr>
        <w:t xml:space="preserve"> (Valentine, 2006)</w:t>
      </w:r>
      <w:r w:rsidRPr="00616254">
        <w:rPr>
          <w:rFonts w:ascii="Arial" w:hAnsi="Arial" w:cs="Arial"/>
          <w:sz w:val="24"/>
          <w:szCs w:val="24"/>
        </w:rPr>
        <w:t>. Ultimately, the purpose of documenting the children's learning is to convey a strong impression of an intelligent child, as well as to demonstrate their ability to think critically and to theorize</w:t>
      </w:r>
      <w:r w:rsidR="00D51699" w:rsidRPr="00616254">
        <w:rPr>
          <w:rFonts w:ascii="Arial" w:hAnsi="Arial" w:cs="Arial"/>
          <w:sz w:val="24"/>
          <w:szCs w:val="24"/>
        </w:rPr>
        <w:t xml:space="preserve"> (</w:t>
      </w:r>
      <w:r w:rsidR="00D51699" w:rsidRPr="00616254">
        <w:rPr>
          <w:rFonts w:ascii="Arial" w:hAnsi="Arial" w:cs="Arial"/>
          <w:sz w:val="24"/>
          <w:szCs w:val="24"/>
        </w:rPr>
        <w:t>Wien</w:t>
      </w:r>
      <w:r w:rsidR="00D51699" w:rsidRPr="00616254">
        <w:rPr>
          <w:rFonts w:ascii="Arial" w:hAnsi="Arial" w:cs="Arial"/>
          <w:sz w:val="24"/>
          <w:szCs w:val="24"/>
        </w:rPr>
        <w:t xml:space="preserve">, </w:t>
      </w:r>
      <w:r w:rsidR="00D51699" w:rsidRPr="00616254">
        <w:rPr>
          <w:rFonts w:ascii="Arial" w:hAnsi="Arial" w:cs="Arial"/>
          <w:sz w:val="24"/>
          <w:szCs w:val="24"/>
        </w:rPr>
        <w:t>2008</w:t>
      </w:r>
      <w:r w:rsidR="00D51699" w:rsidRPr="00616254">
        <w:rPr>
          <w:rFonts w:ascii="Arial" w:hAnsi="Arial" w:cs="Arial"/>
          <w:sz w:val="24"/>
          <w:szCs w:val="24"/>
        </w:rPr>
        <w:t>)</w:t>
      </w:r>
      <w:r w:rsidRPr="00616254">
        <w:rPr>
          <w:rFonts w:ascii="Arial" w:hAnsi="Arial" w:cs="Arial"/>
          <w:sz w:val="24"/>
          <w:szCs w:val="24"/>
        </w:rPr>
        <w:t xml:space="preserve">.  Children can accomplish this through project-based learning, through which they explore their world, decide on what to investigate, and then work together to make sense of what they have learned. Children express themselves in many ways, which are referred to as "100 </w:t>
      </w:r>
      <w:r w:rsidRPr="00616254">
        <w:rPr>
          <w:rFonts w:ascii="Arial" w:hAnsi="Arial" w:cs="Arial"/>
          <w:sz w:val="24"/>
          <w:szCs w:val="24"/>
        </w:rPr>
        <w:lastRenderedPageBreak/>
        <w:t xml:space="preserve">Languages" </w:t>
      </w:r>
      <w:r w:rsidR="00D51699" w:rsidRPr="00616254">
        <w:rPr>
          <w:rFonts w:ascii="Arial" w:hAnsi="Arial" w:cs="Arial"/>
          <w:sz w:val="24"/>
          <w:szCs w:val="24"/>
        </w:rPr>
        <w:t>(</w:t>
      </w:r>
      <w:proofErr w:type="spellStart"/>
      <w:r w:rsidR="00D51699" w:rsidRPr="00616254">
        <w:rPr>
          <w:rFonts w:ascii="Arial" w:hAnsi="Arial" w:cs="Arial"/>
          <w:sz w:val="24"/>
          <w:szCs w:val="24"/>
        </w:rPr>
        <w:t>Tijnagel-Schoenaker</w:t>
      </w:r>
      <w:proofErr w:type="spellEnd"/>
      <w:r w:rsidR="00D51699" w:rsidRPr="00616254">
        <w:rPr>
          <w:rFonts w:ascii="Arial" w:hAnsi="Arial" w:cs="Arial"/>
          <w:sz w:val="24"/>
          <w:szCs w:val="24"/>
        </w:rPr>
        <w:t>, 2018</w:t>
      </w:r>
      <w:r w:rsidR="00D51699" w:rsidRPr="00616254">
        <w:rPr>
          <w:rFonts w:ascii="Arial" w:hAnsi="Arial" w:cs="Arial"/>
          <w:sz w:val="24"/>
          <w:szCs w:val="24"/>
        </w:rPr>
        <w:t xml:space="preserve">), </w:t>
      </w:r>
      <w:r w:rsidRPr="00616254">
        <w:rPr>
          <w:rFonts w:ascii="Arial" w:hAnsi="Arial" w:cs="Arial"/>
          <w:sz w:val="24"/>
          <w:szCs w:val="24"/>
        </w:rPr>
        <w:t>as well as the importance of visual arts and active listening to ensure that the voices, thoughts, and opinions of children are valued as much as those of practitioners (Edwards, Gandini &amp; Forman, 1998). These aspects can be applied to mitigate the effects of a post-pandemic world, as they were during the post-World War II era.</w:t>
      </w:r>
    </w:p>
    <w:p w14:paraId="03C7F56F" w14:textId="4CC489F3" w:rsidR="003C1550" w:rsidRPr="00616254" w:rsidRDefault="003C1550" w:rsidP="00616254">
      <w:pPr>
        <w:spacing w:line="360" w:lineRule="auto"/>
        <w:rPr>
          <w:rFonts w:ascii="Arial" w:hAnsi="Arial" w:cs="Arial"/>
          <w:sz w:val="24"/>
          <w:szCs w:val="24"/>
        </w:rPr>
      </w:pPr>
      <w:r w:rsidRPr="00616254">
        <w:rPr>
          <w:rFonts w:ascii="Arial" w:hAnsi="Arial" w:cs="Arial"/>
          <w:sz w:val="24"/>
          <w:szCs w:val="24"/>
        </w:rPr>
        <w:t>The catalytic leader must have a thorough understanding of these factors in order to be a catalyst for effective change, as Reggio Emilia has demonstrated is possible. In order to truly benefit the children, one must understand these factors</w:t>
      </w:r>
      <w:r w:rsidR="00D51699" w:rsidRPr="00616254">
        <w:rPr>
          <w:rFonts w:ascii="Arial" w:hAnsi="Arial" w:cs="Arial"/>
          <w:sz w:val="24"/>
          <w:szCs w:val="24"/>
        </w:rPr>
        <w:t xml:space="preserve"> (</w:t>
      </w:r>
      <w:proofErr w:type="spellStart"/>
      <w:r w:rsidR="00D51699" w:rsidRPr="00616254">
        <w:rPr>
          <w:rFonts w:ascii="Arial" w:hAnsi="Arial" w:cs="Arial"/>
          <w:sz w:val="24"/>
          <w:szCs w:val="24"/>
        </w:rPr>
        <w:t>Cadwell</w:t>
      </w:r>
      <w:proofErr w:type="spellEnd"/>
      <w:r w:rsidR="00D51699" w:rsidRPr="00616254">
        <w:rPr>
          <w:rFonts w:ascii="Arial" w:hAnsi="Arial" w:cs="Arial"/>
          <w:sz w:val="24"/>
          <w:szCs w:val="24"/>
        </w:rPr>
        <w:t>, 1998)</w:t>
      </w:r>
      <w:r w:rsidRPr="00616254">
        <w:rPr>
          <w:rFonts w:ascii="Arial" w:hAnsi="Arial" w:cs="Arial"/>
          <w:sz w:val="24"/>
          <w:szCs w:val="24"/>
        </w:rPr>
        <w:t xml:space="preserve">. In the absence of this, leaders of early childhood education may have a difficult time dealing with children from complex backgrounds. As an example, the socioeconomic status of a family can </w:t>
      </w:r>
      <w:proofErr w:type="gramStart"/>
      <w:r w:rsidRPr="00616254">
        <w:rPr>
          <w:rFonts w:ascii="Arial" w:hAnsi="Arial" w:cs="Arial"/>
          <w:sz w:val="24"/>
          <w:szCs w:val="24"/>
        </w:rPr>
        <w:t>influence</w:t>
      </w:r>
      <w:proofErr w:type="gramEnd"/>
      <w:r w:rsidRPr="00616254">
        <w:rPr>
          <w:rFonts w:ascii="Arial" w:hAnsi="Arial" w:cs="Arial"/>
          <w:sz w:val="24"/>
          <w:szCs w:val="24"/>
        </w:rPr>
        <w:t xml:space="preserve"> the level of care and educational opportunities a child receives (Bradley &amp; </w:t>
      </w:r>
      <w:proofErr w:type="spellStart"/>
      <w:r w:rsidRPr="00616254">
        <w:rPr>
          <w:rFonts w:ascii="Arial" w:hAnsi="Arial" w:cs="Arial"/>
          <w:sz w:val="24"/>
          <w:szCs w:val="24"/>
        </w:rPr>
        <w:t>Corwyn</w:t>
      </w:r>
      <w:proofErr w:type="spellEnd"/>
      <w:r w:rsidRPr="00616254">
        <w:rPr>
          <w:rFonts w:ascii="Arial" w:hAnsi="Arial" w:cs="Arial"/>
          <w:sz w:val="24"/>
          <w:szCs w:val="24"/>
        </w:rPr>
        <w:t>, 2002). In addition to gender stereotypes and biases, both boys and girls face limitations in terms of opportunities and experiences (Epstein, 2014).</w:t>
      </w:r>
    </w:p>
    <w:p w14:paraId="330C9FBD" w14:textId="5B2EDC61" w:rsidR="003C1550" w:rsidRPr="00616254" w:rsidRDefault="003C1550" w:rsidP="00616254">
      <w:pPr>
        <w:spacing w:line="360" w:lineRule="auto"/>
        <w:rPr>
          <w:rFonts w:ascii="Arial" w:hAnsi="Arial" w:cs="Arial"/>
          <w:sz w:val="24"/>
          <w:szCs w:val="24"/>
        </w:rPr>
      </w:pPr>
      <w:r w:rsidRPr="00616254">
        <w:rPr>
          <w:rFonts w:ascii="Arial" w:hAnsi="Arial" w:cs="Arial"/>
          <w:sz w:val="24"/>
          <w:szCs w:val="24"/>
        </w:rPr>
        <w:t>In order to create an inclusive environment that celebrates diversity and supports the learning and development of all children, leaders should be aware of these factors. Leadership in early childhood education requires navigating the expectations and demands of families (DeVries, 2006). Communication skills and the ability to build relationships with families are essential to creating a partnership in children's learning. As well as being aware of the broader societal issues that impact children and their families, it is essential that leaders in early childhood education be cognizant of these issues. According to Shonkoff &amp; Garner (2012), poverty, unemployment, and social inequality can negatively impact the wellbeing and development of children. Families and the broader community must receive support and resources from leaders in order to address these challenges.</w:t>
      </w:r>
    </w:p>
    <w:p w14:paraId="0780D20C" w14:textId="297A8E09" w:rsidR="00FC40A9" w:rsidRPr="00616254" w:rsidRDefault="003C1550" w:rsidP="00616254">
      <w:pPr>
        <w:spacing w:line="360" w:lineRule="auto"/>
        <w:rPr>
          <w:rFonts w:ascii="Arial" w:hAnsi="Arial" w:cs="Arial"/>
          <w:sz w:val="24"/>
          <w:szCs w:val="24"/>
        </w:rPr>
      </w:pPr>
      <w:r w:rsidRPr="00616254">
        <w:rPr>
          <w:rFonts w:ascii="Arial" w:hAnsi="Arial" w:cs="Arial"/>
          <w:sz w:val="24"/>
          <w:szCs w:val="24"/>
        </w:rPr>
        <w:t>Considering the diverse needs of children and their families, effective communication skills, and a commitment to addressing broader societal issues are all essential for being a catalytic leader in an early childhood setting</w:t>
      </w:r>
      <w:r w:rsidR="00D51699" w:rsidRPr="00616254">
        <w:rPr>
          <w:rFonts w:ascii="Arial" w:hAnsi="Arial" w:cs="Arial"/>
          <w:sz w:val="24"/>
          <w:szCs w:val="24"/>
        </w:rPr>
        <w:t xml:space="preserve"> (Clark, 2010)</w:t>
      </w:r>
      <w:r w:rsidRPr="00616254">
        <w:rPr>
          <w:rFonts w:ascii="Arial" w:hAnsi="Arial" w:cs="Arial"/>
          <w:sz w:val="24"/>
          <w:szCs w:val="24"/>
        </w:rPr>
        <w:t>. By recognizing these challenges and addressing them, early childhood education leaders can provide a positive environment for children's learning and development.</w:t>
      </w:r>
    </w:p>
    <w:p w14:paraId="2A4BD9B4" w14:textId="3AEB9127" w:rsidR="00F153C3" w:rsidRPr="00616254" w:rsidRDefault="00F153C3" w:rsidP="00616254">
      <w:pPr>
        <w:spacing w:line="360" w:lineRule="auto"/>
        <w:rPr>
          <w:rFonts w:ascii="Arial" w:hAnsi="Arial" w:cs="Arial"/>
          <w:sz w:val="24"/>
          <w:szCs w:val="24"/>
        </w:rPr>
      </w:pPr>
    </w:p>
    <w:p w14:paraId="1DEBD01A" w14:textId="77777777" w:rsidR="00EE1C68" w:rsidRPr="00616254" w:rsidRDefault="00EE1C68" w:rsidP="00616254">
      <w:pPr>
        <w:spacing w:line="360" w:lineRule="auto"/>
        <w:rPr>
          <w:rFonts w:ascii="Arial" w:hAnsi="Arial" w:cs="Arial"/>
          <w:b/>
          <w:bCs/>
          <w:sz w:val="24"/>
          <w:szCs w:val="24"/>
        </w:rPr>
      </w:pPr>
    </w:p>
    <w:p w14:paraId="2BD67623" w14:textId="0D30388F" w:rsidR="001E35DD" w:rsidRPr="00616254" w:rsidRDefault="001E35DD" w:rsidP="00616254">
      <w:pPr>
        <w:spacing w:line="360" w:lineRule="auto"/>
        <w:jc w:val="center"/>
        <w:rPr>
          <w:rFonts w:ascii="Arial" w:hAnsi="Arial" w:cs="Arial"/>
          <w:b/>
          <w:bCs/>
          <w:sz w:val="24"/>
          <w:szCs w:val="24"/>
          <w:u w:val="single"/>
        </w:rPr>
      </w:pPr>
      <w:r w:rsidRPr="00616254">
        <w:rPr>
          <w:rFonts w:ascii="Arial" w:hAnsi="Arial" w:cs="Arial"/>
          <w:b/>
          <w:bCs/>
          <w:sz w:val="24"/>
          <w:szCs w:val="24"/>
          <w:u w:val="single"/>
        </w:rPr>
        <w:lastRenderedPageBreak/>
        <w:t>Part Two</w:t>
      </w:r>
    </w:p>
    <w:p w14:paraId="6B02AED1" w14:textId="079B1FA7" w:rsidR="00416FDD" w:rsidRPr="00616254" w:rsidRDefault="001E35DD" w:rsidP="00616254">
      <w:pPr>
        <w:spacing w:line="360" w:lineRule="auto"/>
        <w:jc w:val="center"/>
        <w:rPr>
          <w:rFonts w:ascii="Arial" w:hAnsi="Arial" w:cs="Arial"/>
          <w:b/>
          <w:bCs/>
          <w:sz w:val="24"/>
          <w:szCs w:val="24"/>
          <w:u w:val="single"/>
        </w:rPr>
      </w:pPr>
      <w:r w:rsidRPr="00616254">
        <w:rPr>
          <w:rFonts w:ascii="Arial" w:hAnsi="Arial" w:cs="Arial"/>
          <w:b/>
          <w:bCs/>
          <w:sz w:val="24"/>
          <w:szCs w:val="24"/>
          <w:u w:val="single"/>
        </w:rPr>
        <w:t>A</w:t>
      </w:r>
      <w:r w:rsidR="00184616" w:rsidRPr="00616254">
        <w:rPr>
          <w:rFonts w:ascii="Arial" w:hAnsi="Arial" w:cs="Arial"/>
          <w:b/>
          <w:bCs/>
          <w:sz w:val="24"/>
          <w:szCs w:val="24"/>
          <w:u w:val="single"/>
        </w:rPr>
        <w:t xml:space="preserve"> critical exploration of a report or publication by the children’s commissioner for Wales and how it may/has had an impact on early </w:t>
      </w:r>
      <w:r w:rsidR="00EE1C68" w:rsidRPr="00616254">
        <w:rPr>
          <w:rFonts w:ascii="Arial" w:hAnsi="Arial" w:cs="Arial"/>
          <w:b/>
          <w:bCs/>
          <w:sz w:val="24"/>
          <w:szCs w:val="24"/>
          <w:u w:val="single"/>
        </w:rPr>
        <w:t>childhood.</w:t>
      </w:r>
    </w:p>
    <w:p w14:paraId="276315BB" w14:textId="77777777" w:rsidR="00FB2C88" w:rsidRPr="00616254" w:rsidRDefault="00FB2C88" w:rsidP="00616254">
      <w:pPr>
        <w:spacing w:line="360" w:lineRule="auto"/>
        <w:rPr>
          <w:rFonts w:ascii="Arial" w:hAnsi="Arial" w:cs="Arial"/>
          <w:sz w:val="24"/>
          <w:szCs w:val="24"/>
        </w:rPr>
      </w:pPr>
      <w:r w:rsidRPr="00616254">
        <w:rPr>
          <w:rFonts w:ascii="Arial" w:hAnsi="Arial" w:cs="Arial"/>
          <w:sz w:val="24"/>
          <w:szCs w:val="24"/>
        </w:rPr>
        <w:t>In 2001, the Children's Commissioner for Wales Act established an independent office. According to Clarke (2002), the Children's Commissioner in Wales is responsible for protecting and promoting the rights of children. It is the responsibility of a commissioner to advocate on behalf of children and young people in order to ensure that their voices are heard and that their opinions are considered in decision-making processes pertaining to children and young people (Williams, 2013). In addition to monitoring the implementation of the United Nations Convention on the Rights of the Child (UNICEF, 1989) in Wales, the commissioner is also responsible for raising awareness of children's rights (United Nations General Assembly, 1989).</w:t>
      </w:r>
    </w:p>
    <w:p w14:paraId="1F4575C3" w14:textId="77777777" w:rsidR="00FB2C88" w:rsidRPr="00616254" w:rsidRDefault="00FB2C88" w:rsidP="00616254">
      <w:pPr>
        <w:spacing w:line="360" w:lineRule="auto"/>
        <w:rPr>
          <w:rFonts w:ascii="Arial" w:hAnsi="Arial" w:cs="Arial"/>
          <w:sz w:val="24"/>
          <w:szCs w:val="24"/>
        </w:rPr>
      </w:pPr>
    </w:p>
    <w:p w14:paraId="52C40868" w14:textId="3A1D7C5F" w:rsidR="00FB2C88" w:rsidRPr="00616254" w:rsidRDefault="00FB2C88" w:rsidP="00616254">
      <w:pPr>
        <w:spacing w:line="360" w:lineRule="auto"/>
        <w:rPr>
          <w:rFonts w:ascii="Arial" w:hAnsi="Arial" w:cs="Arial"/>
          <w:sz w:val="24"/>
          <w:szCs w:val="24"/>
        </w:rPr>
      </w:pPr>
      <w:r w:rsidRPr="00616254">
        <w:rPr>
          <w:rFonts w:ascii="Arial" w:hAnsi="Arial" w:cs="Arial"/>
          <w:sz w:val="24"/>
          <w:szCs w:val="24"/>
        </w:rPr>
        <w:t>According to Rees (2006), the Children's Commissioner's primary responsibility is to provide advice and guidance to the Welsh Government and other public authorities on matters relating to children's rights and welfare. As well as these reports, the commissioner prepares recommendations on a variety of topics that concern children in Wales, including child poverty, mental health, and educational accessibility (</w:t>
      </w:r>
      <w:proofErr w:type="spellStart"/>
      <w:r w:rsidRPr="00616254">
        <w:rPr>
          <w:rFonts w:ascii="Arial" w:hAnsi="Arial" w:cs="Arial"/>
          <w:sz w:val="24"/>
          <w:szCs w:val="24"/>
        </w:rPr>
        <w:t>Childrens</w:t>
      </w:r>
      <w:proofErr w:type="spellEnd"/>
      <w:r w:rsidRPr="00616254">
        <w:rPr>
          <w:rFonts w:ascii="Arial" w:hAnsi="Arial" w:cs="Arial"/>
          <w:sz w:val="24"/>
          <w:szCs w:val="24"/>
        </w:rPr>
        <w:t xml:space="preserve"> Commissioner for Wales, n.d.).</w:t>
      </w:r>
    </w:p>
    <w:p w14:paraId="5C466F1A" w14:textId="18391CF5" w:rsidR="00FB2C88" w:rsidRPr="00616254" w:rsidRDefault="00FB2C88" w:rsidP="00616254">
      <w:pPr>
        <w:spacing w:line="360" w:lineRule="auto"/>
        <w:rPr>
          <w:rFonts w:ascii="Arial" w:hAnsi="Arial" w:cs="Arial"/>
          <w:sz w:val="24"/>
          <w:szCs w:val="24"/>
        </w:rPr>
      </w:pPr>
      <w:r w:rsidRPr="00616254">
        <w:rPr>
          <w:rFonts w:ascii="Arial" w:hAnsi="Arial" w:cs="Arial"/>
          <w:sz w:val="24"/>
          <w:szCs w:val="24"/>
        </w:rPr>
        <w:t xml:space="preserve">Aside from providing direct support and advocacy, the commissioner's office also provides direct assistance and opportunities to children and young people experiencing a wide range of difficulties, including educational difficulties, family breakdowns, and involvement with criminal justice systems (Alderson &amp; Morrow, 2011; Jones, 2019). It is the responsibility of the Children's Commissioner for Wales to ensure that children's rights and development are </w:t>
      </w:r>
      <w:proofErr w:type="gramStart"/>
      <w:r w:rsidRPr="00616254">
        <w:rPr>
          <w:rFonts w:ascii="Arial" w:hAnsi="Arial" w:cs="Arial"/>
          <w:sz w:val="24"/>
          <w:szCs w:val="24"/>
        </w:rPr>
        <w:t>taken into account</w:t>
      </w:r>
      <w:proofErr w:type="gramEnd"/>
      <w:r w:rsidRPr="00616254">
        <w:rPr>
          <w:rFonts w:ascii="Arial" w:hAnsi="Arial" w:cs="Arial"/>
          <w:sz w:val="24"/>
          <w:szCs w:val="24"/>
        </w:rPr>
        <w:t xml:space="preserve"> when making policies and making decisions. A lack of a commissioner may provide difficulties for children and young people in voicing their concerns. As a result of the commissioner, they are provided with an independent and impartial voice (Leach, 2016; Lundy &amp; McEvoy, 2012). In addition to promoting awareness of children's rights, the commissioner must also ensure that these rights are respected and protected. By engaging with children and young people, the commissioner is able to identify areas in which children and young people's rights are not being fully realized and work with </w:t>
      </w:r>
      <w:r w:rsidRPr="00616254">
        <w:rPr>
          <w:rFonts w:ascii="Arial" w:hAnsi="Arial" w:cs="Arial"/>
          <w:sz w:val="24"/>
          <w:szCs w:val="24"/>
        </w:rPr>
        <w:lastRenderedPageBreak/>
        <w:t>relevant stakeholders to address these issues (Hodkinson, 2012). Those who work with children have a primary responsibility to promote and protect their rights and welfare (National society for the prevention of cruelty to children, 2018). Children's Commissioner for Wales (2018) provides an assessment of the current state of play and leisure opportunities for children in Wales in the report "Playful Futures: A review of play and leisure opportunities for children in Wales" (Playful Futures, 2016). The report suggests that policymakers should prioritize ensuring children have access to safe and accessible play spaces so they can develop physically, emotionally, and cognitively (Brock, Dodds, &amp; Jarvis, 2019). To support its arguments, the report cites several research studies and policy documents. Research has shown that play has a significant impact on children's mental health and wellbeing. Studies have also shown that play enhances children's brain development (Children's Commissioner for Wales, 2018).</w:t>
      </w:r>
    </w:p>
    <w:p w14:paraId="15212911" w14:textId="77777777" w:rsidR="00FB2C88" w:rsidRPr="00616254" w:rsidRDefault="00FB2C88" w:rsidP="00616254">
      <w:pPr>
        <w:spacing w:line="360" w:lineRule="auto"/>
        <w:rPr>
          <w:rFonts w:ascii="Arial" w:hAnsi="Arial" w:cs="Arial"/>
          <w:sz w:val="24"/>
          <w:szCs w:val="24"/>
        </w:rPr>
      </w:pPr>
      <w:r w:rsidRPr="00616254">
        <w:rPr>
          <w:rFonts w:ascii="Arial" w:hAnsi="Arial" w:cs="Arial"/>
          <w:sz w:val="24"/>
          <w:szCs w:val="24"/>
        </w:rPr>
        <w:t xml:space="preserve">The report has had numerous impacts, including increasing awareness of the importance of providing play and leisure opportunities for children in Wales. The importance of play spaces for children's development has been widely discussed in the media over the past few years (BBC News, 2018). Upon publication of the report, the Welsh Government also adopted a new play policy aimed at improving access to play spaces for children across the country (Welsh Government, 2019; Gustafsson &amp; </w:t>
      </w:r>
      <w:proofErr w:type="spellStart"/>
      <w:r w:rsidRPr="00616254">
        <w:rPr>
          <w:rFonts w:ascii="Arial" w:hAnsi="Arial" w:cs="Arial"/>
          <w:sz w:val="24"/>
          <w:szCs w:val="24"/>
        </w:rPr>
        <w:t>Farver</w:t>
      </w:r>
      <w:proofErr w:type="spellEnd"/>
      <w:r w:rsidRPr="00616254">
        <w:rPr>
          <w:rFonts w:ascii="Arial" w:hAnsi="Arial" w:cs="Arial"/>
          <w:sz w:val="24"/>
          <w:szCs w:val="24"/>
        </w:rPr>
        <w:t>-Vestergaard, 2019). The "Playful Futures report" published by the Children's Commissioner for Wales has had a significant impact on policy and practice in Wales regarding early childhood development. The report, however, also highlights some important challenges, including a lack of funding for play provision, which hinders access to quality play opportunities, particularly for children from disadvantaged backgrounds (Children's Commissioner for Wales, 2019). According to the report, play funding should be viewed as an investment in the development and well-being of children in order to avoid negative impacts resulting in a lack of play for children, such as irritability from too much time spent indoors and loneliness (Gray, 2011). In this regard, a national play strategy should be developed to ensure that every child in Wales has access to quality play opportunities.</w:t>
      </w:r>
    </w:p>
    <w:p w14:paraId="343124E1" w14:textId="77777777" w:rsidR="00FB2C88" w:rsidRPr="00616254" w:rsidRDefault="00FB2C88" w:rsidP="00616254">
      <w:pPr>
        <w:spacing w:line="360" w:lineRule="auto"/>
        <w:rPr>
          <w:rFonts w:ascii="Arial" w:hAnsi="Arial" w:cs="Arial"/>
          <w:sz w:val="24"/>
          <w:szCs w:val="24"/>
        </w:rPr>
      </w:pPr>
    </w:p>
    <w:p w14:paraId="7EE5DCAA" w14:textId="6218B1AD" w:rsidR="00FB2C88" w:rsidRPr="00616254" w:rsidRDefault="00FB2C88" w:rsidP="00616254">
      <w:pPr>
        <w:spacing w:line="360" w:lineRule="auto"/>
        <w:rPr>
          <w:rFonts w:ascii="Arial" w:hAnsi="Arial" w:cs="Arial"/>
          <w:sz w:val="24"/>
          <w:szCs w:val="24"/>
        </w:rPr>
      </w:pPr>
      <w:r w:rsidRPr="00616254">
        <w:rPr>
          <w:rFonts w:ascii="Arial" w:hAnsi="Arial" w:cs="Arial"/>
          <w:sz w:val="24"/>
          <w:szCs w:val="24"/>
        </w:rPr>
        <w:lastRenderedPageBreak/>
        <w:t>Among the challenges identified in the report is the evolution of play, particularly in the digital age. While acknowledging the benefits of technology for play, this report also highlights health concerns associated with screen time among children (Children's Commissioner for Wales, 2019; Gray, 2011). In order to support children's development in a number of ways, a variety of play opportunities should be provided, balancing traditional forms of play with digital forms of play (Hughes, 2011).</w:t>
      </w:r>
    </w:p>
    <w:p w14:paraId="2674F239" w14:textId="68652F68" w:rsidR="00FB2C88" w:rsidRPr="00616254" w:rsidRDefault="00FB2C88" w:rsidP="00616254">
      <w:pPr>
        <w:spacing w:line="360" w:lineRule="auto"/>
        <w:rPr>
          <w:rFonts w:ascii="Arial" w:hAnsi="Arial" w:cs="Arial"/>
          <w:sz w:val="24"/>
          <w:szCs w:val="24"/>
        </w:rPr>
      </w:pPr>
      <w:r w:rsidRPr="00616254">
        <w:rPr>
          <w:rFonts w:ascii="Arial" w:hAnsi="Arial" w:cs="Arial"/>
          <w:sz w:val="24"/>
          <w:szCs w:val="24"/>
        </w:rPr>
        <w:t>The report emphasizes the importance of providing children with opportunities for play as much as possible. It is important to include children in the decision-making processes pertaining to play (Sutton-Smith, 1997), as they are the experts on their own play preferences and needs (</w:t>
      </w:r>
      <w:proofErr w:type="spellStart"/>
      <w:r w:rsidRPr="00616254">
        <w:rPr>
          <w:rFonts w:ascii="Arial" w:hAnsi="Arial" w:cs="Arial"/>
          <w:sz w:val="24"/>
          <w:szCs w:val="24"/>
        </w:rPr>
        <w:t>Kernan</w:t>
      </w:r>
      <w:proofErr w:type="spellEnd"/>
      <w:r w:rsidRPr="00616254">
        <w:rPr>
          <w:rFonts w:ascii="Arial" w:hAnsi="Arial" w:cs="Arial"/>
          <w:sz w:val="24"/>
          <w:szCs w:val="24"/>
        </w:rPr>
        <w:t xml:space="preserve"> &amp; Mitchell, 2018; Children's Commissioner for Wales, 2019). Several challenges have arisen as a result of implementing the recommendations contained in the report. Parents and educators alike have become increasingly aware of the importance of play and outdoor spaces for the well-being of children. However, in light of the COVID-19 pandemic, the creation of safe and accessible play opportunities has become increasingly difficult (Liu, </w:t>
      </w:r>
      <w:proofErr w:type="spellStart"/>
      <w:r w:rsidRPr="00616254">
        <w:rPr>
          <w:rFonts w:ascii="Arial" w:hAnsi="Arial" w:cs="Arial"/>
          <w:sz w:val="24"/>
          <w:szCs w:val="24"/>
        </w:rPr>
        <w:t>Wyver</w:t>
      </w:r>
      <w:proofErr w:type="spellEnd"/>
      <w:r w:rsidRPr="00616254">
        <w:rPr>
          <w:rFonts w:ascii="Arial" w:hAnsi="Arial" w:cs="Arial"/>
          <w:sz w:val="24"/>
          <w:szCs w:val="24"/>
        </w:rPr>
        <w:t xml:space="preserve"> &amp; </w:t>
      </w:r>
      <w:proofErr w:type="spellStart"/>
      <w:r w:rsidRPr="00616254">
        <w:rPr>
          <w:rFonts w:ascii="Arial" w:hAnsi="Arial" w:cs="Arial"/>
          <w:sz w:val="24"/>
          <w:szCs w:val="24"/>
        </w:rPr>
        <w:t>Chutiyami</w:t>
      </w:r>
      <w:proofErr w:type="spellEnd"/>
      <w:r w:rsidRPr="00616254">
        <w:rPr>
          <w:rFonts w:ascii="Arial" w:hAnsi="Arial" w:cs="Arial"/>
          <w:sz w:val="24"/>
          <w:szCs w:val="24"/>
        </w:rPr>
        <w:t>, 2022; BBC, 2020). Moreover, many local authorities face economic challenges, which may affect the availability of funding for play programs in the future (</w:t>
      </w:r>
      <w:proofErr w:type="spellStart"/>
      <w:r w:rsidRPr="00616254">
        <w:rPr>
          <w:rFonts w:ascii="Arial" w:hAnsi="Arial" w:cs="Arial"/>
          <w:sz w:val="24"/>
          <w:szCs w:val="24"/>
        </w:rPr>
        <w:t>Sandseter</w:t>
      </w:r>
      <w:proofErr w:type="spellEnd"/>
      <w:r w:rsidRPr="00616254">
        <w:rPr>
          <w:rFonts w:ascii="Arial" w:hAnsi="Arial" w:cs="Arial"/>
          <w:sz w:val="24"/>
          <w:szCs w:val="24"/>
        </w:rPr>
        <w:t>, 2009; BBC, 2021).</w:t>
      </w:r>
    </w:p>
    <w:p w14:paraId="1F2C2114" w14:textId="6F7D3033" w:rsidR="001E35DD" w:rsidRPr="00616254" w:rsidRDefault="00FB2C88" w:rsidP="00616254">
      <w:pPr>
        <w:spacing w:line="360" w:lineRule="auto"/>
        <w:rPr>
          <w:rFonts w:ascii="Arial" w:hAnsi="Arial" w:cs="Arial"/>
          <w:sz w:val="24"/>
          <w:szCs w:val="24"/>
        </w:rPr>
      </w:pPr>
      <w:r w:rsidRPr="00616254">
        <w:rPr>
          <w:rFonts w:ascii="Arial" w:hAnsi="Arial" w:cs="Arial"/>
          <w:sz w:val="24"/>
          <w:szCs w:val="24"/>
        </w:rPr>
        <w:t>The importance of play in a child's life has long been debated, and this report contributes significantly to that debate. The paper highlights the challenges involved in providing quality play opportunities to all children in Wales (Kim, Kim, &amp; Kim, 2018). In addition, the report emphasizes the importance of involving children in the design of play opportunities and in the provision of opportunities for them to participate in them and acknowledges that play is an ever-evolving activity (</w:t>
      </w:r>
      <w:proofErr w:type="spellStart"/>
      <w:r w:rsidRPr="00616254">
        <w:rPr>
          <w:rFonts w:ascii="Arial" w:hAnsi="Arial" w:cs="Arial"/>
          <w:sz w:val="24"/>
          <w:szCs w:val="24"/>
        </w:rPr>
        <w:t>Nijhof</w:t>
      </w:r>
      <w:proofErr w:type="spellEnd"/>
      <w:r w:rsidRPr="00616254">
        <w:rPr>
          <w:rFonts w:ascii="Arial" w:hAnsi="Arial" w:cs="Arial"/>
          <w:sz w:val="24"/>
          <w:szCs w:val="24"/>
        </w:rPr>
        <w:t xml:space="preserve"> &amp; </w:t>
      </w:r>
      <w:proofErr w:type="spellStart"/>
      <w:r w:rsidRPr="00616254">
        <w:rPr>
          <w:rFonts w:ascii="Arial" w:hAnsi="Arial" w:cs="Arial"/>
          <w:sz w:val="24"/>
          <w:szCs w:val="24"/>
        </w:rPr>
        <w:t>Heerschap</w:t>
      </w:r>
      <w:proofErr w:type="spellEnd"/>
      <w:r w:rsidRPr="00616254">
        <w:rPr>
          <w:rFonts w:ascii="Arial" w:hAnsi="Arial" w:cs="Arial"/>
          <w:sz w:val="24"/>
          <w:szCs w:val="24"/>
        </w:rPr>
        <w:t>, 2018).</w:t>
      </w:r>
    </w:p>
    <w:p w14:paraId="76790213" w14:textId="77777777" w:rsidR="001E35DD" w:rsidRPr="00616254" w:rsidRDefault="001E35DD" w:rsidP="00616254">
      <w:pPr>
        <w:spacing w:line="360" w:lineRule="auto"/>
        <w:rPr>
          <w:rFonts w:ascii="Arial" w:hAnsi="Arial" w:cs="Arial"/>
          <w:b/>
          <w:bCs/>
          <w:sz w:val="24"/>
          <w:szCs w:val="24"/>
        </w:rPr>
      </w:pPr>
    </w:p>
    <w:p w14:paraId="04086B1E" w14:textId="20D8F836" w:rsidR="00767F66" w:rsidRPr="00616254" w:rsidRDefault="00767F66" w:rsidP="00616254">
      <w:pPr>
        <w:spacing w:line="360" w:lineRule="auto"/>
        <w:rPr>
          <w:rFonts w:ascii="Arial" w:hAnsi="Arial" w:cs="Arial"/>
          <w:b/>
          <w:bCs/>
          <w:sz w:val="24"/>
          <w:szCs w:val="24"/>
          <w:u w:val="single"/>
        </w:rPr>
      </w:pPr>
    </w:p>
    <w:p w14:paraId="40B7B283" w14:textId="0CD8A8C3" w:rsidR="007D0CE1" w:rsidRPr="00616254" w:rsidRDefault="007D0CE1" w:rsidP="00616254">
      <w:pPr>
        <w:spacing w:line="360" w:lineRule="auto"/>
        <w:rPr>
          <w:rFonts w:ascii="Arial" w:hAnsi="Arial" w:cs="Arial"/>
          <w:b/>
          <w:bCs/>
          <w:sz w:val="24"/>
          <w:szCs w:val="24"/>
          <w:u w:val="single"/>
        </w:rPr>
      </w:pPr>
    </w:p>
    <w:p w14:paraId="6ECEFD9B" w14:textId="77777777" w:rsidR="00FB2C88" w:rsidRPr="00616254" w:rsidRDefault="00FB2C88" w:rsidP="00616254">
      <w:pPr>
        <w:spacing w:line="360" w:lineRule="auto"/>
        <w:rPr>
          <w:rFonts w:ascii="Arial" w:hAnsi="Arial" w:cs="Arial"/>
          <w:b/>
          <w:bCs/>
          <w:sz w:val="24"/>
          <w:szCs w:val="24"/>
          <w:u w:val="single"/>
        </w:rPr>
      </w:pPr>
    </w:p>
    <w:p w14:paraId="59CFAA03" w14:textId="77777777" w:rsidR="007D0CE1" w:rsidRPr="00616254" w:rsidRDefault="007D0CE1" w:rsidP="00616254">
      <w:pPr>
        <w:spacing w:line="360" w:lineRule="auto"/>
        <w:rPr>
          <w:rFonts w:ascii="Arial" w:hAnsi="Arial" w:cs="Arial"/>
          <w:b/>
          <w:bCs/>
          <w:sz w:val="24"/>
          <w:szCs w:val="24"/>
          <w:u w:val="single"/>
        </w:rPr>
      </w:pPr>
    </w:p>
    <w:p w14:paraId="207767BC" w14:textId="0E483AE7" w:rsidR="001E35DD" w:rsidRPr="00616254" w:rsidRDefault="001E35DD" w:rsidP="00616254">
      <w:pPr>
        <w:spacing w:line="360" w:lineRule="auto"/>
        <w:jc w:val="center"/>
        <w:rPr>
          <w:rFonts w:ascii="Arial" w:hAnsi="Arial" w:cs="Arial"/>
          <w:b/>
          <w:bCs/>
          <w:sz w:val="24"/>
          <w:szCs w:val="24"/>
          <w:u w:val="single"/>
        </w:rPr>
      </w:pPr>
      <w:r w:rsidRPr="00616254">
        <w:rPr>
          <w:rFonts w:ascii="Arial" w:hAnsi="Arial" w:cs="Arial"/>
          <w:b/>
          <w:bCs/>
          <w:sz w:val="24"/>
          <w:szCs w:val="24"/>
          <w:u w:val="single"/>
        </w:rPr>
        <w:lastRenderedPageBreak/>
        <w:t>Part Three</w:t>
      </w:r>
    </w:p>
    <w:p w14:paraId="0DD6C84D" w14:textId="52B9B288" w:rsidR="00616254" w:rsidRPr="00616254" w:rsidRDefault="001E35DD" w:rsidP="00616254">
      <w:pPr>
        <w:spacing w:line="360" w:lineRule="auto"/>
        <w:jc w:val="center"/>
        <w:rPr>
          <w:rFonts w:ascii="Arial" w:hAnsi="Arial" w:cs="Arial"/>
          <w:b/>
          <w:bCs/>
          <w:sz w:val="24"/>
          <w:szCs w:val="24"/>
          <w:u w:val="single"/>
        </w:rPr>
      </w:pPr>
      <w:r w:rsidRPr="00616254">
        <w:rPr>
          <w:rFonts w:ascii="Arial" w:hAnsi="Arial" w:cs="Arial"/>
          <w:b/>
          <w:bCs/>
          <w:sz w:val="24"/>
          <w:szCs w:val="24"/>
          <w:u w:val="single"/>
        </w:rPr>
        <w:t xml:space="preserve">How poverty as a </w:t>
      </w:r>
      <w:r w:rsidR="00184616" w:rsidRPr="00616254">
        <w:rPr>
          <w:rFonts w:ascii="Arial" w:hAnsi="Arial" w:cs="Arial"/>
          <w:b/>
          <w:bCs/>
          <w:sz w:val="24"/>
          <w:szCs w:val="24"/>
          <w:u w:val="single"/>
        </w:rPr>
        <w:t>sociological aspect</w:t>
      </w:r>
      <w:r w:rsidRPr="00616254">
        <w:rPr>
          <w:rFonts w:ascii="Arial" w:hAnsi="Arial" w:cs="Arial"/>
          <w:b/>
          <w:bCs/>
          <w:sz w:val="24"/>
          <w:szCs w:val="24"/>
          <w:u w:val="single"/>
        </w:rPr>
        <w:t xml:space="preserve">, </w:t>
      </w:r>
      <w:r w:rsidR="00184616" w:rsidRPr="00616254">
        <w:rPr>
          <w:rFonts w:ascii="Arial" w:hAnsi="Arial" w:cs="Arial"/>
          <w:b/>
          <w:bCs/>
          <w:sz w:val="24"/>
          <w:szCs w:val="24"/>
          <w:u w:val="single"/>
        </w:rPr>
        <w:t xml:space="preserve">challenges children’s life experiences and early years interventions and services that are in place to support </w:t>
      </w:r>
      <w:r w:rsidR="00616254" w:rsidRPr="00616254">
        <w:rPr>
          <w:rFonts w:ascii="Arial" w:hAnsi="Arial" w:cs="Arial"/>
          <w:b/>
          <w:bCs/>
          <w:sz w:val="24"/>
          <w:szCs w:val="24"/>
          <w:u w:val="single"/>
        </w:rPr>
        <w:t>children.</w:t>
      </w:r>
    </w:p>
    <w:p w14:paraId="747DF10B" w14:textId="57A27106"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From a sociological perspective, it is clear that many children in Wales face challenges due to poverty. A number of aspects of children's development can be impacted by poverty, including their health, education, social, and emotional well-being, which can have a profound impact on their progress (Riley, et al., 2019; UNICEF, 2016). There are a number of early childhood interventions and services available to support children living in poverty and mitigate its effects. Allen (2011) recommends that an evaluation of the various early intervention and service programs available to children from low-income families be conducted.</w:t>
      </w:r>
    </w:p>
    <w:p w14:paraId="1E951D3F" w14:textId="77777777" w:rsidR="00616254" w:rsidRPr="00616254" w:rsidRDefault="00616254" w:rsidP="00616254">
      <w:pPr>
        <w:spacing w:line="360" w:lineRule="auto"/>
        <w:rPr>
          <w:rFonts w:ascii="Arial" w:hAnsi="Arial" w:cs="Arial"/>
          <w:sz w:val="24"/>
          <w:szCs w:val="24"/>
        </w:rPr>
      </w:pPr>
    </w:p>
    <w:p w14:paraId="598FC33E"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The provision of free early education and childcare for children between the ages of three and four is one of the most significant early childhood interventions in the United Kingdom. Children from disadvantaged backgrounds will benefit significantly from this program since it facilitates their development and provides a positive start to their lives (</w:t>
      </w:r>
      <w:proofErr w:type="spellStart"/>
      <w:r w:rsidRPr="00616254">
        <w:rPr>
          <w:rFonts w:ascii="Arial" w:hAnsi="Arial" w:cs="Arial"/>
          <w:sz w:val="24"/>
          <w:szCs w:val="24"/>
        </w:rPr>
        <w:t>Schweinhart</w:t>
      </w:r>
      <w:proofErr w:type="spellEnd"/>
      <w:r w:rsidRPr="00616254">
        <w:rPr>
          <w:rFonts w:ascii="Arial" w:hAnsi="Arial" w:cs="Arial"/>
          <w:sz w:val="24"/>
          <w:szCs w:val="24"/>
        </w:rPr>
        <w:t>, et al., 2005; Shonkoff &amp; Garner, 2012). Additionally, low-income families may be eligible for a variety of forms of financial assistance in addition to free school meals. Upon implementing these interventions, families are able to alleviate some of the financial stress they are experiencing by providing their children with the resources they need to thrive (Duncan &amp; Magnuson, 2013; Yoshikawa, et al., 2013).</w:t>
      </w:r>
    </w:p>
    <w:p w14:paraId="7B41F4B1" w14:textId="77777777" w:rsidR="00616254" w:rsidRPr="00616254" w:rsidRDefault="00616254" w:rsidP="00616254">
      <w:pPr>
        <w:spacing w:line="360" w:lineRule="auto"/>
        <w:rPr>
          <w:rFonts w:ascii="Arial" w:hAnsi="Arial" w:cs="Arial"/>
          <w:sz w:val="24"/>
          <w:szCs w:val="24"/>
        </w:rPr>
      </w:pPr>
    </w:p>
    <w:p w14:paraId="2C551BF8"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However, despite the fact that these interventions have been implemented, many children still live in poverty. It is possible that families will not be able to access free early education and childcare services at all times. As a result, these individuals are more likely to encounter barriers to accessing the service, such as not meeting eligibility criteria, which makes access to the service particularly difficult for them (Shonkoff &amp; Garner, 2012; National Institute for Health and Care Excellence, 2015). The provision of financial assistance can provide some relief to struggling families, </w:t>
      </w:r>
      <w:r w:rsidRPr="00616254">
        <w:rPr>
          <w:rFonts w:ascii="Arial" w:hAnsi="Arial" w:cs="Arial"/>
          <w:sz w:val="24"/>
          <w:szCs w:val="24"/>
        </w:rPr>
        <w:lastRenderedPageBreak/>
        <w:t>but it does not address the underlying causes of poverty, which include low wages and inadequate social security benefits (Heckman, 2006).</w:t>
      </w:r>
    </w:p>
    <w:p w14:paraId="581EC1B3" w14:textId="77777777" w:rsidR="00616254" w:rsidRPr="00616254" w:rsidRDefault="00616254" w:rsidP="00616254">
      <w:pPr>
        <w:spacing w:line="360" w:lineRule="auto"/>
        <w:rPr>
          <w:rFonts w:ascii="Arial" w:hAnsi="Arial" w:cs="Arial"/>
          <w:sz w:val="24"/>
          <w:szCs w:val="24"/>
        </w:rPr>
      </w:pPr>
    </w:p>
    <w:p w14:paraId="2EF9CA3E"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For children living in poverty, early childhood interventions can be beneficial, but they do not provide a permanent solution (Rees &amp; </w:t>
      </w:r>
      <w:proofErr w:type="spellStart"/>
      <w:r w:rsidRPr="00616254">
        <w:rPr>
          <w:rFonts w:ascii="Arial" w:hAnsi="Arial" w:cs="Arial"/>
          <w:sz w:val="24"/>
          <w:szCs w:val="24"/>
        </w:rPr>
        <w:t>Gorin</w:t>
      </w:r>
      <w:proofErr w:type="spellEnd"/>
      <w:r w:rsidRPr="00616254">
        <w:rPr>
          <w:rFonts w:ascii="Arial" w:hAnsi="Arial" w:cs="Arial"/>
          <w:sz w:val="24"/>
          <w:szCs w:val="24"/>
        </w:rPr>
        <w:t>, 2019; Barnett et al, 2008). The underlying causes of poverty must be addressed in order for all children to have access to the resources they need to thrive. Income inequality and an inadequate social security system are two of the reasons for this (The Sutton Trust, 2014; Olds, et al, 2007).</w:t>
      </w:r>
    </w:p>
    <w:p w14:paraId="3FD07AAD" w14:textId="77777777" w:rsidR="00616254" w:rsidRPr="00616254" w:rsidRDefault="00616254" w:rsidP="00616254">
      <w:pPr>
        <w:spacing w:line="360" w:lineRule="auto"/>
        <w:rPr>
          <w:rFonts w:ascii="Arial" w:hAnsi="Arial" w:cs="Arial"/>
          <w:sz w:val="24"/>
          <w:szCs w:val="24"/>
        </w:rPr>
      </w:pPr>
    </w:p>
    <w:p w14:paraId="3BFF03A2"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According to Cohen, Manion &amp; Morrison (2018), family structure is considered to be one of the most significant sociological factors contributing to the likelihood of a child living in poverty. This can have an extremely significant impact on the future of a child (</w:t>
      </w:r>
      <w:proofErr w:type="spellStart"/>
      <w:r w:rsidRPr="00616254">
        <w:rPr>
          <w:rFonts w:ascii="Arial" w:hAnsi="Arial" w:cs="Arial"/>
          <w:sz w:val="24"/>
          <w:szCs w:val="24"/>
        </w:rPr>
        <w:t>Broffenbrenner</w:t>
      </w:r>
      <w:proofErr w:type="spellEnd"/>
      <w:r w:rsidRPr="00616254">
        <w:rPr>
          <w:rFonts w:ascii="Arial" w:hAnsi="Arial" w:cs="Arial"/>
          <w:sz w:val="24"/>
          <w:szCs w:val="24"/>
        </w:rPr>
        <w:t>, 1979). By definition, a family structure refers to the composition of a household in which a child lives, including whether he or she lives with both parents, a single parent, or another caregiver (Gillies, 2007).</w:t>
      </w:r>
    </w:p>
    <w:p w14:paraId="413B2DF3" w14:textId="77777777" w:rsidR="00616254" w:rsidRPr="00616254" w:rsidRDefault="00616254" w:rsidP="00616254">
      <w:pPr>
        <w:spacing w:line="360" w:lineRule="auto"/>
        <w:rPr>
          <w:rFonts w:ascii="Arial" w:hAnsi="Arial" w:cs="Arial"/>
          <w:sz w:val="24"/>
          <w:szCs w:val="24"/>
        </w:rPr>
      </w:pPr>
    </w:p>
    <w:p w14:paraId="165EA3CA"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Single-parent households are associated with a number of negative outcomes such as poor academic performance, mental health concerns, and social or </w:t>
      </w:r>
      <w:proofErr w:type="spellStart"/>
      <w:r w:rsidRPr="00616254">
        <w:rPr>
          <w:rFonts w:ascii="Arial" w:hAnsi="Arial" w:cs="Arial"/>
          <w:sz w:val="24"/>
          <w:szCs w:val="24"/>
        </w:rPr>
        <w:t>behavioral</w:t>
      </w:r>
      <w:proofErr w:type="spellEnd"/>
      <w:r w:rsidRPr="00616254">
        <w:rPr>
          <w:rFonts w:ascii="Arial" w:hAnsi="Arial" w:cs="Arial"/>
          <w:sz w:val="24"/>
          <w:szCs w:val="24"/>
        </w:rPr>
        <w:t xml:space="preserve"> difficulties (Amato, 2010). In addition to experiencing higher levels of stress and financial strain, a single parent may also be deprived of social and emotional support. There is evidence that these factors may negatively impact the lives of children living in poverty (Belsky &amp; Fearon, 2002; </w:t>
      </w:r>
      <w:proofErr w:type="spellStart"/>
      <w:r w:rsidRPr="00616254">
        <w:rPr>
          <w:rFonts w:ascii="Arial" w:hAnsi="Arial" w:cs="Arial"/>
          <w:sz w:val="24"/>
          <w:szCs w:val="24"/>
        </w:rPr>
        <w:t>McLanahan</w:t>
      </w:r>
      <w:proofErr w:type="spellEnd"/>
      <w:r w:rsidRPr="00616254">
        <w:rPr>
          <w:rFonts w:ascii="Arial" w:hAnsi="Arial" w:cs="Arial"/>
          <w:sz w:val="24"/>
          <w:szCs w:val="24"/>
        </w:rPr>
        <w:t xml:space="preserve"> &amp; </w:t>
      </w:r>
      <w:proofErr w:type="spellStart"/>
      <w:r w:rsidRPr="00616254">
        <w:rPr>
          <w:rFonts w:ascii="Arial" w:hAnsi="Arial" w:cs="Arial"/>
          <w:sz w:val="24"/>
          <w:szCs w:val="24"/>
        </w:rPr>
        <w:t>Sandefur</w:t>
      </w:r>
      <w:proofErr w:type="spellEnd"/>
      <w:r w:rsidRPr="00616254">
        <w:rPr>
          <w:rFonts w:ascii="Arial" w:hAnsi="Arial" w:cs="Arial"/>
          <w:sz w:val="24"/>
          <w:szCs w:val="24"/>
        </w:rPr>
        <w:t>, 1994).</w:t>
      </w:r>
    </w:p>
    <w:p w14:paraId="47BE2E0F" w14:textId="77777777" w:rsidR="00616254" w:rsidRPr="00616254" w:rsidRDefault="00616254" w:rsidP="00616254">
      <w:pPr>
        <w:spacing w:line="360" w:lineRule="auto"/>
        <w:rPr>
          <w:rFonts w:ascii="Arial" w:hAnsi="Arial" w:cs="Arial"/>
          <w:sz w:val="24"/>
          <w:szCs w:val="24"/>
        </w:rPr>
      </w:pPr>
    </w:p>
    <w:p w14:paraId="65F9DFB2"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Although single-parent households can differ greatly from one another, it is still beneficial to keep this in mind (Yeung, et al., 2001). To some extent, independent parents with strong social networks and access to support services may be able to mitigate some of the negative effects of single parenting (McCartney &amp; Phillips, 2006; </w:t>
      </w:r>
      <w:proofErr w:type="spellStart"/>
      <w:r w:rsidRPr="00616254">
        <w:rPr>
          <w:rFonts w:ascii="Arial" w:hAnsi="Arial" w:cs="Arial"/>
          <w:sz w:val="24"/>
          <w:szCs w:val="24"/>
        </w:rPr>
        <w:t>McLanahan</w:t>
      </w:r>
      <w:proofErr w:type="spellEnd"/>
      <w:r w:rsidRPr="00616254">
        <w:rPr>
          <w:rFonts w:ascii="Arial" w:hAnsi="Arial" w:cs="Arial"/>
          <w:sz w:val="24"/>
          <w:szCs w:val="24"/>
        </w:rPr>
        <w:t xml:space="preserve"> &amp; </w:t>
      </w:r>
      <w:proofErr w:type="spellStart"/>
      <w:r w:rsidRPr="00616254">
        <w:rPr>
          <w:rFonts w:ascii="Arial" w:hAnsi="Arial" w:cs="Arial"/>
          <w:sz w:val="24"/>
          <w:szCs w:val="24"/>
        </w:rPr>
        <w:t>Sandefur</w:t>
      </w:r>
      <w:proofErr w:type="spellEnd"/>
      <w:r w:rsidRPr="00616254">
        <w:rPr>
          <w:rFonts w:ascii="Arial" w:hAnsi="Arial" w:cs="Arial"/>
          <w:sz w:val="24"/>
          <w:szCs w:val="24"/>
        </w:rPr>
        <w:t xml:space="preserve">, 1994). In addition to the negative outcomes associated with parental conflict and instability, children from two-parent households </w:t>
      </w:r>
      <w:r w:rsidRPr="00616254">
        <w:rPr>
          <w:rFonts w:ascii="Arial" w:hAnsi="Arial" w:cs="Arial"/>
          <w:sz w:val="24"/>
          <w:szCs w:val="24"/>
        </w:rPr>
        <w:lastRenderedPageBreak/>
        <w:t xml:space="preserve">may also experience a variety of negative outcomes caused by parental conflict and instability (Raver, 2002; </w:t>
      </w:r>
      <w:proofErr w:type="spellStart"/>
      <w:r w:rsidRPr="00616254">
        <w:rPr>
          <w:rFonts w:ascii="Arial" w:hAnsi="Arial" w:cs="Arial"/>
          <w:sz w:val="24"/>
          <w:szCs w:val="24"/>
        </w:rPr>
        <w:t>Teicher</w:t>
      </w:r>
      <w:proofErr w:type="spellEnd"/>
      <w:r w:rsidRPr="00616254">
        <w:rPr>
          <w:rFonts w:ascii="Arial" w:hAnsi="Arial" w:cs="Arial"/>
          <w:sz w:val="24"/>
          <w:szCs w:val="24"/>
        </w:rPr>
        <w:t>, et al., 2003). This is the reason why these early childhood interventions are considered to be so beneficial in the first place (</w:t>
      </w:r>
      <w:proofErr w:type="spellStart"/>
      <w:r w:rsidRPr="00616254">
        <w:rPr>
          <w:rFonts w:ascii="Arial" w:hAnsi="Arial" w:cs="Arial"/>
          <w:sz w:val="24"/>
          <w:szCs w:val="24"/>
        </w:rPr>
        <w:t>Pianta</w:t>
      </w:r>
      <w:proofErr w:type="spellEnd"/>
      <w:r w:rsidRPr="00616254">
        <w:rPr>
          <w:rFonts w:ascii="Arial" w:hAnsi="Arial" w:cs="Arial"/>
          <w:sz w:val="24"/>
          <w:szCs w:val="24"/>
        </w:rPr>
        <w:t xml:space="preserve"> &amp; Cox, 2002). A variety of programs are available to support families and children regardless of the structure of their families through the provision of interventions and services. An effective parenting program, for instance, can assist parents in developing positive parenting skills and improving their communication with their children. The use of family counselling and therapy may also be beneficial to families experiencing conflict or other challenges (Marmot, et al., 2010). In spite of this, it should be noted that some drawbacks can be associated with these interventions. The availability of parenting programs and family </w:t>
      </w:r>
      <w:proofErr w:type="spellStart"/>
      <w:r w:rsidRPr="00616254">
        <w:rPr>
          <w:rFonts w:ascii="Arial" w:hAnsi="Arial" w:cs="Arial"/>
          <w:sz w:val="24"/>
          <w:szCs w:val="24"/>
        </w:rPr>
        <w:t>counseling</w:t>
      </w:r>
      <w:proofErr w:type="spellEnd"/>
      <w:r w:rsidRPr="00616254">
        <w:rPr>
          <w:rFonts w:ascii="Arial" w:hAnsi="Arial" w:cs="Arial"/>
          <w:sz w:val="24"/>
          <w:szCs w:val="24"/>
        </w:rPr>
        <w:t xml:space="preserve"> may not be available to everyone as a result of financial obstacles or a lack of resources (Forehand &amp; </w:t>
      </w:r>
      <w:proofErr w:type="spellStart"/>
      <w:r w:rsidRPr="00616254">
        <w:rPr>
          <w:rFonts w:ascii="Arial" w:hAnsi="Arial" w:cs="Arial"/>
          <w:sz w:val="24"/>
          <w:szCs w:val="24"/>
        </w:rPr>
        <w:t>Kotchick</w:t>
      </w:r>
      <w:proofErr w:type="spellEnd"/>
      <w:r w:rsidRPr="00616254">
        <w:rPr>
          <w:rFonts w:ascii="Arial" w:hAnsi="Arial" w:cs="Arial"/>
          <w:sz w:val="24"/>
          <w:szCs w:val="24"/>
        </w:rPr>
        <w:t>, 2002). As well, ensuring that all families receive the support they need can be difficult, since the effectiveness of these interventions varies depending on each family's needs (</w:t>
      </w:r>
      <w:proofErr w:type="spellStart"/>
      <w:r w:rsidRPr="00616254">
        <w:rPr>
          <w:rFonts w:ascii="Arial" w:hAnsi="Arial" w:cs="Arial"/>
          <w:sz w:val="24"/>
          <w:szCs w:val="24"/>
        </w:rPr>
        <w:t>Dadds</w:t>
      </w:r>
      <w:proofErr w:type="spellEnd"/>
      <w:r w:rsidRPr="00616254">
        <w:rPr>
          <w:rFonts w:ascii="Arial" w:hAnsi="Arial" w:cs="Arial"/>
          <w:sz w:val="24"/>
          <w:szCs w:val="24"/>
        </w:rPr>
        <w:t xml:space="preserve"> &amp; Roth, 2001).</w:t>
      </w:r>
    </w:p>
    <w:p w14:paraId="3E079F3C" w14:textId="77777777" w:rsidR="00616254" w:rsidRPr="00616254" w:rsidRDefault="00616254" w:rsidP="00616254">
      <w:pPr>
        <w:spacing w:line="360" w:lineRule="auto"/>
        <w:rPr>
          <w:rFonts w:ascii="Arial" w:hAnsi="Arial" w:cs="Arial"/>
          <w:sz w:val="24"/>
          <w:szCs w:val="24"/>
        </w:rPr>
      </w:pPr>
    </w:p>
    <w:p w14:paraId="2246B474" w14:textId="7942C82A"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Despite the interventions and services that support families and children, there are still some underlying issues related to poverty and inequality that may adversely affect the structure of families. To ensure that children have a positive outcome, it is imperative that all families have access to this type of support to facilitate their continued development (Belsky &amp; Fearon, 2015).</w:t>
      </w:r>
    </w:p>
    <w:p w14:paraId="228929D0" w14:textId="1205FACE" w:rsidR="00184616" w:rsidRDefault="00616254" w:rsidP="00616254">
      <w:pPr>
        <w:spacing w:line="360" w:lineRule="auto"/>
        <w:rPr>
          <w:rFonts w:ascii="Arial" w:hAnsi="Arial" w:cs="Arial"/>
          <w:sz w:val="24"/>
          <w:szCs w:val="24"/>
        </w:rPr>
      </w:pPr>
      <w:r w:rsidRPr="00616254">
        <w:rPr>
          <w:rFonts w:ascii="Arial" w:hAnsi="Arial" w:cs="Arial"/>
          <w:sz w:val="24"/>
          <w:szCs w:val="24"/>
        </w:rPr>
        <w:t xml:space="preserve">Providing early intervention and services to children can play a critical role in mitigating the negative impacts of poverty on their lives in the future (Gooch, et al., 2016; Sylva, et al., 2015). To maximize the effectiveness of these interventions and services, it is also necessary to address the challenges associated with implementing and obtaining them. It may be possible to achieve this goal by developing innovative ways to make sure that early childhood interventions and services are delivered to families in need, increasing funding, and targeted efforts to reach families in need (Van </w:t>
      </w:r>
      <w:proofErr w:type="spellStart"/>
      <w:r w:rsidRPr="00616254">
        <w:rPr>
          <w:rFonts w:ascii="Arial" w:hAnsi="Arial" w:cs="Arial"/>
          <w:sz w:val="24"/>
          <w:szCs w:val="24"/>
        </w:rPr>
        <w:t>IJzendoorn</w:t>
      </w:r>
      <w:proofErr w:type="spellEnd"/>
      <w:r w:rsidRPr="00616254">
        <w:rPr>
          <w:rFonts w:ascii="Arial" w:hAnsi="Arial" w:cs="Arial"/>
          <w:sz w:val="24"/>
          <w:szCs w:val="24"/>
        </w:rPr>
        <w:t xml:space="preserve">, </w:t>
      </w:r>
      <w:proofErr w:type="spellStart"/>
      <w:r w:rsidRPr="00616254">
        <w:rPr>
          <w:rFonts w:ascii="Arial" w:hAnsi="Arial" w:cs="Arial"/>
          <w:sz w:val="24"/>
          <w:szCs w:val="24"/>
        </w:rPr>
        <w:t>Bakermans-Kranenburg</w:t>
      </w:r>
      <w:proofErr w:type="spellEnd"/>
      <w:r w:rsidRPr="00616254">
        <w:rPr>
          <w:rFonts w:ascii="Arial" w:hAnsi="Arial" w:cs="Arial"/>
          <w:sz w:val="24"/>
          <w:szCs w:val="24"/>
        </w:rPr>
        <w:t xml:space="preserve"> &amp; </w:t>
      </w:r>
      <w:proofErr w:type="spellStart"/>
      <w:r w:rsidRPr="00616254">
        <w:rPr>
          <w:rFonts w:ascii="Arial" w:hAnsi="Arial" w:cs="Arial"/>
          <w:sz w:val="24"/>
          <w:szCs w:val="24"/>
        </w:rPr>
        <w:t>Sagi</w:t>
      </w:r>
      <w:proofErr w:type="spellEnd"/>
      <w:r w:rsidRPr="00616254">
        <w:rPr>
          <w:rFonts w:ascii="Arial" w:hAnsi="Arial" w:cs="Arial"/>
          <w:sz w:val="24"/>
          <w:szCs w:val="24"/>
        </w:rPr>
        <w:t>-Schwartz, 2019)</w:t>
      </w:r>
      <w:r>
        <w:rPr>
          <w:rFonts w:ascii="Arial" w:hAnsi="Arial" w:cs="Arial"/>
          <w:sz w:val="24"/>
          <w:szCs w:val="24"/>
        </w:rPr>
        <w:t>.</w:t>
      </w:r>
    </w:p>
    <w:p w14:paraId="0A737AF2" w14:textId="77777777" w:rsidR="00616254" w:rsidRPr="00616254" w:rsidRDefault="00616254" w:rsidP="00616254">
      <w:pPr>
        <w:spacing w:line="360" w:lineRule="auto"/>
        <w:rPr>
          <w:rFonts w:ascii="Arial" w:hAnsi="Arial" w:cs="Arial"/>
          <w:sz w:val="24"/>
          <w:szCs w:val="24"/>
        </w:rPr>
      </w:pPr>
    </w:p>
    <w:p w14:paraId="5B3A443A" w14:textId="77777777" w:rsidR="00E715BD" w:rsidRPr="00616254" w:rsidRDefault="00E715BD" w:rsidP="00616254">
      <w:pPr>
        <w:spacing w:line="360" w:lineRule="auto"/>
        <w:rPr>
          <w:rFonts w:ascii="Arial" w:hAnsi="Arial" w:cs="Arial"/>
          <w:sz w:val="24"/>
          <w:szCs w:val="24"/>
        </w:rPr>
      </w:pPr>
    </w:p>
    <w:p w14:paraId="763253CA" w14:textId="77EA6311" w:rsidR="0046328B" w:rsidRDefault="0046328B" w:rsidP="00616254">
      <w:pPr>
        <w:spacing w:line="360" w:lineRule="auto"/>
        <w:jc w:val="center"/>
        <w:rPr>
          <w:rFonts w:ascii="Arial" w:hAnsi="Arial" w:cs="Arial"/>
          <w:b/>
          <w:bCs/>
          <w:sz w:val="24"/>
          <w:szCs w:val="24"/>
          <w:u w:val="single"/>
        </w:rPr>
      </w:pPr>
      <w:r w:rsidRPr="00616254">
        <w:rPr>
          <w:rFonts w:ascii="Arial" w:hAnsi="Arial" w:cs="Arial"/>
          <w:b/>
          <w:bCs/>
          <w:sz w:val="24"/>
          <w:szCs w:val="24"/>
          <w:u w:val="single"/>
        </w:rPr>
        <w:lastRenderedPageBreak/>
        <w:t>Reference List</w:t>
      </w:r>
    </w:p>
    <w:p w14:paraId="75E7773D" w14:textId="77777777" w:rsidR="00616254" w:rsidRDefault="00616254" w:rsidP="00616254">
      <w:pPr>
        <w:spacing w:line="360" w:lineRule="auto"/>
        <w:jc w:val="center"/>
        <w:rPr>
          <w:rFonts w:ascii="Arial" w:hAnsi="Arial" w:cs="Arial"/>
          <w:b/>
          <w:bCs/>
          <w:sz w:val="24"/>
          <w:szCs w:val="24"/>
          <w:u w:val="single"/>
        </w:rPr>
      </w:pPr>
    </w:p>
    <w:p w14:paraId="073B9C1E"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Alderson, P., &amp; Morrow, V. (2011). The ethics of research with children and young people: A practical handbook. SAGE Publications Ltd.</w:t>
      </w:r>
    </w:p>
    <w:p w14:paraId="14E0DBC1"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Allen, G. (2011). Early intervention: The next steps. Cabinet Office.</w:t>
      </w:r>
    </w:p>
    <w:p w14:paraId="115B3F14"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Amato, P. R. (2005). The impact of family formation </w:t>
      </w:r>
      <w:proofErr w:type="gramStart"/>
      <w:r w:rsidRPr="00616254">
        <w:rPr>
          <w:rFonts w:ascii="Arial" w:hAnsi="Arial" w:cs="Arial"/>
          <w:sz w:val="24"/>
          <w:szCs w:val="24"/>
        </w:rPr>
        <w:t>change</w:t>
      </w:r>
      <w:proofErr w:type="gramEnd"/>
      <w:r w:rsidRPr="00616254">
        <w:rPr>
          <w:rFonts w:ascii="Arial" w:hAnsi="Arial" w:cs="Arial"/>
          <w:sz w:val="24"/>
          <w:szCs w:val="24"/>
        </w:rPr>
        <w:t xml:space="preserve"> on the cognitive, social, and emotional well-being of the next generation. The Future of Children, 15(2), 75-96.</w:t>
      </w:r>
    </w:p>
    <w:p w14:paraId="748F8C13"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Amato, P. R. (2010). Research on divorce: Continuing trends and new developments. Journal of Marriage and Family, 72(3), 650-666.</w:t>
      </w:r>
    </w:p>
    <w:p w14:paraId="41FD9C61"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Andrew, Y. and Fane, J. (2018). The sociology of early </w:t>
      </w:r>
      <w:proofErr w:type="gramStart"/>
      <w:r w:rsidRPr="00616254">
        <w:rPr>
          <w:rFonts w:ascii="Arial" w:hAnsi="Arial" w:cs="Arial"/>
          <w:sz w:val="24"/>
          <w:szCs w:val="24"/>
        </w:rPr>
        <w:t>childhood :</w:t>
      </w:r>
      <w:proofErr w:type="gramEnd"/>
      <w:r w:rsidRPr="00616254">
        <w:rPr>
          <w:rFonts w:ascii="Arial" w:hAnsi="Arial" w:cs="Arial"/>
          <w:sz w:val="24"/>
          <w:szCs w:val="24"/>
        </w:rPr>
        <w:t xml:space="preserve"> young children’s lives and worlds. London: Routledge.</w:t>
      </w:r>
    </w:p>
    <w:p w14:paraId="3965093C"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Avolio, B. J., Walumbwa, F. O., &amp; Weber, T. J. (2011). Leadership: Current theories, research, and future directions. Annual Review of Psychology, 62, 433- 457.</w:t>
      </w:r>
    </w:p>
    <w:p w14:paraId="74200E06"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BBC News. (2018, May 24). Children 'need more play opportunities', says commissioner. Retrieved from </w:t>
      </w:r>
      <w:proofErr w:type="gramStart"/>
      <w:r w:rsidRPr="00616254">
        <w:rPr>
          <w:rFonts w:ascii="Arial" w:hAnsi="Arial" w:cs="Arial"/>
          <w:sz w:val="24"/>
          <w:szCs w:val="24"/>
        </w:rPr>
        <w:t>https://www.bbc.com/news/uk-wales-44228203</w:t>
      </w:r>
      <w:proofErr w:type="gramEnd"/>
    </w:p>
    <w:p w14:paraId="0CC6E41C"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BBC. (2020, September 2). Coronavirus: 'Play streets' proposal to help children's mental health. BBC News. https://www.bbc.com/news/uk-wales-53904070</w:t>
      </w:r>
    </w:p>
    <w:p w14:paraId="4529B740"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BBC. (2021, February 23). £18m shortfall in council services in Wales. BBC News. https://www.bbc.com/news/uk-wales-56168818</w:t>
      </w:r>
    </w:p>
    <w:p w14:paraId="6C67EB1D"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Belsky, J., &amp; Fearon, R. M. (2002). Early attachment security, subsequent maternal sensitivity, and later child development: Does continuity in development depend upon continuity of </w:t>
      </w:r>
      <w:proofErr w:type="gramStart"/>
      <w:r w:rsidRPr="00616254">
        <w:rPr>
          <w:rFonts w:ascii="Arial" w:hAnsi="Arial" w:cs="Arial"/>
          <w:sz w:val="24"/>
          <w:szCs w:val="24"/>
        </w:rPr>
        <w:t>caregiving?.</w:t>
      </w:r>
      <w:proofErr w:type="gramEnd"/>
      <w:r w:rsidRPr="00616254">
        <w:rPr>
          <w:rFonts w:ascii="Arial" w:hAnsi="Arial" w:cs="Arial"/>
          <w:sz w:val="24"/>
          <w:szCs w:val="24"/>
        </w:rPr>
        <w:t xml:space="preserve"> Attachment &amp; Human Development, 4(3), 361-387.</w:t>
      </w:r>
    </w:p>
    <w:p w14:paraId="69B3A1B5"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Belsky, J., &amp; Fearon, R. M. (2015). Early attachment security, subsequent maternal sensitivity, and later child development: Does continuity in development depend upon continuity of </w:t>
      </w:r>
      <w:proofErr w:type="gramStart"/>
      <w:r w:rsidRPr="00616254">
        <w:rPr>
          <w:rFonts w:ascii="Arial" w:hAnsi="Arial" w:cs="Arial"/>
          <w:sz w:val="24"/>
          <w:szCs w:val="24"/>
        </w:rPr>
        <w:t>caregiving?.</w:t>
      </w:r>
      <w:proofErr w:type="gramEnd"/>
      <w:r w:rsidRPr="00616254">
        <w:rPr>
          <w:rFonts w:ascii="Arial" w:hAnsi="Arial" w:cs="Arial"/>
          <w:sz w:val="24"/>
          <w:szCs w:val="24"/>
        </w:rPr>
        <w:t xml:space="preserve"> Attachment &amp; Human Development, 17(2), 167-181.</w:t>
      </w:r>
    </w:p>
    <w:p w14:paraId="2B4F856E"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Bornstein, M. H. (2014). Human development: Cultural, contextual, and comparative considerations. Psychology Press.</w:t>
      </w:r>
    </w:p>
    <w:p w14:paraId="24BE9D49"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lastRenderedPageBreak/>
        <w:t xml:space="preserve">Bradley, R. H., &amp; </w:t>
      </w:r>
      <w:proofErr w:type="spellStart"/>
      <w:r w:rsidRPr="00616254">
        <w:rPr>
          <w:rFonts w:ascii="Arial" w:hAnsi="Arial" w:cs="Arial"/>
          <w:sz w:val="24"/>
          <w:szCs w:val="24"/>
        </w:rPr>
        <w:t>Corwyn</w:t>
      </w:r>
      <w:proofErr w:type="spellEnd"/>
      <w:r w:rsidRPr="00616254">
        <w:rPr>
          <w:rFonts w:ascii="Arial" w:hAnsi="Arial" w:cs="Arial"/>
          <w:sz w:val="24"/>
          <w:szCs w:val="24"/>
        </w:rPr>
        <w:t>, R. F. (2002). Socioeconomic status and child development. Annual Review of Psychology, 53(1), 371-399.</w:t>
      </w:r>
    </w:p>
    <w:p w14:paraId="3FA4C892"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Bradley, R. H., &amp; </w:t>
      </w:r>
      <w:proofErr w:type="spellStart"/>
      <w:r w:rsidRPr="00616254">
        <w:rPr>
          <w:rFonts w:ascii="Arial" w:hAnsi="Arial" w:cs="Arial"/>
          <w:sz w:val="24"/>
          <w:szCs w:val="24"/>
        </w:rPr>
        <w:t>Corwyn</w:t>
      </w:r>
      <w:proofErr w:type="spellEnd"/>
      <w:r w:rsidRPr="00616254">
        <w:rPr>
          <w:rFonts w:ascii="Arial" w:hAnsi="Arial" w:cs="Arial"/>
          <w:sz w:val="24"/>
          <w:szCs w:val="24"/>
        </w:rPr>
        <w:t>, R. F. (2002). Socioeconomic status and child development. Annual Review of Psychology, 53(1), 371-399.</w:t>
      </w:r>
    </w:p>
    <w:p w14:paraId="2FAF54B8"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Bradshaw, J. (2019). Child Poverty in the UK: Measurement, prevalence, </w:t>
      </w:r>
      <w:proofErr w:type="gramStart"/>
      <w:r w:rsidRPr="00616254">
        <w:rPr>
          <w:rFonts w:ascii="Arial" w:hAnsi="Arial" w:cs="Arial"/>
          <w:sz w:val="24"/>
          <w:szCs w:val="24"/>
        </w:rPr>
        <w:t>trends</w:t>
      </w:r>
      <w:proofErr w:type="gramEnd"/>
      <w:r w:rsidRPr="00616254">
        <w:rPr>
          <w:rFonts w:ascii="Arial" w:hAnsi="Arial" w:cs="Arial"/>
          <w:sz w:val="24"/>
          <w:szCs w:val="24"/>
        </w:rPr>
        <w:t xml:space="preserve"> and consequences. Social Policy and Society, 18(3), 375-385.</w:t>
      </w:r>
    </w:p>
    <w:p w14:paraId="7451DBDA"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Bradshaw, J., &amp; Richardson, D. (2009). An index of child well-being in the European Union. Social Indicators Research, 91(2), 201-215.</w:t>
      </w:r>
    </w:p>
    <w:p w14:paraId="036C1F34"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Brock, A., Dodds, S., &amp; Jarvis, P. (2019). Play and the future of the museum: Innovations in visitor engagement. Museum Management and Curatorship, 34(5), 423-436. https://doi.org/10.1080/09647775.2019.1631608</w:t>
      </w:r>
    </w:p>
    <w:p w14:paraId="65F5BBAB"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Bronfenbrenner, U. (1979). The ecology of human development: Experiments by nature and design. Harvard University Press.</w:t>
      </w:r>
    </w:p>
    <w:p w14:paraId="1F2D8EA7"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Cameron, C., </w:t>
      </w:r>
      <w:proofErr w:type="spellStart"/>
      <w:r w:rsidRPr="00616254">
        <w:rPr>
          <w:rFonts w:ascii="Arial" w:hAnsi="Arial" w:cs="Arial"/>
          <w:sz w:val="24"/>
          <w:szCs w:val="24"/>
        </w:rPr>
        <w:t>Preece</w:t>
      </w:r>
      <w:proofErr w:type="spellEnd"/>
      <w:r w:rsidRPr="00616254">
        <w:rPr>
          <w:rFonts w:ascii="Arial" w:hAnsi="Arial" w:cs="Arial"/>
          <w:sz w:val="24"/>
          <w:szCs w:val="24"/>
        </w:rPr>
        <w:t>, E., &amp; Randerson, C. (2018). The role of early years practitioners in supporting children and families living in poverty. International Journal of Early Years Education, 26(2), 214-227.</w:t>
      </w:r>
    </w:p>
    <w:p w14:paraId="31C655FD"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Campbell-Barr, V. and Leeson, C. (2016). Quality and Leadership in the Early </w:t>
      </w:r>
      <w:proofErr w:type="gramStart"/>
      <w:r w:rsidRPr="00616254">
        <w:rPr>
          <w:rFonts w:ascii="Arial" w:hAnsi="Arial" w:cs="Arial"/>
          <w:sz w:val="24"/>
          <w:szCs w:val="24"/>
        </w:rPr>
        <w:t>Years :</w:t>
      </w:r>
      <w:proofErr w:type="gramEnd"/>
      <w:r w:rsidRPr="00616254">
        <w:rPr>
          <w:rFonts w:ascii="Arial" w:hAnsi="Arial" w:cs="Arial"/>
          <w:sz w:val="24"/>
          <w:szCs w:val="24"/>
        </w:rPr>
        <w:t xml:space="preserve"> Research, Theory and Practice. London: SAGE Publications Ltd.</w:t>
      </w:r>
    </w:p>
    <w:p w14:paraId="20DDA307"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Carol Anne Wien (2008). Emergent curriculum in the primary </w:t>
      </w:r>
      <w:proofErr w:type="gramStart"/>
      <w:r w:rsidRPr="00616254">
        <w:rPr>
          <w:rFonts w:ascii="Arial" w:hAnsi="Arial" w:cs="Arial"/>
          <w:sz w:val="24"/>
          <w:szCs w:val="24"/>
        </w:rPr>
        <w:t>classroom :</w:t>
      </w:r>
      <w:proofErr w:type="gramEnd"/>
      <w:r w:rsidRPr="00616254">
        <w:rPr>
          <w:rFonts w:ascii="Arial" w:hAnsi="Arial" w:cs="Arial"/>
          <w:sz w:val="24"/>
          <w:szCs w:val="24"/>
        </w:rPr>
        <w:t xml:space="preserve"> interpreting the Reggio Emilia approach in schools. New York: Teachers College </w:t>
      </w:r>
      <w:proofErr w:type="gramStart"/>
      <w:r w:rsidRPr="00616254">
        <w:rPr>
          <w:rFonts w:ascii="Arial" w:hAnsi="Arial" w:cs="Arial"/>
          <w:sz w:val="24"/>
          <w:szCs w:val="24"/>
        </w:rPr>
        <w:t>Press ;</w:t>
      </w:r>
      <w:proofErr w:type="gramEnd"/>
      <w:r w:rsidRPr="00616254">
        <w:rPr>
          <w:rFonts w:ascii="Arial" w:hAnsi="Arial" w:cs="Arial"/>
          <w:sz w:val="24"/>
          <w:szCs w:val="24"/>
        </w:rPr>
        <w:t xml:space="preserve"> Washington, D.C.</w:t>
      </w:r>
    </w:p>
    <w:p w14:paraId="71C40E65"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Children's Commissioner for Wales. (2018). Playful Futures: A review of play and leisure opportunities for children in Wales. Retrieved from </w:t>
      </w:r>
      <w:proofErr w:type="gramStart"/>
      <w:r w:rsidRPr="00616254">
        <w:rPr>
          <w:rFonts w:ascii="Arial" w:hAnsi="Arial" w:cs="Arial"/>
          <w:sz w:val="24"/>
          <w:szCs w:val="24"/>
        </w:rPr>
        <w:t>https://www.childcomwales.org.uk/wp-content/uploads/2018/05/Playful-Futures.pdf</w:t>
      </w:r>
      <w:proofErr w:type="gramEnd"/>
    </w:p>
    <w:p w14:paraId="09692424"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Children's Commissioner for Wales. (2019). Playful futures: A review of play opportunities in Wales. https://www.childcomwales.org.uk/wp-content/uploads/2019/06/Playful-Futures-full-report-1.pdf</w:t>
      </w:r>
    </w:p>
    <w:p w14:paraId="219C3ED7"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Children's Commissioner for Wales. (n.d.). About the Commissioner. Retrieved from </w:t>
      </w:r>
      <w:proofErr w:type="gramStart"/>
      <w:r w:rsidRPr="00616254">
        <w:rPr>
          <w:rFonts w:ascii="Arial" w:hAnsi="Arial" w:cs="Arial"/>
          <w:sz w:val="24"/>
          <w:szCs w:val="24"/>
        </w:rPr>
        <w:t>https://www.childcomwales.org.uk/about-the-commissioner/</w:t>
      </w:r>
      <w:proofErr w:type="gramEnd"/>
    </w:p>
    <w:p w14:paraId="022375B5"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lastRenderedPageBreak/>
        <w:t xml:space="preserve">Clark, A., Smith, K., &amp; </w:t>
      </w:r>
      <w:proofErr w:type="spellStart"/>
      <w:r w:rsidRPr="00616254">
        <w:rPr>
          <w:rFonts w:ascii="Arial" w:hAnsi="Arial" w:cs="Arial"/>
          <w:sz w:val="24"/>
          <w:szCs w:val="24"/>
        </w:rPr>
        <w:t>Trew</w:t>
      </w:r>
      <w:proofErr w:type="spellEnd"/>
      <w:r w:rsidRPr="00616254">
        <w:rPr>
          <w:rFonts w:ascii="Arial" w:hAnsi="Arial" w:cs="Arial"/>
          <w:sz w:val="24"/>
          <w:szCs w:val="24"/>
        </w:rPr>
        <w:t xml:space="preserve">, K. (2019). Supporting children's development and well-being: The role of the early </w:t>
      </w:r>
      <w:proofErr w:type="gramStart"/>
      <w:r w:rsidRPr="00616254">
        <w:rPr>
          <w:rFonts w:ascii="Arial" w:hAnsi="Arial" w:cs="Arial"/>
          <w:sz w:val="24"/>
          <w:szCs w:val="24"/>
        </w:rPr>
        <w:t>years</w:t>
      </w:r>
      <w:proofErr w:type="gramEnd"/>
      <w:r w:rsidRPr="00616254">
        <w:rPr>
          <w:rFonts w:ascii="Arial" w:hAnsi="Arial" w:cs="Arial"/>
          <w:sz w:val="24"/>
          <w:szCs w:val="24"/>
        </w:rPr>
        <w:t xml:space="preserve"> practitioner. Early Child Development and Care, 189(9), 1461-1472.</w:t>
      </w:r>
    </w:p>
    <w:p w14:paraId="25674BB1"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Clarke, P. (2002). The children’s commissioner for Wales. Children &amp; Society, 16(4), pp.287–290. </w:t>
      </w:r>
      <w:proofErr w:type="spellStart"/>
      <w:proofErr w:type="gramStart"/>
      <w:r w:rsidRPr="00616254">
        <w:rPr>
          <w:rFonts w:ascii="Arial" w:hAnsi="Arial" w:cs="Arial"/>
          <w:sz w:val="24"/>
          <w:szCs w:val="24"/>
        </w:rPr>
        <w:t>doi:https</w:t>
      </w:r>
      <w:proofErr w:type="spellEnd"/>
      <w:r w:rsidRPr="00616254">
        <w:rPr>
          <w:rFonts w:ascii="Arial" w:hAnsi="Arial" w:cs="Arial"/>
          <w:sz w:val="24"/>
          <w:szCs w:val="24"/>
        </w:rPr>
        <w:t>://doi.org/10.1002/chi.733</w:t>
      </w:r>
      <w:proofErr w:type="gramEnd"/>
      <w:r w:rsidRPr="00616254">
        <w:rPr>
          <w:rFonts w:ascii="Arial" w:hAnsi="Arial" w:cs="Arial"/>
          <w:sz w:val="24"/>
          <w:szCs w:val="24"/>
        </w:rPr>
        <w:t>.</w:t>
      </w:r>
    </w:p>
    <w:p w14:paraId="06CF7BDB"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Cohen, L., Manion, L., &amp; Morrison, K. (2018). Research methods in education. Routledge.</w:t>
      </w:r>
    </w:p>
    <w:p w14:paraId="60CF2DAA" w14:textId="77777777" w:rsidR="00616254" w:rsidRPr="00616254" w:rsidRDefault="00616254" w:rsidP="00616254">
      <w:pPr>
        <w:spacing w:line="360" w:lineRule="auto"/>
        <w:rPr>
          <w:rFonts w:ascii="Arial" w:hAnsi="Arial" w:cs="Arial"/>
          <w:sz w:val="24"/>
          <w:szCs w:val="24"/>
        </w:rPr>
      </w:pPr>
      <w:proofErr w:type="spellStart"/>
      <w:r w:rsidRPr="00616254">
        <w:rPr>
          <w:rFonts w:ascii="Arial" w:hAnsi="Arial" w:cs="Arial"/>
          <w:sz w:val="24"/>
          <w:szCs w:val="24"/>
        </w:rPr>
        <w:t>Dadds</w:t>
      </w:r>
      <w:proofErr w:type="spellEnd"/>
      <w:r w:rsidRPr="00616254">
        <w:rPr>
          <w:rFonts w:ascii="Arial" w:hAnsi="Arial" w:cs="Arial"/>
          <w:sz w:val="24"/>
          <w:szCs w:val="24"/>
        </w:rPr>
        <w:t>, M. R., &amp; Roth, J. (2001). Prevention and early intervention for anxiety disorders: A controlled trial. Journal of Consulting and Clinical Psychology, 69(3), 351-359.</w:t>
      </w:r>
    </w:p>
    <w:p w14:paraId="0717B9F0"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Department for Education. (2013). Early years foundation stage profile handbook. Retrieved from </w:t>
      </w:r>
      <w:proofErr w:type="gramStart"/>
      <w:r w:rsidRPr="00616254">
        <w:rPr>
          <w:rFonts w:ascii="Arial" w:hAnsi="Arial" w:cs="Arial"/>
          <w:sz w:val="24"/>
          <w:szCs w:val="24"/>
        </w:rPr>
        <w:t>https://www.gov.uk/government/publications/early-years-foundation-stage-profile-handbook</w:t>
      </w:r>
      <w:proofErr w:type="gramEnd"/>
    </w:p>
    <w:p w14:paraId="3444E43C"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DeVries, R. (2006). Diverse families, common goals: Building relationships between parents and early childhood educators. </w:t>
      </w:r>
      <w:proofErr w:type="spellStart"/>
      <w:r w:rsidRPr="00616254">
        <w:rPr>
          <w:rFonts w:ascii="Arial" w:hAnsi="Arial" w:cs="Arial"/>
          <w:sz w:val="24"/>
          <w:szCs w:val="24"/>
        </w:rPr>
        <w:t>Redleaf</w:t>
      </w:r>
      <w:proofErr w:type="spellEnd"/>
      <w:r w:rsidRPr="00616254">
        <w:rPr>
          <w:rFonts w:ascii="Arial" w:hAnsi="Arial" w:cs="Arial"/>
          <w:sz w:val="24"/>
          <w:szCs w:val="24"/>
        </w:rPr>
        <w:t xml:space="preserve"> Press.</w:t>
      </w:r>
    </w:p>
    <w:p w14:paraId="51F4A68A"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Dodge, R. et al. (2012) ‘The challenge of defining wellbeing’. International Journal of Wellbeing. 2 (3). Pp. 222-235. </w:t>
      </w:r>
    </w:p>
    <w:p w14:paraId="31A5E6AF" w14:textId="77777777" w:rsidR="00616254" w:rsidRPr="00616254" w:rsidRDefault="00616254" w:rsidP="00616254">
      <w:pPr>
        <w:spacing w:line="360" w:lineRule="auto"/>
        <w:rPr>
          <w:rFonts w:ascii="Arial" w:hAnsi="Arial" w:cs="Arial"/>
          <w:sz w:val="24"/>
          <w:szCs w:val="24"/>
        </w:rPr>
      </w:pPr>
      <w:proofErr w:type="spellStart"/>
      <w:r w:rsidRPr="00616254">
        <w:rPr>
          <w:rFonts w:ascii="Arial" w:hAnsi="Arial" w:cs="Arial"/>
          <w:sz w:val="24"/>
          <w:szCs w:val="24"/>
        </w:rPr>
        <w:t>Eagly</w:t>
      </w:r>
      <w:proofErr w:type="spellEnd"/>
      <w:r w:rsidRPr="00616254">
        <w:rPr>
          <w:rFonts w:ascii="Arial" w:hAnsi="Arial" w:cs="Arial"/>
          <w:sz w:val="24"/>
          <w:szCs w:val="24"/>
        </w:rPr>
        <w:t xml:space="preserve">, A. H., &amp; Wood, W. (2012). Social role theory. In P. A. M. Van Lange, A. W. </w:t>
      </w:r>
      <w:proofErr w:type="spellStart"/>
      <w:r w:rsidRPr="00616254">
        <w:rPr>
          <w:rFonts w:ascii="Arial" w:hAnsi="Arial" w:cs="Arial"/>
          <w:sz w:val="24"/>
          <w:szCs w:val="24"/>
        </w:rPr>
        <w:t>Kruglanski</w:t>
      </w:r>
      <w:proofErr w:type="spellEnd"/>
      <w:r w:rsidRPr="00616254">
        <w:rPr>
          <w:rFonts w:ascii="Arial" w:hAnsi="Arial" w:cs="Arial"/>
          <w:sz w:val="24"/>
          <w:szCs w:val="24"/>
        </w:rPr>
        <w:t>, &amp; E. T. Higgins (Eds.), Handbook of theories of social psychology (Vol. 2, pp. 458-476). Sage Publications.</w:t>
      </w:r>
    </w:p>
    <w:p w14:paraId="448F864A"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Edwards, C.P., Gandini, L. and Forman, G.E. (1998). The hundred languages of </w:t>
      </w:r>
      <w:proofErr w:type="gramStart"/>
      <w:r w:rsidRPr="00616254">
        <w:rPr>
          <w:rFonts w:ascii="Arial" w:hAnsi="Arial" w:cs="Arial"/>
          <w:sz w:val="24"/>
          <w:szCs w:val="24"/>
        </w:rPr>
        <w:t>children :</w:t>
      </w:r>
      <w:proofErr w:type="gramEnd"/>
      <w:r w:rsidRPr="00616254">
        <w:rPr>
          <w:rFonts w:ascii="Arial" w:hAnsi="Arial" w:cs="Arial"/>
          <w:sz w:val="24"/>
          <w:szCs w:val="24"/>
        </w:rPr>
        <w:t xml:space="preserve"> the Reggio Emilia approach--advanced reflections. Greenwich, Conn.: </w:t>
      </w:r>
      <w:proofErr w:type="spellStart"/>
      <w:r w:rsidRPr="00616254">
        <w:rPr>
          <w:rFonts w:ascii="Arial" w:hAnsi="Arial" w:cs="Arial"/>
          <w:sz w:val="24"/>
          <w:szCs w:val="24"/>
        </w:rPr>
        <w:t>Ablex</w:t>
      </w:r>
      <w:proofErr w:type="spellEnd"/>
      <w:r w:rsidRPr="00616254">
        <w:rPr>
          <w:rFonts w:ascii="Arial" w:hAnsi="Arial" w:cs="Arial"/>
          <w:sz w:val="24"/>
          <w:szCs w:val="24"/>
        </w:rPr>
        <w:t xml:space="preserve"> Pub. Corp.</w:t>
      </w:r>
    </w:p>
    <w:p w14:paraId="511F9FFF"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Eichner, K. E., &amp; Damico, S. B. (2015). The transformative power of catalytic leadership: A case study of a successful middle school turnaround. International Journal of Educational Leadership Preparation, 10(1), 1-13.</w:t>
      </w:r>
    </w:p>
    <w:p w14:paraId="4549CEAE"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Epstein, D. (2014). The school performance of boys and girls: Inequalities and identities. Routledge.</w:t>
      </w:r>
    </w:p>
    <w:p w14:paraId="3B8AC945"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lastRenderedPageBreak/>
        <w:t xml:space="preserve">Forehand, R., &amp; </w:t>
      </w:r>
      <w:proofErr w:type="spellStart"/>
      <w:r w:rsidRPr="00616254">
        <w:rPr>
          <w:rFonts w:ascii="Arial" w:hAnsi="Arial" w:cs="Arial"/>
          <w:sz w:val="24"/>
          <w:szCs w:val="24"/>
        </w:rPr>
        <w:t>Kotchick</w:t>
      </w:r>
      <w:proofErr w:type="spellEnd"/>
      <w:r w:rsidRPr="00616254">
        <w:rPr>
          <w:rFonts w:ascii="Arial" w:hAnsi="Arial" w:cs="Arial"/>
          <w:sz w:val="24"/>
          <w:szCs w:val="24"/>
        </w:rPr>
        <w:t xml:space="preserve">, B. A. (2002). </w:t>
      </w:r>
      <w:proofErr w:type="spellStart"/>
      <w:r w:rsidRPr="00616254">
        <w:rPr>
          <w:rFonts w:ascii="Arial" w:hAnsi="Arial" w:cs="Arial"/>
          <w:sz w:val="24"/>
          <w:szCs w:val="24"/>
        </w:rPr>
        <w:t>Behavioral</w:t>
      </w:r>
      <w:proofErr w:type="spellEnd"/>
      <w:r w:rsidRPr="00616254">
        <w:rPr>
          <w:rFonts w:ascii="Arial" w:hAnsi="Arial" w:cs="Arial"/>
          <w:sz w:val="24"/>
          <w:szCs w:val="24"/>
        </w:rPr>
        <w:t xml:space="preserve"> parent training: Current challenges and potential solutions. Journal of Child and Family Studies, 11(4), 377-384.</w:t>
      </w:r>
    </w:p>
    <w:p w14:paraId="565830A9"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Gadsden, V.L., Ford, M.A. and </w:t>
      </w:r>
      <w:proofErr w:type="spellStart"/>
      <w:r w:rsidRPr="00616254">
        <w:rPr>
          <w:rFonts w:ascii="Arial" w:hAnsi="Arial" w:cs="Arial"/>
          <w:sz w:val="24"/>
          <w:szCs w:val="24"/>
        </w:rPr>
        <w:t>Breiner</w:t>
      </w:r>
      <w:proofErr w:type="spellEnd"/>
      <w:r w:rsidRPr="00616254">
        <w:rPr>
          <w:rFonts w:ascii="Arial" w:hAnsi="Arial" w:cs="Arial"/>
          <w:sz w:val="24"/>
          <w:szCs w:val="24"/>
        </w:rPr>
        <w:t xml:space="preserve">, H. (2016). Parenting </w:t>
      </w:r>
      <w:proofErr w:type="gramStart"/>
      <w:r w:rsidRPr="00616254">
        <w:rPr>
          <w:rFonts w:ascii="Arial" w:hAnsi="Arial" w:cs="Arial"/>
          <w:sz w:val="24"/>
          <w:szCs w:val="24"/>
        </w:rPr>
        <w:t>matters :</w:t>
      </w:r>
      <w:proofErr w:type="gramEnd"/>
      <w:r w:rsidRPr="00616254">
        <w:rPr>
          <w:rFonts w:ascii="Arial" w:hAnsi="Arial" w:cs="Arial"/>
          <w:sz w:val="24"/>
          <w:szCs w:val="24"/>
        </w:rPr>
        <w:t xml:space="preserve"> supporting parents of children ages 0-8. Washington, Dc: The National Academies Press.</w:t>
      </w:r>
    </w:p>
    <w:p w14:paraId="104FA002"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Garvey, D. (2017) Performance Management in Early Years Settings: A practical Guide for Leaders and Managers. London: Jessica Kingsley Publishers.</w:t>
      </w:r>
    </w:p>
    <w:p w14:paraId="59BA33AF"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Garvey, D. (2018) Nurturing Personal, Social and Emotional Development in Early Childhood. London: Jessica Kingsley Publishers.  </w:t>
      </w:r>
    </w:p>
    <w:p w14:paraId="575D9AF0"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Gillies, V. (2007). Marginalised mothers: Exploring working-class experiences of parenting. Routledge.</w:t>
      </w:r>
    </w:p>
    <w:p w14:paraId="3D0DC546"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Giordano, R.J. (2019). Ineptitude, Conformity, and </w:t>
      </w:r>
      <w:proofErr w:type="gramStart"/>
      <w:r w:rsidRPr="00616254">
        <w:rPr>
          <w:rFonts w:ascii="Arial" w:hAnsi="Arial" w:cs="Arial"/>
          <w:sz w:val="24"/>
          <w:szCs w:val="24"/>
        </w:rPr>
        <w:t>Obfuscation :</w:t>
      </w:r>
      <w:proofErr w:type="gramEnd"/>
      <w:r w:rsidRPr="00616254">
        <w:rPr>
          <w:rFonts w:ascii="Arial" w:hAnsi="Arial" w:cs="Arial"/>
          <w:sz w:val="24"/>
          <w:szCs w:val="24"/>
        </w:rPr>
        <w:t xml:space="preserve"> the Fraud of Teacher Evaluation in the Public Schools. Blue Ridge Summit: Rowman &amp; Littlefield Publishers.</w:t>
      </w:r>
    </w:p>
    <w:p w14:paraId="5455F156"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Gooch, D., Hulme, C., Nash, H. M., </w:t>
      </w:r>
      <w:proofErr w:type="spellStart"/>
      <w:r w:rsidRPr="00616254">
        <w:rPr>
          <w:rFonts w:ascii="Arial" w:hAnsi="Arial" w:cs="Arial"/>
          <w:sz w:val="24"/>
          <w:szCs w:val="24"/>
        </w:rPr>
        <w:t>Snowling</w:t>
      </w:r>
      <w:proofErr w:type="spellEnd"/>
      <w:r w:rsidRPr="00616254">
        <w:rPr>
          <w:rFonts w:ascii="Arial" w:hAnsi="Arial" w:cs="Arial"/>
          <w:sz w:val="24"/>
          <w:szCs w:val="24"/>
        </w:rPr>
        <w:t>, M. J., Haddock, G., &amp; Purdy, J. (2016). Comorbidities in preschool children at family risk of dyslexia. Journal of Child Psychology and Psychiatry, 57(2), 144-152.</w:t>
      </w:r>
    </w:p>
    <w:p w14:paraId="00184118"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Grantham </w:t>
      </w:r>
      <w:proofErr w:type="spellStart"/>
      <w:r w:rsidRPr="00616254">
        <w:rPr>
          <w:rFonts w:ascii="Arial" w:hAnsi="Arial" w:cs="Arial"/>
          <w:sz w:val="24"/>
          <w:szCs w:val="24"/>
        </w:rPr>
        <w:t>Caston</w:t>
      </w:r>
      <w:proofErr w:type="spellEnd"/>
      <w:r w:rsidRPr="00616254">
        <w:rPr>
          <w:rFonts w:ascii="Arial" w:hAnsi="Arial" w:cs="Arial"/>
          <w:sz w:val="24"/>
          <w:szCs w:val="24"/>
        </w:rPr>
        <w:t xml:space="preserve">, M. and </w:t>
      </w:r>
      <w:proofErr w:type="spellStart"/>
      <w:r w:rsidRPr="00616254">
        <w:rPr>
          <w:rFonts w:ascii="Arial" w:hAnsi="Arial" w:cs="Arial"/>
          <w:sz w:val="24"/>
          <w:szCs w:val="24"/>
        </w:rPr>
        <w:t>Fontcuberta</w:t>
      </w:r>
      <w:proofErr w:type="spellEnd"/>
      <w:r w:rsidRPr="00616254">
        <w:rPr>
          <w:rFonts w:ascii="Arial" w:hAnsi="Arial" w:cs="Arial"/>
          <w:sz w:val="24"/>
          <w:szCs w:val="24"/>
        </w:rPr>
        <w:t xml:space="preserve"> DiCarlo, C. (2021) Leadership Styles in Childcare Directors. Early Childhood Education Journal. Available at: https://doi.org/10.1007/s10643-021-01282-2   </w:t>
      </w:r>
    </w:p>
    <w:p w14:paraId="3D85E8D2"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Gray, P. (2011). The decline of play and the rise of psychopathology in children and adolescents. American Journal of Play, 3(4), 443-463.</w:t>
      </w:r>
    </w:p>
    <w:p w14:paraId="5541957C"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Guo, Y., &amp; Bowers, A. J. (2017). Catalytic leadership and teacher collaboration in high-poverty schools. Journal of Educational Administration, 55(1), 89- 106.</w:t>
      </w:r>
    </w:p>
    <w:p w14:paraId="50108B51"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Gupta, S. and Jawanda, M.K. (2020). The impacts of COVID</w:t>
      </w:r>
      <w:r w:rsidRPr="00616254">
        <w:rPr>
          <w:rFonts w:ascii="Cambria Math" w:hAnsi="Cambria Math" w:cs="Cambria Math"/>
          <w:sz w:val="24"/>
          <w:szCs w:val="24"/>
        </w:rPr>
        <w:t>‐</w:t>
      </w:r>
      <w:r w:rsidRPr="00616254">
        <w:rPr>
          <w:rFonts w:ascii="Arial" w:hAnsi="Arial" w:cs="Arial"/>
          <w:sz w:val="24"/>
          <w:szCs w:val="24"/>
        </w:rPr>
        <w:t xml:space="preserve">19 on children. Acta </w:t>
      </w:r>
      <w:proofErr w:type="spellStart"/>
      <w:r w:rsidRPr="00616254">
        <w:rPr>
          <w:rFonts w:ascii="Arial" w:hAnsi="Arial" w:cs="Arial"/>
          <w:sz w:val="24"/>
          <w:szCs w:val="24"/>
        </w:rPr>
        <w:t>Paediatrica</w:t>
      </w:r>
      <w:proofErr w:type="spellEnd"/>
      <w:r w:rsidRPr="00616254">
        <w:rPr>
          <w:rFonts w:ascii="Arial" w:hAnsi="Arial" w:cs="Arial"/>
          <w:sz w:val="24"/>
          <w:szCs w:val="24"/>
        </w:rPr>
        <w:t xml:space="preserve">, 109(11). </w:t>
      </w:r>
      <w:proofErr w:type="spellStart"/>
      <w:proofErr w:type="gramStart"/>
      <w:r w:rsidRPr="00616254">
        <w:rPr>
          <w:rFonts w:ascii="Arial" w:hAnsi="Arial" w:cs="Arial"/>
          <w:sz w:val="24"/>
          <w:szCs w:val="24"/>
        </w:rPr>
        <w:t>doi:https</w:t>
      </w:r>
      <w:proofErr w:type="spellEnd"/>
      <w:r w:rsidRPr="00616254">
        <w:rPr>
          <w:rFonts w:ascii="Arial" w:hAnsi="Arial" w:cs="Arial"/>
          <w:sz w:val="24"/>
          <w:szCs w:val="24"/>
        </w:rPr>
        <w:t>://doi.org/10.1111/apa.15484</w:t>
      </w:r>
      <w:proofErr w:type="gramEnd"/>
      <w:r w:rsidRPr="00616254">
        <w:rPr>
          <w:rFonts w:ascii="Arial" w:hAnsi="Arial" w:cs="Arial"/>
          <w:sz w:val="24"/>
          <w:szCs w:val="24"/>
        </w:rPr>
        <w:t>.</w:t>
      </w:r>
    </w:p>
    <w:p w14:paraId="25BD7107"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Gustafsson, C., &amp; </w:t>
      </w:r>
      <w:proofErr w:type="spellStart"/>
      <w:r w:rsidRPr="00616254">
        <w:rPr>
          <w:rFonts w:ascii="Arial" w:hAnsi="Arial" w:cs="Arial"/>
          <w:sz w:val="24"/>
          <w:szCs w:val="24"/>
        </w:rPr>
        <w:t>Farver</w:t>
      </w:r>
      <w:proofErr w:type="spellEnd"/>
      <w:r w:rsidRPr="00616254">
        <w:rPr>
          <w:rFonts w:ascii="Arial" w:hAnsi="Arial" w:cs="Arial"/>
          <w:sz w:val="24"/>
          <w:szCs w:val="24"/>
        </w:rPr>
        <w:t xml:space="preserve">-Vestergaard, I. (2019). Playful learning and playful teaching in early childhood education. In O. </w:t>
      </w:r>
      <w:proofErr w:type="spellStart"/>
      <w:r w:rsidRPr="00616254">
        <w:rPr>
          <w:rFonts w:ascii="Arial" w:hAnsi="Arial" w:cs="Arial"/>
          <w:sz w:val="24"/>
          <w:szCs w:val="24"/>
        </w:rPr>
        <w:t>Saracho</w:t>
      </w:r>
      <w:proofErr w:type="spellEnd"/>
      <w:r w:rsidRPr="00616254">
        <w:rPr>
          <w:rFonts w:ascii="Arial" w:hAnsi="Arial" w:cs="Arial"/>
          <w:sz w:val="24"/>
          <w:szCs w:val="24"/>
        </w:rPr>
        <w:t xml:space="preserve"> &amp; B. </w:t>
      </w:r>
      <w:proofErr w:type="spellStart"/>
      <w:r w:rsidRPr="00616254">
        <w:rPr>
          <w:rFonts w:ascii="Arial" w:hAnsi="Arial" w:cs="Arial"/>
          <w:sz w:val="24"/>
          <w:szCs w:val="24"/>
        </w:rPr>
        <w:t>Spodek</w:t>
      </w:r>
      <w:proofErr w:type="spellEnd"/>
      <w:r w:rsidRPr="00616254">
        <w:rPr>
          <w:rFonts w:ascii="Arial" w:hAnsi="Arial" w:cs="Arial"/>
          <w:sz w:val="24"/>
          <w:szCs w:val="24"/>
        </w:rPr>
        <w:t xml:space="preserve"> (Eds.), Handbook of Research on the Education of Young Children (pp. 196-211). Routledge.</w:t>
      </w:r>
    </w:p>
    <w:p w14:paraId="6FA5E1C5"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lastRenderedPageBreak/>
        <w:t xml:space="preserve">Hinkley, T., &amp; </w:t>
      </w:r>
      <w:proofErr w:type="spellStart"/>
      <w:r w:rsidRPr="00616254">
        <w:rPr>
          <w:rFonts w:ascii="Arial" w:hAnsi="Arial" w:cs="Arial"/>
          <w:sz w:val="24"/>
          <w:szCs w:val="24"/>
        </w:rPr>
        <w:t>Chavkin</w:t>
      </w:r>
      <w:proofErr w:type="spellEnd"/>
      <w:r w:rsidRPr="00616254">
        <w:rPr>
          <w:rFonts w:ascii="Arial" w:hAnsi="Arial" w:cs="Arial"/>
          <w:sz w:val="24"/>
          <w:szCs w:val="24"/>
        </w:rPr>
        <w:t>, N. F. (2016). Catalytic leadership: A framework for early childhood education leadership. Journal of Early Childhood Education, 43(5), 339- 345.</w:t>
      </w:r>
    </w:p>
    <w:p w14:paraId="49D346AA"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Hodkinson, S. (2012). Children's commissioners: A critical perspective. International Journal of Children's Rights, 20(1), 1-20. </w:t>
      </w:r>
      <w:proofErr w:type="spellStart"/>
      <w:r w:rsidRPr="00616254">
        <w:rPr>
          <w:rFonts w:ascii="Arial" w:hAnsi="Arial" w:cs="Arial"/>
          <w:sz w:val="24"/>
          <w:szCs w:val="24"/>
        </w:rPr>
        <w:t>doi</w:t>
      </w:r>
      <w:proofErr w:type="spellEnd"/>
      <w:r w:rsidRPr="00616254">
        <w:rPr>
          <w:rFonts w:ascii="Arial" w:hAnsi="Arial" w:cs="Arial"/>
          <w:sz w:val="24"/>
          <w:szCs w:val="24"/>
        </w:rPr>
        <w:t>: 10.1163/157181812X621847</w:t>
      </w:r>
    </w:p>
    <w:p w14:paraId="494ACA97"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Hughes, B. P. (2018). The benefits of unstructured playtime for children. Journal of </w:t>
      </w:r>
      <w:proofErr w:type="spellStart"/>
      <w:r w:rsidRPr="00616254">
        <w:rPr>
          <w:rFonts w:ascii="Arial" w:hAnsi="Arial" w:cs="Arial"/>
          <w:sz w:val="24"/>
          <w:szCs w:val="24"/>
        </w:rPr>
        <w:t>Pediatric</w:t>
      </w:r>
      <w:proofErr w:type="spellEnd"/>
      <w:r w:rsidRPr="00616254">
        <w:rPr>
          <w:rFonts w:ascii="Arial" w:hAnsi="Arial" w:cs="Arial"/>
          <w:sz w:val="24"/>
          <w:szCs w:val="24"/>
        </w:rPr>
        <w:t xml:space="preserve"> Health Care, 32(3), 280-283. https://doi.org/10.1016/j.pedhc.2017.11.003</w:t>
      </w:r>
    </w:p>
    <w:p w14:paraId="554ACCBC"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Jones, R. (2019). The role of the Children's Commissioner for Wales: Is it effective in protecting children's rights? Social Work and Social Sciences Review, 20(2), 80-93. </w:t>
      </w:r>
      <w:proofErr w:type="spellStart"/>
      <w:r w:rsidRPr="00616254">
        <w:rPr>
          <w:rFonts w:ascii="Arial" w:hAnsi="Arial" w:cs="Arial"/>
          <w:sz w:val="24"/>
          <w:szCs w:val="24"/>
        </w:rPr>
        <w:t>doi</w:t>
      </w:r>
      <w:proofErr w:type="spellEnd"/>
      <w:r w:rsidRPr="00616254">
        <w:rPr>
          <w:rFonts w:ascii="Arial" w:hAnsi="Arial" w:cs="Arial"/>
          <w:sz w:val="24"/>
          <w:szCs w:val="24"/>
        </w:rPr>
        <w:t>: 10.1921/</w:t>
      </w:r>
      <w:proofErr w:type="gramStart"/>
      <w:r w:rsidRPr="00616254">
        <w:rPr>
          <w:rFonts w:ascii="Arial" w:hAnsi="Arial" w:cs="Arial"/>
          <w:sz w:val="24"/>
          <w:szCs w:val="24"/>
        </w:rPr>
        <w:t>swssr.v</w:t>
      </w:r>
      <w:proofErr w:type="gramEnd"/>
      <w:r w:rsidRPr="00616254">
        <w:rPr>
          <w:rFonts w:ascii="Arial" w:hAnsi="Arial" w:cs="Arial"/>
          <w:sz w:val="24"/>
          <w:szCs w:val="24"/>
        </w:rPr>
        <w:t>20i2.1308</w:t>
      </w:r>
    </w:p>
    <w:p w14:paraId="319D25E2"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Katz, L. G., &amp; McClellan, D. E. (2019). Fostering children's curiosity: An introduction to the issues. In L. G. Katz &amp; D. E. McClellan (Eds.), The Domain of the Young Child (pp. 3- 23). Routledge.</w:t>
      </w:r>
    </w:p>
    <w:p w14:paraId="74C323EB" w14:textId="77777777" w:rsidR="00616254" w:rsidRPr="00616254" w:rsidRDefault="00616254" w:rsidP="00616254">
      <w:pPr>
        <w:spacing w:line="360" w:lineRule="auto"/>
        <w:rPr>
          <w:rFonts w:ascii="Arial" w:hAnsi="Arial" w:cs="Arial"/>
          <w:sz w:val="24"/>
          <w:szCs w:val="24"/>
        </w:rPr>
      </w:pPr>
      <w:proofErr w:type="spellStart"/>
      <w:r w:rsidRPr="00616254">
        <w:rPr>
          <w:rFonts w:ascii="Arial" w:hAnsi="Arial" w:cs="Arial"/>
          <w:sz w:val="24"/>
          <w:szCs w:val="24"/>
        </w:rPr>
        <w:t>Kernan</w:t>
      </w:r>
      <w:proofErr w:type="spellEnd"/>
      <w:r w:rsidRPr="00616254">
        <w:rPr>
          <w:rFonts w:ascii="Arial" w:hAnsi="Arial" w:cs="Arial"/>
          <w:sz w:val="24"/>
          <w:szCs w:val="24"/>
        </w:rPr>
        <w:t>, M. A., &amp; Mitchell, J. (2018). Cultivating creativity and playfulness in children’s design thinking. Journal of Learning Design, 11(2), 15-28. https://doi.org/10.5204/jld.v11i2.314</w:t>
      </w:r>
    </w:p>
    <w:p w14:paraId="7D45DFE2"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Kessler, S. &amp; </w:t>
      </w:r>
      <w:proofErr w:type="spellStart"/>
      <w:r w:rsidRPr="00616254">
        <w:rPr>
          <w:rFonts w:ascii="Arial" w:hAnsi="Arial" w:cs="Arial"/>
          <w:sz w:val="24"/>
          <w:szCs w:val="24"/>
        </w:rPr>
        <w:t>Swadener</w:t>
      </w:r>
      <w:proofErr w:type="spellEnd"/>
      <w:r w:rsidRPr="00616254">
        <w:rPr>
          <w:rFonts w:ascii="Arial" w:hAnsi="Arial" w:cs="Arial"/>
          <w:sz w:val="24"/>
          <w:szCs w:val="24"/>
        </w:rPr>
        <w:t>, B. (2019). Educating for Social Justice in Early Childhood.</w:t>
      </w:r>
    </w:p>
    <w:p w14:paraId="7CAAE87E"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Kim, Y., Kim, D., &amp; Kim, Y. (2018). The impact of playfulness on creativity and innovativeness in the workplace. Journal of Organizational Change Management, 31(5), 1049-1061. https://doi.org/10.1108/JOCM-06-2017-0218</w:t>
      </w:r>
    </w:p>
    <w:p w14:paraId="43A632AB" w14:textId="77777777" w:rsidR="00616254" w:rsidRPr="00616254" w:rsidRDefault="00616254" w:rsidP="00616254">
      <w:pPr>
        <w:spacing w:line="360" w:lineRule="auto"/>
        <w:rPr>
          <w:rFonts w:ascii="Arial" w:hAnsi="Arial" w:cs="Arial"/>
          <w:sz w:val="24"/>
          <w:szCs w:val="24"/>
        </w:rPr>
      </w:pPr>
      <w:proofErr w:type="spellStart"/>
      <w:r w:rsidRPr="00616254">
        <w:rPr>
          <w:rFonts w:ascii="Arial" w:hAnsi="Arial" w:cs="Arial"/>
          <w:sz w:val="24"/>
          <w:szCs w:val="24"/>
        </w:rPr>
        <w:t>Kuhfeld</w:t>
      </w:r>
      <w:proofErr w:type="spellEnd"/>
      <w:r w:rsidRPr="00616254">
        <w:rPr>
          <w:rFonts w:ascii="Arial" w:hAnsi="Arial" w:cs="Arial"/>
          <w:sz w:val="24"/>
          <w:szCs w:val="24"/>
        </w:rPr>
        <w:t xml:space="preserve">, M., </w:t>
      </w:r>
      <w:proofErr w:type="spellStart"/>
      <w:r w:rsidRPr="00616254">
        <w:rPr>
          <w:rFonts w:ascii="Arial" w:hAnsi="Arial" w:cs="Arial"/>
          <w:sz w:val="24"/>
          <w:szCs w:val="24"/>
        </w:rPr>
        <w:t>Soland</w:t>
      </w:r>
      <w:proofErr w:type="spellEnd"/>
      <w:r w:rsidRPr="00616254">
        <w:rPr>
          <w:rFonts w:ascii="Arial" w:hAnsi="Arial" w:cs="Arial"/>
          <w:sz w:val="24"/>
          <w:szCs w:val="24"/>
        </w:rPr>
        <w:t xml:space="preserve">, J., </w:t>
      </w:r>
      <w:proofErr w:type="spellStart"/>
      <w:r w:rsidRPr="00616254">
        <w:rPr>
          <w:rFonts w:ascii="Arial" w:hAnsi="Arial" w:cs="Arial"/>
          <w:sz w:val="24"/>
          <w:szCs w:val="24"/>
        </w:rPr>
        <w:t>Tarasawa</w:t>
      </w:r>
      <w:proofErr w:type="spellEnd"/>
      <w:r w:rsidRPr="00616254">
        <w:rPr>
          <w:rFonts w:ascii="Arial" w:hAnsi="Arial" w:cs="Arial"/>
          <w:sz w:val="24"/>
          <w:szCs w:val="24"/>
        </w:rPr>
        <w:t xml:space="preserve">, B., Johnson, A., </w:t>
      </w:r>
      <w:proofErr w:type="spellStart"/>
      <w:r w:rsidRPr="00616254">
        <w:rPr>
          <w:rFonts w:ascii="Arial" w:hAnsi="Arial" w:cs="Arial"/>
          <w:sz w:val="24"/>
          <w:szCs w:val="24"/>
        </w:rPr>
        <w:t>Ruzek</w:t>
      </w:r>
      <w:proofErr w:type="spellEnd"/>
      <w:r w:rsidRPr="00616254">
        <w:rPr>
          <w:rFonts w:ascii="Arial" w:hAnsi="Arial" w:cs="Arial"/>
          <w:sz w:val="24"/>
          <w:szCs w:val="24"/>
        </w:rPr>
        <w:t>, E., &amp; Liu, J. (2020). Projecting the potential impacts of COVID-19 school closures on academic achievement. Educational Researcher, 49(8), 549-565.</w:t>
      </w:r>
    </w:p>
    <w:p w14:paraId="59F29E90"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Lareau, A. (2003). Unequal childhoods: Class, race, and family life. University of California Press.</w:t>
      </w:r>
    </w:p>
    <w:p w14:paraId="4BB9EF5A"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Lareau, A. (2007). Unequal </w:t>
      </w:r>
      <w:proofErr w:type="gramStart"/>
      <w:r w:rsidRPr="00616254">
        <w:rPr>
          <w:rFonts w:ascii="Arial" w:hAnsi="Arial" w:cs="Arial"/>
          <w:sz w:val="24"/>
          <w:szCs w:val="24"/>
        </w:rPr>
        <w:t>childhoods :</w:t>
      </w:r>
      <w:proofErr w:type="gramEnd"/>
      <w:r w:rsidRPr="00616254">
        <w:rPr>
          <w:rFonts w:ascii="Arial" w:hAnsi="Arial" w:cs="Arial"/>
          <w:sz w:val="24"/>
          <w:szCs w:val="24"/>
        </w:rPr>
        <w:t xml:space="preserve"> class, race, and family life. Berkeley: Univ. Of California Press.</w:t>
      </w:r>
    </w:p>
    <w:p w14:paraId="37201EE5"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lastRenderedPageBreak/>
        <w:t xml:space="preserve">Leach, S. (2016). The Children's Commissioner for Wales: A critical analysis. Journal of Social Welfare and Family Law, 38(4), 425-440. </w:t>
      </w:r>
      <w:proofErr w:type="spellStart"/>
      <w:r w:rsidRPr="00616254">
        <w:rPr>
          <w:rFonts w:ascii="Arial" w:hAnsi="Arial" w:cs="Arial"/>
          <w:sz w:val="24"/>
          <w:szCs w:val="24"/>
        </w:rPr>
        <w:t>doi</w:t>
      </w:r>
      <w:proofErr w:type="spellEnd"/>
      <w:r w:rsidRPr="00616254">
        <w:rPr>
          <w:rFonts w:ascii="Arial" w:hAnsi="Arial" w:cs="Arial"/>
          <w:sz w:val="24"/>
          <w:szCs w:val="24"/>
        </w:rPr>
        <w:t>: 10.1080/09649069.2016.1241885</w:t>
      </w:r>
    </w:p>
    <w:p w14:paraId="664E10CE"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Leo, P. (2007). Connection </w:t>
      </w:r>
      <w:proofErr w:type="gramStart"/>
      <w:r w:rsidRPr="00616254">
        <w:rPr>
          <w:rFonts w:ascii="Arial" w:hAnsi="Arial" w:cs="Arial"/>
          <w:sz w:val="24"/>
          <w:szCs w:val="24"/>
        </w:rPr>
        <w:t>parenting :</w:t>
      </w:r>
      <w:proofErr w:type="gramEnd"/>
      <w:r w:rsidRPr="00616254">
        <w:rPr>
          <w:rFonts w:ascii="Arial" w:hAnsi="Arial" w:cs="Arial"/>
          <w:sz w:val="24"/>
          <w:szCs w:val="24"/>
        </w:rPr>
        <w:t xml:space="preserve"> parenting through connection instead of coercion, through love instead of fear. Deadwood, Or.: Wyatt-Mackenzie Pub.</w:t>
      </w:r>
    </w:p>
    <w:p w14:paraId="5BE791F7"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Liu, J., </w:t>
      </w:r>
      <w:proofErr w:type="spellStart"/>
      <w:r w:rsidRPr="00616254">
        <w:rPr>
          <w:rFonts w:ascii="Arial" w:hAnsi="Arial" w:cs="Arial"/>
          <w:sz w:val="24"/>
          <w:szCs w:val="24"/>
        </w:rPr>
        <w:t>Wyver</w:t>
      </w:r>
      <w:proofErr w:type="spellEnd"/>
      <w:r w:rsidRPr="00616254">
        <w:rPr>
          <w:rFonts w:ascii="Arial" w:hAnsi="Arial" w:cs="Arial"/>
          <w:sz w:val="24"/>
          <w:szCs w:val="24"/>
        </w:rPr>
        <w:t xml:space="preserve">, S. and </w:t>
      </w:r>
      <w:proofErr w:type="spellStart"/>
      <w:r w:rsidRPr="00616254">
        <w:rPr>
          <w:rFonts w:ascii="Arial" w:hAnsi="Arial" w:cs="Arial"/>
          <w:sz w:val="24"/>
          <w:szCs w:val="24"/>
        </w:rPr>
        <w:t>Chutiyami</w:t>
      </w:r>
      <w:proofErr w:type="spellEnd"/>
      <w:r w:rsidRPr="00616254">
        <w:rPr>
          <w:rFonts w:ascii="Arial" w:hAnsi="Arial" w:cs="Arial"/>
          <w:sz w:val="24"/>
          <w:szCs w:val="24"/>
        </w:rPr>
        <w:t xml:space="preserve">, M. (2022). Impacts of COVID-19 Restrictions on Young Children’s Outdoor Activity: A Systematic Review. Children, 9(10), p.1564. </w:t>
      </w:r>
      <w:proofErr w:type="spellStart"/>
      <w:proofErr w:type="gramStart"/>
      <w:r w:rsidRPr="00616254">
        <w:rPr>
          <w:rFonts w:ascii="Arial" w:hAnsi="Arial" w:cs="Arial"/>
          <w:sz w:val="24"/>
          <w:szCs w:val="24"/>
        </w:rPr>
        <w:t>doi:https</w:t>
      </w:r>
      <w:proofErr w:type="spellEnd"/>
      <w:r w:rsidRPr="00616254">
        <w:rPr>
          <w:rFonts w:ascii="Arial" w:hAnsi="Arial" w:cs="Arial"/>
          <w:sz w:val="24"/>
          <w:szCs w:val="24"/>
        </w:rPr>
        <w:t>://doi.org/10.3390/children9101564</w:t>
      </w:r>
      <w:proofErr w:type="gramEnd"/>
      <w:r w:rsidRPr="00616254">
        <w:rPr>
          <w:rFonts w:ascii="Arial" w:hAnsi="Arial" w:cs="Arial"/>
          <w:sz w:val="24"/>
          <w:szCs w:val="24"/>
        </w:rPr>
        <w:t>.</w:t>
      </w:r>
    </w:p>
    <w:p w14:paraId="5DD7967B"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Louise Boyd </w:t>
      </w:r>
      <w:proofErr w:type="spellStart"/>
      <w:r w:rsidRPr="00616254">
        <w:rPr>
          <w:rFonts w:ascii="Arial" w:hAnsi="Arial" w:cs="Arial"/>
          <w:sz w:val="24"/>
          <w:szCs w:val="24"/>
        </w:rPr>
        <w:t>Cadwell</w:t>
      </w:r>
      <w:proofErr w:type="spellEnd"/>
      <w:r w:rsidRPr="00616254">
        <w:rPr>
          <w:rFonts w:ascii="Arial" w:hAnsi="Arial" w:cs="Arial"/>
          <w:sz w:val="24"/>
          <w:szCs w:val="24"/>
        </w:rPr>
        <w:t xml:space="preserve"> (1998). Bringing Reggio Emilia </w:t>
      </w:r>
      <w:proofErr w:type="gramStart"/>
      <w:r w:rsidRPr="00616254">
        <w:rPr>
          <w:rFonts w:ascii="Arial" w:hAnsi="Arial" w:cs="Arial"/>
          <w:sz w:val="24"/>
          <w:szCs w:val="24"/>
        </w:rPr>
        <w:t>home :</w:t>
      </w:r>
      <w:proofErr w:type="gramEnd"/>
      <w:r w:rsidRPr="00616254">
        <w:rPr>
          <w:rFonts w:ascii="Arial" w:hAnsi="Arial" w:cs="Arial"/>
          <w:sz w:val="24"/>
          <w:szCs w:val="24"/>
        </w:rPr>
        <w:t xml:space="preserve"> an innovative approach to early childhood education. New York Teachers College Press.</w:t>
      </w:r>
    </w:p>
    <w:p w14:paraId="32B4E026"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Ludwig, J., &amp; Phillips, D. A. (2007). Long-term effects of early childhood programs on cognitive and school outcomes. The Future of Children, 17(2), 91-118.</w:t>
      </w:r>
    </w:p>
    <w:p w14:paraId="6007E81F"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Lundy, L., &amp; McEvoy, L. (2012). The United Nations Convention on the Rights of the Child: A study of legal implementation in 12 countries. UNICEF Office of Research.</w:t>
      </w:r>
    </w:p>
    <w:p w14:paraId="2A60D0B1"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Maccoby, E.E. and Carol Nagy Jacklin (1974). The psychology of sex differences. Stanford, Calif.: Stanford University Press.</w:t>
      </w:r>
    </w:p>
    <w:p w14:paraId="5F32F190"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Marmot, M., Allen, J., Goldblatt, P., Boyce, T., </w:t>
      </w:r>
      <w:proofErr w:type="spellStart"/>
      <w:r w:rsidRPr="00616254">
        <w:rPr>
          <w:rFonts w:ascii="Arial" w:hAnsi="Arial" w:cs="Arial"/>
          <w:sz w:val="24"/>
          <w:szCs w:val="24"/>
        </w:rPr>
        <w:t>McNeish</w:t>
      </w:r>
      <w:proofErr w:type="spellEnd"/>
      <w:r w:rsidRPr="00616254">
        <w:rPr>
          <w:rFonts w:ascii="Arial" w:hAnsi="Arial" w:cs="Arial"/>
          <w:sz w:val="24"/>
          <w:szCs w:val="24"/>
        </w:rPr>
        <w:t>, D., Grady, M., &amp; Geddes, I. (2010). Fair society, healthy lives: The Marmot review. Institute of Health Equity.</w:t>
      </w:r>
    </w:p>
    <w:p w14:paraId="406A044B"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McCartney, K., &amp; Phillips, D. (Eds.). (2006). Blackwell handbook of early childhood development. Blackwell Publishing.</w:t>
      </w:r>
    </w:p>
    <w:p w14:paraId="3E338910" w14:textId="77777777" w:rsidR="00616254" w:rsidRPr="00616254" w:rsidRDefault="00616254" w:rsidP="00616254">
      <w:pPr>
        <w:spacing w:line="360" w:lineRule="auto"/>
        <w:rPr>
          <w:rFonts w:ascii="Arial" w:hAnsi="Arial" w:cs="Arial"/>
          <w:sz w:val="24"/>
          <w:szCs w:val="24"/>
        </w:rPr>
      </w:pPr>
      <w:proofErr w:type="spellStart"/>
      <w:r w:rsidRPr="00616254">
        <w:rPr>
          <w:rFonts w:ascii="Arial" w:hAnsi="Arial" w:cs="Arial"/>
          <w:sz w:val="24"/>
          <w:szCs w:val="24"/>
        </w:rPr>
        <w:t>McLanahan</w:t>
      </w:r>
      <w:proofErr w:type="spellEnd"/>
      <w:r w:rsidRPr="00616254">
        <w:rPr>
          <w:rFonts w:ascii="Arial" w:hAnsi="Arial" w:cs="Arial"/>
          <w:sz w:val="24"/>
          <w:szCs w:val="24"/>
        </w:rPr>
        <w:t xml:space="preserve">, S. and </w:t>
      </w:r>
      <w:proofErr w:type="spellStart"/>
      <w:r w:rsidRPr="00616254">
        <w:rPr>
          <w:rFonts w:ascii="Arial" w:hAnsi="Arial" w:cs="Arial"/>
          <w:sz w:val="24"/>
          <w:szCs w:val="24"/>
        </w:rPr>
        <w:t>Sandefur</w:t>
      </w:r>
      <w:proofErr w:type="spellEnd"/>
      <w:r w:rsidRPr="00616254">
        <w:rPr>
          <w:rFonts w:ascii="Arial" w:hAnsi="Arial" w:cs="Arial"/>
          <w:sz w:val="24"/>
          <w:szCs w:val="24"/>
        </w:rPr>
        <w:t>, G.D. (2009). Growing Up with a Single Parent. Harvard University Press.</w:t>
      </w:r>
    </w:p>
    <w:p w14:paraId="5A1E0028" w14:textId="77777777" w:rsidR="00616254" w:rsidRPr="00616254" w:rsidRDefault="00616254" w:rsidP="00616254">
      <w:pPr>
        <w:spacing w:line="360" w:lineRule="auto"/>
        <w:rPr>
          <w:rFonts w:ascii="Arial" w:hAnsi="Arial" w:cs="Arial"/>
          <w:sz w:val="24"/>
          <w:szCs w:val="24"/>
        </w:rPr>
      </w:pPr>
      <w:proofErr w:type="spellStart"/>
      <w:r w:rsidRPr="00616254">
        <w:rPr>
          <w:rFonts w:ascii="Arial" w:hAnsi="Arial" w:cs="Arial"/>
          <w:sz w:val="24"/>
          <w:szCs w:val="24"/>
        </w:rPr>
        <w:t>McLanahan</w:t>
      </w:r>
      <w:proofErr w:type="spellEnd"/>
      <w:r w:rsidRPr="00616254">
        <w:rPr>
          <w:rFonts w:ascii="Arial" w:hAnsi="Arial" w:cs="Arial"/>
          <w:sz w:val="24"/>
          <w:szCs w:val="24"/>
        </w:rPr>
        <w:t xml:space="preserve">, S., &amp; </w:t>
      </w:r>
      <w:proofErr w:type="spellStart"/>
      <w:r w:rsidRPr="00616254">
        <w:rPr>
          <w:rFonts w:ascii="Arial" w:hAnsi="Arial" w:cs="Arial"/>
          <w:sz w:val="24"/>
          <w:szCs w:val="24"/>
        </w:rPr>
        <w:t>Sandefur</w:t>
      </w:r>
      <w:proofErr w:type="spellEnd"/>
      <w:r w:rsidRPr="00616254">
        <w:rPr>
          <w:rFonts w:ascii="Arial" w:hAnsi="Arial" w:cs="Arial"/>
          <w:sz w:val="24"/>
          <w:szCs w:val="24"/>
        </w:rPr>
        <w:t>, G. (1994). Growing up with a single parent: What hurts, what helps. Harvard University Press.</w:t>
      </w:r>
    </w:p>
    <w:p w14:paraId="4BF8D419"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Mehta, V., </w:t>
      </w:r>
      <w:proofErr w:type="spellStart"/>
      <w:r w:rsidRPr="00616254">
        <w:rPr>
          <w:rFonts w:ascii="Arial" w:hAnsi="Arial" w:cs="Arial"/>
          <w:sz w:val="24"/>
          <w:szCs w:val="24"/>
        </w:rPr>
        <w:t>Carr</w:t>
      </w:r>
      <w:proofErr w:type="spellEnd"/>
      <w:r w:rsidRPr="00616254">
        <w:rPr>
          <w:rFonts w:ascii="Arial" w:hAnsi="Arial" w:cs="Arial"/>
          <w:sz w:val="24"/>
          <w:szCs w:val="24"/>
        </w:rPr>
        <w:t xml:space="preserve">, V., Brown, R.D. and Kochanowski, L. (2022). The Emerging Impacts of COVID-19 on the Relationship between Children, Youth and Environments. Children, Youth and Environments, 32(1), pp.1–4. </w:t>
      </w:r>
      <w:proofErr w:type="spellStart"/>
      <w:proofErr w:type="gramStart"/>
      <w:r w:rsidRPr="00616254">
        <w:rPr>
          <w:rFonts w:ascii="Arial" w:hAnsi="Arial" w:cs="Arial"/>
          <w:sz w:val="24"/>
          <w:szCs w:val="24"/>
        </w:rPr>
        <w:t>doi:https</w:t>
      </w:r>
      <w:proofErr w:type="spellEnd"/>
      <w:r w:rsidRPr="00616254">
        <w:rPr>
          <w:rFonts w:ascii="Arial" w:hAnsi="Arial" w:cs="Arial"/>
          <w:sz w:val="24"/>
          <w:szCs w:val="24"/>
        </w:rPr>
        <w:t>://doi.org/10.1353/cye.2022.0000</w:t>
      </w:r>
      <w:proofErr w:type="gramEnd"/>
      <w:r w:rsidRPr="00616254">
        <w:rPr>
          <w:rFonts w:ascii="Arial" w:hAnsi="Arial" w:cs="Arial"/>
          <w:sz w:val="24"/>
          <w:szCs w:val="24"/>
        </w:rPr>
        <w:t>.</w:t>
      </w:r>
    </w:p>
    <w:p w14:paraId="23EDAD8F"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lastRenderedPageBreak/>
        <w:t>Morrissey, M., &amp; Callaghan, M. (2018). Promoting equality and inclusion in the early years: A practitioner's guide. Routledge.</w:t>
      </w:r>
    </w:p>
    <w:p w14:paraId="7027FEB1"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Moser, T. et al. (2017) European Framework of Quality and Wellbeing Indicators. European Union: Care Project. </w:t>
      </w:r>
    </w:p>
    <w:p w14:paraId="4962D1E6"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Musgrave, J. (2017) Supporting Children’s Health and Wellbeing. London: Sage Publications. </w:t>
      </w:r>
    </w:p>
    <w:p w14:paraId="6F1B394C"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National Institute for Health and Care Excellence. (2015). Social and emotional wellbeing in primary education. Retrieved from </w:t>
      </w:r>
      <w:proofErr w:type="gramStart"/>
      <w:r w:rsidRPr="00616254">
        <w:rPr>
          <w:rFonts w:ascii="Arial" w:hAnsi="Arial" w:cs="Arial"/>
          <w:sz w:val="24"/>
          <w:szCs w:val="24"/>
        </w:rPr>
        <w:t>https://www.nice.org.uk/guidance/ph12</w:t>
      </w:r>
      <w:proofErr w:type="gramEnd"/>
    </w:p>
    <w:p w14:paraId="02720329"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National Society for the Prevention of Cruelty to Children. (2018). How safe are our children? Retrieved from </w:t>
      </w:r>
      <w:proofErr w:type="gramStart"/>
      <w:r w:rsidRPr="00616254">
        <w:rPr>
          <w:rFonts w:ascii="Arial" w:hAnsi="Arial" w:cs="Arial"/>
          <w:sz w:val="24"/>
          <w:szCs w:val="24"/>
        </w:rPr>
        <w:t>https://www.nspcc.org.uk/globalassets/documents/research-reports/how-safe-2018-report.pdf</w:t>
      </w:r>
      <w:proofErr w:type="gramEnd"/>
    </w:p>
    <w:p w14:paraId="6AEFFAC2" w14:textId="77777777" w:rsidR="00616254" w:rsidRPr="00616254" w:rsidRDefault="00616254" w:rsidP="00616254">
      <w:pPr>
        <w:spacing w:line="360" w:lineRule="auto"/>
        <w:rPr>
          <w:rFonts w:ascii="Arial" w:hAnsi="Arial" w:cs="Arial"/>
          <w:sz w:val="24"/>
          <w:szCs w:val="24"/>
        </w:rPr>
      </w:pPr>
      <w:proofErr w:type="spellStart"/>
      <w:r w:rsidRPr="00616254">
        <w:rPr>
          <w:rFonts w:ascii="Arial" w:hAnsi="Arial" w:cs="Arial"/>
          <w:sz w:val="24"/>
          <w:szCs w:val="24"/>
        </w:rPr>
        <w:t>Nijhof</w:t>
      </w:r>
      <w:proofErr w:type="spellEnd"/>
      <w:r w:rsidRPr="00616254">
        <w:rPr>
          <w:rFonts w:ascii="Arial" w:hAnsi="Arial" w:cs="Arial"/>
          <w:sz w:val="24"/>
          <w:szCs w:val="24"/>
        </w:rPr>
        <w:t xml:space="preserve">, L., &amp; </w:t>
      </w:r>
      <w:proofErr w:type="spellStart"/>
      <w:r w:rsidRPr="00616254">
        <w:rPr>
          <w:rFonts w:ascii="Arial" w:hAnsi="Arial" w:cs="Arial"/>
          <w:sz w:val="24"/>
          <w:szCs w:val="24"/>
        </w:rPr>
        <w:t>Heerschap</w:t>
      </w:r>
      <w:proofErr w:type="spellEnd"/>
      <w:r w:rsidRPr="00616254">
        <w:rPr>
          <w:rFonts w:ascii="Arial" w:hAnsi="Arial" w:cs="Arial"/>
          <w:sz w:val="24"/>
          <w:szCs w:val="24"/>
        </w:rPr>
        <w:t>, W. (2018). Playful futures and the city: The role of playful urban interventions in shaping urban futures. Journal of Futures Studies, 22(3), 77-88. https://doi.org/10.6531/JFS.2018.22(3).A77</w:t>
      </w:r>
    </w:p>
    <w:p w14:paraId="1373CD88"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O'Connor, K., Dearing, E., &amp; Collins, B. A. (2020). Social and emotional development in early childhood: What every policymaker should know. MDRC.</w:t>
      </w:r>
    </w:p>
    <w:p w14:paraId="5CA097EC"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Olds, D. L., Sadler, L., &amp; </w:t>
      </w:r>
      <w:proofErr w:type="spellStart"/>
      <w:r w:rsidRPr="00616254">
        <w:rPr>
          <w:rFonts w:ascii="Arial" w:hAnsi="Arial" w:cs="Arial"/>
          <w:sz w:val="24"/>
          <w:szCs w:val="24"/>
        </w:rPr>
        <w:t>Kitzman</w:t>
      </w:r>
      <w:proofErr w:type="spellEnd"/>
      <w:r w:rsidRPr="00616254">
        <w:rPr>
          <w:rFonts w:ascii="Arial" w:hAnsi="Arial" w:cs="Arial"/>
          <w:sz w:val="24"/>
          <w:szCs w:val="24"/>
        </w:rPr>
        <w:t>, H. (2007). Programs for parents of infants and toddlers: Recent evidence from randomized trials. Journal of Child Psychology and Psychiatry, 48(3-4), 355-391.</w:t>
      </w:r>
    </w:p>
    <w:p w14:paraId="17F11772" w14:textId="77777777" w:rsidR="00616254" w:rsidRPr="00616254" w:rsidRDefault="00616254" w:rsidP="00616254">
      <w:pPr>
        <w:spacing w:line="360" w:lineRule="auto"/>
        <w:rPr>
          <w:rFonts w:ascii="Arial" w:hAnsi="Arial" w:cs="Arial"/>
          <w:sz w:val="24"/>
          <w:szCs w:val="24"/>
        </w:rPr>
      </w:pPr>
      <w:proofErr w:type="spellStart"/>
      <w:r w:rsidRPr="00616254">
        <w:rPr>
          <w:rFonts w:ascii="Arial" w:hAnsi="Arial" w:cs="Arial"/>
          <w:sz w:val="24"/>
          <w:szCs w:val="24"/>
        </w:rPr>
        <w:t>Pianta</w:t>
      </w:r>
      <w:proofErr w:type="spellEnd"/>
      <w:r w:rsidRPr="00616254">
        <w:rPr>
          <w:rFonts w:ascii="Arial" w:hAnsi="Arial" w:cs="Arial"/>
          <w:sz w:val="24"/>
          <w:szCs w:val="24"/>
        </w:rPr>
        <w:t>, R. C., &amp; Cox, M. J. (Eds.). (2002). The transition to kindergarten. Paul H Brookes Publishing.</w:t>
      </w:r>
    </w:p>
    <w:p w14:paraId="171D3AAC"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Playful Futures. (2016). A review of play and leisure opportunities for children in Wales. Welsh Government. https://gov.wales/sites/default/files/publications/2018-07/playful-futures.pdf</w:t>
      </w:r>
    </w:p>
    <w:p w14:paraId="57608C2F"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Raver, C. C. (2002). Emotions matter: Making the case for the role of young children's emotional development for early school readiness. Social Policy Report, 16(3), 3-18.</w:t>
      </w:r>
    </w:p>
    <w:p w14:paraId="2DEECDA7"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lastRenderedPageBreak/>
        <w:t xml:space="preserve">Reed, M. and Canning, N. (2012) Implementing Quality Improvement and Change in the Early Years. London: Sage. </w:t>
      </w:r>
    </w:p>
    <w:p w14:paraId="3D544CB2"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Rees, G., &amp; </w:t>
      </w:r>
      <w:proofErr w:type="spellStart"/>
      <w:r w:rsidRPr="00616254">
        <w:rPr>
          <w:rFonts w:ascii="Arial" w:hAnsi="Arial" w:cs="Arial"/>
          <w:sz w:val="24"/>
          <w:szCs w:val="24"/>
        </w:rPr>
        <w:t>Gorin</w:t>
      </w:r>
      <w:proofErr w:type="spellEnd"/>
      <w:r w:rsidRPr="00616254">
        <w:rPr>
          <w:rFonts w:ascii="Arial" w:hAnsi="Arial" w:cs="Arial"/>
          <w:sz w:val="24"/>
          <w:szCs w:val="24"/>
        </w:rPr>
        <w:t xml:space="preserve">, S. (2019). Child poverty in the UK: A review of the definitions, measurement, </w:t>
      </w:r>
      <w:proofErr w:type="gramStart"/>
      <w:r w:rsidRPr="00616254">
        <w:rPr>
          <w:rFonts w:ascii="Arial" w:hAnsi="Arial" w:cs="Arial"/>
          <w:sz w:val="24"/>
          <w:szCs w:val="24"/>
        </w:rPr>
        <w:t>prevalence</w:t>
      </w:r>
      <w:proofErr w:type="gramEnd"/>
      <w:r w:rsidRPr="00616254">
        <w:rPr>
          <w:rFonts w:ascii="Arial" w:hAnsi="Arial" w:cs="Arial"/>
          <w:sz w:val="24"/>
          <w:szCs w:val="24"/>
        </w:rPr>
        <w:t xml:space="preserve"> and effects of poverty. Child Indicators Research, 12(4), 1249-1274.</w:t>
      </w:r>
    </w:p>
    <w:p w14:paraId="660F1803"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Rees, O. (2006). The Children’s Commissioner for Wales - Social Care Online. [online] Available at: https://www.scie-socialcareonline.org.uk/the-childrens-commissioner-for-wales/r/a1CG0000000GdoDMAS [Accessed 4 Mar. 2023].</w:t>
      </w:r>
    </w:p>
    <w:p w14:paraId="6C1912A3"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Reid, E. (2019). Understanding and Addressing the Needs of Children and Families from Diverse Backgrounds. Routledge.</w:t>
      </w:r>
    </w:p>
    <w:p w14:paraId="18ECF878"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Riley, G. et al. (2019) A National Survey: Knowledge and awareness of Adverse Childhood Experiences (ACEs) in the public service workforce in Wales. Available at: Public Health Wales/ ACES</w:t>
      </w:r>
    </w:p>
    <w:p w14:paraId="5604D3CE"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Rodd, J. (2015). Leading change in early years. Berkshire England: Open University Press.</w:t>
      </w:r>
    </w:p>
    <w:p w14:paraId="123E793B"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Rodgers, </w:t>
      </w:r>
      <w:proofErr w:type="gramStart"/>
      <w:r w:rsidRPr="00616254">
        <w:rPr>
          <w:rFonts w:ascii="Arial" w:hAnsi="Arial" w:cs="Arial"/>
          <w:sz w:val="24"/>
          <w:szCs w:val="24"/>
        </w:rPr>
        <w:t>A.</w:t>
      </w:r>
      <w:proofErr w:type="gramEnd"/>
      <w:r w:rsidRPr="00616254">
        <w:rPr>
          <w:rFonts w:ascii="Arial" w:hAnsi="Arial" w:cs="Arial"/>
          <w:sz w:val="24"/>
          <w:szCs w:val="24"/>
        </w:rPr>
        <w:t xml:space="preserve"> and Dr Elaine Wilmot (2012). Inclusion and Diversity in the Early Years. Andrews UK Limited.</w:t>
      </w:r>
    </w:p>
    <w:p w14:paraId="01BD756C"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Rory McDowall Clark (2010). Childhood in Society for Early Childhood Studies. SAGE.</w:t>
      </w:r>
    </w:p>
    <w:p w14:paraId="5C4E716C" w14:textId="77777777" w:rsidR="00616254" w:rsidRPr="00616254" w:rsidRDefault="00616254" w:rsidP="00616254">
      <w:pPr>
        <w:spacing w:line="360" w:lineRule="auto"/>
        <w:rPr>
          <w:rFonts w:ascii="Arial" w:hAnsi="Arial" w:cs="Arial"/>
          <w:sz w:val="24"/>
          <w:szCs w:val="24"/>
        </w:rPr>
      </w:pPr>
      <w:proofErr w:type="spellStart"/>
      <w:r w:rsidRPr="00616254">
        <w:rPr>
          <w:rFonts w:ascii="Arial" w:hAnsi="Arial" w:cs="Arial"/>
          <w:sz w:val="24"/>
          <w:szCs w:val="24"/>
        </w:rPr>
        <w:t>Sanderijn</w:t>
      </w:r>
      <w:proofErr w:type="spellEnd"/>
      <w:r w:rsidRPr="00616254">
        <w:rPr>
          <w:rFonts w:ascii="Arial" w:hAnsi="Arial" w:cs="Arial"/>
          <w:sz w:val="24"/>
          <w:szCs w:val="24"/>
        </w:rPr>
        <w:t xml:space="preserve"> </w:t>
      </w:r>
      <w:proofErr w:type="spellStart"/>
      <w:r w:rsidRPr="00616254">
        <w:rPr>
          <w:rFonts w:ascii="Arial" w:hAnsi="Arial" w:cs="Arial"/>
          <w:sz w:val="24"/>
          <w:szCs w:val="24"/>
        </w:rPr>
        <w:t>Cels</w:t>
      </w:r>
      <w:proofErr w:type="spellEnd"/>
      <w:r w:rsidRPr="00616254">
        <w:rPr>
          <w:rFonts w:ascii="Arial" w:hAnsi="Arial" w:cs="Arial"/>
          <w:sz w:val="24"/>
          <w:szCs w:val="24"/>
        </w:rPr>
        <w:t xml:space="preserve">, </w:t>
      </w:r>
      <w:proofErr w:type="spellStart"/>
      <w:r w:rsidRPr="00616254">
        <w:rPr>
          <w:rFonts w:ascii="Arial" w:hAnsi="Arial" w:cs="Arial"/>
          <w:sz w:val="24"/>
          <w:szCs w:val="24"/>
        </w:rPr>
        <w:t>Jorrit</w:t>
      </w:r>
      <w:proofErr w:type="spellEnd"/>
      <w:r w:rsidRPr="00616254">
        <w:rPr>
          <w:rFonts w:ascii="Arial" w:hAnsi="Arial" w:cs="Arial"/>
          <w:sz w:val="24"/>
          <w:szCs w:val="24"/>
        </w:rPr>
        <w:t xml:space="preserve"> De Jong and Frans </w:t>
      </w:r>
      <w:proofErr w:type="spellStart"/>
      <w:r w:rsidRPr="00616254">
        <w:rPr>
          <w:rFonts w:ascii="Arial" w:hAnsi="Arial" w:cs="Arial"/>
          <w:sz w:val="24"/>
          <w:szCs w:val="24"/>
        </w:rPr>
        <w:t>Nauta</w:t>
      </w:r>
      <w:proofErr w:type="spellEnd"/>
      <w:r w:rsidRPr="00616254">
        <w:rPr>
          <w:rFonts w:ascii="Arial" w:hAnsi="Arial" w:cs="Arial"/>
          <w:sz w:val="24"/>
          <w:szCs w:val="24"/>
        </w:rPr>
        <w:t xml:space="preserve"> (2012). Agents of </w:t>
      </w:r>
      <w:proofErr w:type="gramStart"/>
      <w:r w:rsidRPr="00616254">
        <w:rPr>
          <w:rFonts w:ascii="Arial" w:hAnsi="Arial" w:cs="Arial"/>
          <w:sz w:val="24"/>
          <w:szCs w:val="24"/>
        </w:rPr>
        <w:t>change :</w:t>
      </w:r>
      <w:proofErr w:type="gramEnd"/>
      <w:r w:rsidRPr="00616254">
        <w:rPr>
          <w:rFonts w:ascii="Arial" w:hAnsi="Arial" w:cs="Arial"/>
          <w:sz w:val="24"/>
          <w:szCs w:val="24"/>
        </w:rPr>
        <w:t xml:space="preserve"> strategy and tactics for social innovation. Washington, D.C.: Brookings Institution Press.</w:t>
      </w:r>
    </w:p>
    <w:p w14:paraId="48621720" w14:textId="77777777" w:rsidR="00616254" w:rsidRPr="00616254" w:rsidRDefault="00616254" w:rsidP="00616254">
      <w:pPr>
        <w:spacing w:line="360" w:lineRule="auto"/>
        <w:rPr>
          <w:rFonts w:ascii="Arial" w:hAnsi="Arial" w:cs="Arial"/>
          <w:sz w:val="24"/>
          <w:szCs w:val="24"/>
        </w:rPr>
      </w:pPr>
      <w:proofErr w:type="spellStart"/>
      <w:r w:rsidRPr="00616254">
        <w:rPr>
          <w:rFonts w:ascii="Arial" w:hAnsi="Arial" w:cs="Arial"/>
          <w:sz w:val="24"/>
          <w:szCs w:val="24"/>
        </w:rPr>
        <w:t>Sandseter</w:t>
      </w:r>
      <w:proofErr w:type="spellEnd"/>
      <w:r w:rsidRPr="00616254">
        <w:rPr>
          <w:rFonts w:ascii="Arial" w:hAnsi="Arial" w:cs="Arial"/>
          <w:sz w:val="24"/>
          <w:szCs w:val="24"/>
        </w:rPr>
        <w:t>, E. B. H. (2009). Risky play and children’s safety: Balancing priorities for optimal child development. International Journal of Play, 1(3), 283-300. https://doi.org/10.1080/21594937.2012.10700294</w:t>
      </w:r>
    </w:p>
    <w:p w14:paraId="761DFDC3"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Shonkoff, J. P., &amp; Fisher, P. A. (2013). Rethinking evidence-based practice and two-generation programs to create the future of early childhood policy. Development and Psychopathology, 25(4pt2), 1635-1653.</w:t>
      </w:r>
    </w:p>
    <w:p w14:paraId="779D2B8E"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Shonkoff, J. P., &amp; Garner, A. S. (2012). The lifelong effects of early childhood adversity and toxic stress. </w:t>
      </w:r>
      <w:proofErr w:type="spellStart"/>
      <w:r w:rsidRPr="00616254">
        <w:rPr>
          <w:rFonts w:ascii="Arial" w:hAnsi="Arial" w:cs="Arial"/>
          <w:sz w:val="24"/>
          <w:szCs w:val="24"/>
        </w:rPr>
        <w:t>Pediatrics</w:t>
      </w:r>
      <w:proofErr w:type="spellEnd"/>
      <w:r w:rsidRPr="00616254">
        <w:rPr>
          <w:rFonts w:ascii="Arial" w:hAnsi="Arial" w:cs="Arial"/>
          <w:sz w:val="24"/>
          <w:szCs w:val="24"/>
        </w:rPr>
        <w:t>, 129(1), e232-e246.</w:t>
      </w:r>
    </w:p>
    <w:p w14:paraId="639CE164" w14:textId="77777777" w:rsidR="00616254" w:rsidRPr="00616254" w:rsidRDefault="00616254" w:rsidP="00616254">
      <w:pPr>
        <w:spacing w:line="360" w:lineRule="auto"/>
        <w:rPr>
          <w:rFonts w:ascii="Arial" w:hAnsi="Arial" w:cs="Arial"/>
          <w:sz w:val="24"/>
          <w:szCs w:val="24"/>
        </w:rPr>
      </w:pPr>
      <w:proofErr w:type="spellStart"/>
      <w:r w:rsidRPr="00616254">
        <w:rPr>
          <w:rFonts w:ascii="Arial" w:hAnsi="Arial" w:cs="Arial"/>
          <w:sz w:val="24"/>
          <w:szCs w:val="24"/>
        </w:rPr>
        <w:lastRenderedPageBreak/>
        <w:t>Silton</w:t>
      </w:r>
      <w:proofErr w:type="spellEnd"/>
      <w:r w:rsidRPr="00616254">
        <w:rPr>
          <w:rFonts w:ascii="Arial" w:hAnsi="Arial" w:cs="Arial"/>
          <w:sz w:val="24"/>
          <w:szCs w:val="24"/>
        </w:rPr>
        <w:t>, N.R. (2022). The impact of the COVID-19 pandemic on child, adolescent, and adult development. Hershey, PA: Information Science Reference, an imprint of IGI Global.</w:t>
      </w:r>
    </w:p>
    <w:p w14:paraId="147FAE72"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Siraj, I. and </w:t>
      </w:r>
      <w:proofErr w:type="spellStart"/>
      <w:r w:rsidRPr="00616254">
        <w:rPr>
          <w:rFonts w:ascii="Arial" w:hAnsi="Arial" w:cs="Arial"/>
          <w:sz w:val="24"/>
          <w:szCs w:val="24"/>
        </w:rPr>
        <w:t>Hallet</w:t>
      </w:r>
      <w:proofErr w:type="spellEnd"/>
      <w:r w:rsidRPr="00616254">
        <w:rPr>
          <w:rFonts w:ascii="Arial" w:hAnsi="Arial" w:cs="Arial"/>
          <w:sz w:val="24"/>
          <w:szCs w:val="24"/>
        </w:rPr>
        <w:t>, E. (2013). Effective and Caring Leadership in the Early Years. SAGE.</w:t>
      </w:r>
    </w:p>
    <w:p w14:paraId="0153FB39"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Sutton-Smith, B. (1997). The ambiguity of play. Harvard University Press.</w:t>
      </w:r>
    </w:p>
    <w:p w14:paraId="0DD968D7"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Sylva, K., </w:t>
      </w:r>
      <w:proofErr w:type="spellStart"/>
      <w:r w:rsidRPr="00616254">
        <w:rPr>
          <w:rFonts w:ascii="Arial" w:hAnsi="Arial" w:cs="Arial"/>
          <w:sz w:val="24"/>
          <w:szCs w:val="24"/>
        </w:rPr>
        <w:t>Melhuish</w:t>
      </w:r>
      <w:proofErr w:type="spellEnd"/>
      <w:r w:rsidRPr="00616254">
        <w:rPr>
          <w:rFonts w:ascii="Arial" w:hAnsi="Arial" w:cs="Arial"/>
          <w:sz w:val="24"/>
          <w:szCs w:val="24"/>
        </w:rPr>
        <w:t>, E., Sammons, P., Siraj-Blatchford, I., &amp; Taggart, B. (2015). Early childhood matters: Evidence from the Effective Pre-school and Primary Education Project. Routledge.</w:t>
      </w:r>
    </w:p>
    <w:p w14:paraId="6897BD3F"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Talan, T. N., Bloom, P. J., &amp; Kelton, R. E. (2014) ‘Building the leadership capacity of early childhood directors: An evaluation of a leadership development model’. Early Childhood Research &amp; Practice, 16(1), 5231</w:t>
      </w:r>
    </w:p>
    <w:p w14:paraId="2044079F" w14:textId="77777777" w:rsidR="00616254" w:rsidRPr="00616254" w:rsidRDefault="00616254" w:rsidP="00616254">
      <w:pPr>
        <w:spacing w:line="360" w:lineRule="auto"/>
        <w:rPr>
          <w:rFonts w:ascii="Arial" w:hAnsi="Arial" w:cs="Arial"/>
          <w:sz w:val="24"/>
          <w:szCs w:val="24"/>
        </w:rPr>
      </w:pPr>
      <w:proofErr w:type="spellStart"/>
      <w:r w:rsidRPr="00616254">
        <w:rPr>
          <w:rFonts w:ascii="Arial" w:hAnsi="Arial" w:cs="Arial"/>
          <w:sz w:val="24"/>
          <w:szCs w:val="24"/>
        </w:rPr>
        <w:t>Teicher</w:t>
      </w:r>
      <w:proofErr w:type="spellEnd"/>
      <w:r w:rsidRPr="00616254">
        <w:rPr>
          <w:rFonts w:ascii="Arial" w:hAnsi="Arial" w:cs="Arial"/>
          <w:sz w:val="24"/>
          <w:szCs w:val="24"/>
        </w:rPr>
        <w:t xml:space="preserve">, M. H., Andersen, S. L., </w:t>
      </w:r>
      <w:proofErr w:type="spellStart"/>
      <w:r w:rsidRPr="00616254">
        <w:rPr>
          <w:rFonts w:ascii="Arial" w:hAnsi="Arial" w:cs="Arial"/>
          <w:sz w:val="24"/>
          <w:szCs w:val="24"/>
        </w:rPr>
        <w:t>Polcari</w:t>
      </w:r>
      <w:proofErr w:type="spellEnd"/>
      <w:r w:rsidRPr="00616254">
        <w:rPr>
          <w:rFonts w:ascii="Arial" w:hAnsi="Arial" w:cs="Arial"/>
          <w:sz w:val="24"/>
          <w:szCs w:val="24"/>
        </w:rPr>
        <w:t xml:space="preserve">, A., Anderson, C. M., </w:t>
      </w:r>
      <w:proofErr w:type="spellStart"/>
      <w:r w:rsidRPr="00616254">
        <w:rPr>
          <w:rFonts w:ascii="Arial" w:hAnsi="Arial" w:cs="Arial"/>
          <w:sz w:val="24"/>
          <w:szCs w:val="24"/>
        </w:rPr>
        <w:t>Navalta</w:t>
      </w:r>
      <w:proofErr w:type="spellEnd"/>
      <w:r w:rsidRPr="00616254">
        <w:rPr>
          <w:rFonts w:ascii="Arial" w:hAnsi="Arial" w:cs="Arial"/>
          <w:sz w:val="24"/>
          <w:szCs w:val="24"/>
        </w:rPr>
        <w:t xml:space="preserve">, C. P., &amp; Kim, D. M. (2003). The neurobiological consequences of early stress and childhood maltreatment. Neuroscience &amp; </w:t>
      </w:r>
      <w:proofErr w:type="spellStart"/>
      <w:r w:rsidRPr="00616254">
        <w:rPr>
          <w:rFonts w:ascii="Arial" w:hAnsi="Arial" w:cs="Arial"/>
          <w:sz w:val="24"/>
          <w:szCs w:val="24"/>
        </w:rPr>
        <w:t>Biobehavioral</w:t>
      </w:r>
      <w:proofErr w:type="spellEnd"/>
      <w:r w:rsidRPr="00616254">
        <w:rPr>
          <w:rFonts w:ascii="Arial" w:hAnsi="Arial" w:cs="Arial"/>
          <w:sz w:val="24"/>
          <w:szCs w:val="24"/>
        </w:rPr>
        <w:t xml:space="preserve"> Reviews, 27(1-2), 33-44.</w:t>
      </w:r>
    </w:p>
    <w:p w14:paraId="6CE525F1"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The Sutton Trust. (2014). A fair start: Ensuring all children have the best possible start in life. Retrieved from </w:t>
      </w:r>
      <w:proofErr w:type="gramStart"/>
      <w:r w:rsidRPr="00616254">
        <w:rPr>
          <w:rFonts w:ascii="Arial" w:hAnsi="Arial" w:cs="Arial"/>
          <w:sz w:val="24"/>
          <w:szCs w:val="24"/>
        </w:rPr>
        <w:t>https://www.suttontrust.com/wp-content/uploads/2014/09/A-Fair-Start.pdf</w:t>
      </w:r>
      <w:proofErr w:type="gramEnd"/>
    </w:p>
    <w:p w14:paraId="2DED7DD2"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Thornton, L. and Brunton, P. (2005). Understanding the Reggio </w:t>
      </w:r>
      <w:proofErr w:type="gramStart"/>
      <w:r w:rsidRPr="00616254">
        <w:rPr>
          <w:rFonts w:ascii="Arial" w:hAnsi="Arial" w:cs="Arial"/>
          <w:sz w:val="24"/>
          <w:szCs w:val="24"/>
        </w:rPr>
        <w:t>approach :</w:t>
      </w:r>
      <w:proofErr w:type="gramEnd"/>
      <w:r w:rsidRPr="00616254">
        <w:rPr>
          <w:rFonts w:ascii="Arial" w:hAnsi="Arial" w:cs="Arial"/>
          <w:sz w:val="24"/>
          <w:szCs w:val="24"/>
        </w:rPr>
        <w:t xml:space="preserve"> reflections on the early childhood experience of Reggio Emilia. London: David Fulton.</w:t>
      </w:r>
    </w:p>
    <w:p w14:paraId="0B00B117" w14:textId="77777777" w:rsidR="00616254" w:rsidRPr="00616254" w:rsidRDefault="00616254" w:rsidP="00616254">
      <w:pPr>
        <w:spacing w:line="360" w:lineRule="auto"/>
        <w:rPr>
          <w:rFonts w:ascii="Arial" w:hAnsi="Arial" w:cs="Arial"/>
          <w:sz w:val="24"/>
          <w:szCs w:val="24"/>
        </w:rPr>
      </w:pPr>
      <w:proofErr w:type="spellStart"/>
      <w:r w:rsidRPr="00616254">
        <w:rPr>
          <w:rFonts w:ascii="Arial" w:hAnsi="Arial" w:cs="Arial"/>
          <w:sz w:val="24"/>
          <w:szCs w:val="24"/>
        </w:rPr>
        <w:t>Tijnagel-Schoenaker</w:t>
      </w:r>
      <w:proofErr w:type="spellEnd"/>
      <w:r w:rsidRPr="00616254">
        <w:rPr>
          <w:rFonts w:ascii="Arial" w:hAnsi="Arial" w:cs="Arial"/>
          <w:sz w:val="24"/>
          <w:szCs w:val="24"/>
        </w:rPr>
        <w:t xml:space="preserve">, B. (2018). The Reggio Emilia Approach… The Hundred Languages. Prima </w:t>
      </w:r>
      <w:proofErr w:type="spellStart"/>
      <w:r w:rsidRPr="00616254">
        <w:rPr>
          <w:rFonts w:ascii="Arial" w:hAnsi="Arial" w:cs="Arial"/>
          <w:sz w:val="24"/>
          <w:szCs w:val="24"/>
        </w:rPr>
        <w:t>Educatione</w:t>
      </w:r>
      <w:proofErr w:type="spellEnd"/>
      <w:r w:rsidRPr="00616254">
        <w:rPr>
          <w:rFonts w:ascii="Arial" w:hAnsi="Arial" w:cs="Arial"/>
          <w:sz w:val="24"/>
          <w:szCs w:val="24"/>
        </w:rPr>
        <w:t xml:space="preserve">, 1, p.139. </w:t>
      </w:r>
      <w:proofErr w:type="spellStart"/>
      <w:proofErr w:type="gramStart"/>
      <w:r w:rsidRPr="00616254">
        <w:rPr>
          <w:rFonts w:ascii="Arial" w:hAnsi="Arial" w:cs="Arial"/>
          <w:sz w:val="24"/>
          <w:szCs w:val="24"/>
        </w:rPr>
        <w:t>doi:https</w:t>
      </w:r>
      <w:proofErr w:type="spellEnd"/>
      <w:r w:rsidRPr="00616254">
        <w:rPr>
          <w:rFonts w:ascii="Arial" w:hAnsi="Arial" w:cs="Arial"/>
          <w:sz w:val="24"/>
          <w:szCs w:val="24"/>
        </w:rPr>
        <w:t>://doi.org/10.17951/pe.2017.1.139</w:t>
      </w:r>
      <w:proofErr w:type="gramEnd"/>
      <w:r w:rsidRPr="00616254">
        <w:rPr>
          <w:rFonts w:ascii="Arial" w:hAnsi="Arial" w:cs="Arial"/>
          <w:sz w:val="24"/>
          <w:szCs w:val="24"/>
        </w:rPr>
        <w:t>.</w:t>
      </w:r>
    </w:p>
    <w:p w14:paraId="349683FE"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UNICEF (1989). UN Convention on the Rights of the Child (UNCRC) - </w:t>
      </w:r>
      <w:proofErr w:type="spellStart"/>
      <w:r w:rsidRPr="00616254">
        <w:rPr>
          <w:rFonts w:ascii="Arial" w:hAnsi="Arial" w:cs="Arial"/>
          <w:sz w:val="24"/>
          <w:szCs w:val="24"/>
        </w:rPr>
        <w:t>Unicef</w:t>
      </w:r>
      <w:proofErr w:type="spellEnd"/>
      <w:r w:rsidRPr="00616254">
        <w:rPr>
          <w:rFonts w:ascii="Arial" w:hAnsi="Arial" w:cs="Arial"/>
          <w:sz w:val="24"/>
          <w:szCs w:val="24"/>
        </w:rPr>
        <w:t xml:space="preserve"> UK. [online] UNICEF. Available at: https://www.unicef.org.uk/what-we-do/un-convention-child-rights/.</w:t>
      </w:r>
    </w:p>
    <w:p w14:paraId="0D526970"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UNICEF. (2016). Child poverty in perspective: An overview of child well-being in rich countries. Retrieved from </w:t>
      </w:r>
      <w:proofErr w:type="gramStart"/>
      <w:r w:rsidRPr="00616254">
        <w:rPr>
          <w:rFonts w:ascii="Arial" w:hAnsi="Arial" w:cs="Arial"/>
          <w:sz w:val="24"/>
          <w:szCs w:val="24"/>
        </w:rPr>
        <w:t>https://www.unicef-irc.org/publications/pdf/rc14_eng.pdf</w:t>
      </w:r>
      <w:proofErr w:type="gramEnd"/>
    </w:p>
    <w:p w14:paraId="2DA3B013"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lastRenderedPageBreak/>
        <w:t>United Nations General Assembly. (1989). Convention on the Rights of the Child. Treaty Series, 1577, 3.</w:t>
      </w:r>
    </w:p>
    <w:p w14:paraId="7BA6A031"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Valentine, M., Scottish Consultative Council </w:t>
      </w:r>
      <w:proofErr w:type="gramStart"/>
      <w:r w:rsidRPr="00616254">
        <w:rPr>
          <w:rFonts w:ascii="Arial" w:hAnsi="Arial" w:cs="Arial"/>
          <w:sz w:val="24"/>
          <w:szCs w:val="24"/>
        </w:rPr>
        <w:t>On</w:t>
      </w:r>
      <w:proofErr w:type="gramEnd"/>
      <w:r w:rsidRPr="00616254">
        <w:rPr>
          <w:rFonts w:ascii="Arial" w:hAnsi="Arial" w:cs="Arial"/>
          <w:sz w:val="24"/>
          <w:szCs w:val="24"/>
        </w:rPr>
        <w:t xml:space="preserve"> The Curriculum and Learning And Teaching Scotland (2006). The Reggio Emilia approach to early years education. Dundee: Learning </w:t>
      </w:r>
      <w:proofErr w:type="gramStart"/>
      <w:r w:rsidRPr="00616254">
        <w:rPr>
          <w:rFonts w:ascii="Arial" w:hAnsi="Arial" w:cs="Arial"/>
          <w:sz w:val="24"/>
          <w:szCs w:val="24"/>
        </w:rPr>
        <w:t>And</w:t>
      </w:r>
      <w:proofErr w:type="gramEnd"/>
      <w:r w:rsidRPr="00616254">
        <w:rPr>
          <w:rFonts w:ascii="Arial" w:hAnsi="Arial" w:cs="Arial"/>
          <w:sz w:val="24"/>
          <w:szCs w:val="24"/>
        </w:rPr>
        <w:t xml:space="preserve"> Teaching Scotland.</w:t>
      </w:r>
    </w:p>
    <w:p w14:paraId="425C6918"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van </w:t>
      </w:r>
      <w:proofErr w:type="spellStart"/>
      <w:r w:rsidRPr="00616254">
        <w:rPr>
          <w:rFonts w:ascii="Arial" w:hAnsi="Arial" w:cs="Arial"/>
          <w:sz w:val="24"/>
          <w:szCs w:val="24"/>
        </w:rPr>
        <w:t>IJzendoorn</w:t>
      </w:r>
      <w:proofErr w:type="spellEnd"/>
      <w:r w:rsidRPr="00616254">
        <w:rPr>
          <w:rFonts w:ascii="Arial" w:hAnsi="Arial" w:cs="Arial"/>
          <w:sz w:val="24"/>
          <w:szCs w:val="24"/>
        </w:rPr>
        <w:t xml:space="preserve">, M. H., </w:t>
      </w:r>
      <w:proofErr w:type="spellStart"/>
      <w:r w:rsidRPr="00616254">
        <w:rPr>
          <w:rFonts w:ascii="Arial" w:hAnsi="Arial" w:cs="Arial"/>
          <w:sz w:val="24"/>
          <w:szCs w:val="24"/>
        </w:rPr>
        <w:t>Bakermans-Kranenburg</w:t>
      </w:r>
      <w:proofErr w:type="spellEnd"/>
      <w:r w:rsidRPr="00616254">
        <w:rPr>
          <w:rFonts w:ascii="Arial" w:hAnsi="Arial" w:cs="Arial"/>
          <w:sz w:val="24"/>
          <w:szCs w:val="24"/>
        </w:rPr>
        <w:t xml:space="preserve">, M. J., &amp; </w:t>
      </w:r>
      <w:proofErr w:type="spellStart"/>
      <w:r w:rsidRPr="00616254">
        <w:rPr>
          <w:rFonts w:ascii="Arial" w:hAnsi="Arial" w:cs="Arial"/>
          <w:sz w:val="24"/>
          <w:szCs w:val="24"/>
        </w:rPr>
        <w:t>Sagi</w:t>
      </w:r>
      <w:proofErr w:type="spellEnd"/>
      <w:r w:rsidRPr="00616254">
        <w:rPr>
          <w:rFonts w:ascii="Arial" w:hAnsi="Arial" w:cs="Arial"/>
          <w:sz w:val="24"/>
          <w:szCs w:val="24"/>
        </w:rPr>
        <w:t>-Schwartz, A. (2019). Attachment theory and developmental psychopathology. In Developmental Psychopathology (pp. 123-162). Springer.</w:t>
      </w:r>
    </w:p>
    <w:p w14:paraId="6E3889C5"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Welsh </w:t>
      </w:r>
      <w:proofErr w:type="spellStart"/>
      <w:r w:rsidRPr="00616254">
        <w:rPr>
          <w:rFonts w:ascii="Arial" w:hAnsi="Arial" w:cs="Arial"/>
          <w:sz w:val="24"/>
          <w:szCs w:val="24"/>
        </w:rPr>
        <w:t>Goverment</w:t>
      </w:r>
      <w:proofErr w:type="spellEnd"/>
      <w:r w:rsidRPr="00616254">
        <w:rPr>
          <w:rFonts w:ascii="Arial" w:hAnsi="Arial" w:cs="Arial"/>
          <w:sz w:val="24"/>
          <w:szCs w:val="24"/>
        </w:rPr>
        <w:t>. (2020). Increased support for children’s mental health following Covid-19 outbreak. [online] Available at: https://www.gov.wales/increased-support-childrens-mental-health-following-covid-19-outbreak.</w:t>
      </w:r>
    </w:p>
    <w:p w14:paraId="0A0A326C"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Welsh Government (2021). Delphi Study on the impact of COVID-19 on children under age 5. [online] Available at: https://www.gov.wales/delphi-study-impact-covid-19-children-under-age-5.</w:t>
      </w:r>
    </w:p>
    <w:p w14:paraId="443D036B"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Welsh Government. (2019). Play policy. Retrieved from </w:t>
      </w:r>
      <w:proofErr w:type="gramStart"/>
      <w:r w:rsidRPr="00616254">
        <w:rPr>
          <w:rFonts w:ascii="Arial" w:hAnsi="Arial" w:cs="Arial"/>
          <w:sz w:val="24"/>
          <w:szCs w:val="24"/>
        </w:rPr>
        <w:t>https://gov.wales/play-policy</w:t>
      </w:r>
      <w:proofErr w:type="gramEnd"/>
    </w:p>
    <w:p w14:paraId="73B903D3"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Whalley, M. et al. (2019) Democratising Leadership in the Early Years: A systematic approach. Oxon: Routledge. </w:t>
      </w:r>
    </w:p>
    <w:p w14:paraId="1BD49B55"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Whalley, M., John, K., Whitaker, P., Klavins, E., Parker, C. and </w:t>
      </w:r>
      <w:proofErr w:type="spellStart"/>
      <w:r w:rsidRPr="00616254">
        <w:rPr>
          <w:rFonts w:ascii="Arial" w:hAnsi="Arial" w:cs="Arial"/>
          <w:sz w:val="24"/>
          <w:szCs w:val="24"/>
        </w:rPr>
        <w:t>Vaggers</w:t>
      </w:r>
      <w:proofErr w:type="spellEnd"/>
      <w:r w:rsidRPr="00616254">
        <w:rPr>
          <w:rFonts w:ascii="Arial" w:hAnsi="Arial" w:cs="Arial"/>
          <w:sz w:val="24"/>
          <w:szCs w:val="24"/>
        </w:rPr>
        <w:t>, J. (2018). Democratising Leadership in the Early Years. Routledge.</w:t>
      </w:r>
    </w:p>
    <w:p w14:paraId="4657D216"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Williams Brown, Z. and </w:t>
      </w:r>
      <w:proofErr w:type="spellStart"/>
      <w:r w:rsidRPr="00616254">
        <w:rPr>
          <w:rFonts w:ascii="Arial" w:hAnsi="Arial" w:cs="Arial"/>
          <w:sz w:val="24"/>
          <w:szCs w:val="24"/>
        </w:rPr>
        <w:t>Mander</w:t>
      </w:r>
      <w:proofErr w:type="spellEnd"/>
      <w:r w:rsidRPr="00616254">
        <w:rPr>
          <w:rFonts w:ascii="Arial" w:hAnsi="Arial" w:cs="Arial"/>
          <w:sz w:val="24"/>
          <w:szCs w:val="24"/>
        </w:rPr>
        <w:t>, S. (2021) Childhood and Well-being and Resilience. Oxon: Routledge.</w:t>
      </w:r>
    </w:p>
    <w:p w14:paraId="32237766"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Williams, J. (2013). The United Nations Convention on the Rights of the Child in Wales. University of Wales Press.</w:t>
      </w:r>
    </w:p>
    <w:p w14:paraId="2FD66660" w14:textId="6F498885" w:rsidR="00F8077E" w:rsidRPr="00DF21E0" w:rsidRDefault="00616254" w:rsidP="00616254">
      <w:pPr>
        <w:spacing w:line="360" w:lineRule="auto"/>
        <w:rPr>
          <w:rFonts w:ascii="Arial" w:hAnsi="Arial" w:cs="Arial"/>
          <w:sz w:val="24"/>
          <w:szCs w:val="24"/>
        </w:rPr>
      </w:pPr>
      <w:r w:rsidRPr="00616254">
        <w:rPr>
          <w:rFonts w:ascii="Arial" w:hAnsi="Arial" w:cs="Arial"/>
          <w:sz w:val="24"/>
          <w:szCs w:val="24"/>
        </w:rPr>
        <w:t xml:space="preserve">Yeung, W. J., Sandberg, J. F., Davis-Kean, P. E., &amp; </w:t>
      </w:r>
      <w:proofErr w:type="spellStart"/>
      <w:r w:rsidRPr="00616254">
        <w:rPr>
          <w:rFonts w:ascii="Arial" w:hAnsi="Arial" w:cs="Arial"/>
          <w:sz w:val="24"/>
          <w:szCs w:val="24"/>
        </w:rPr>
        <w:t>Hofferth</w:t>
      </w:r>
      <w:proofErr w:type="spellEnd"/>
      <w:r w:rsidRPr="00616254">
        <w:rPr>
          <w:rFonts w:ascii="Arial" w:hAnsi="Arial" w:cs="Arial"/>
          <w:sz w:val="24"/>
          <w:szCs w:val="24"/>
        </w:rPr>
        <w:t>, S. L. (2001). Children's time with fathers in intact families. Journal of Marriage and Family, 63(1), 136-154.</w:t>
      </w:r>
    </w:p>
    <w:sectPr w:rsidR="00F8077E" w:rsidRPr="00DF21E0">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18BCC" w14:textId="77777777" w:rsidR="00F74725" w:rsidRDefault="00F74725" w:rsidP="0040212E">
      <w:pPr>
        <w:spacing w:after="0" w:line="240" w:lineRule="auto"/>
      </w:pPr>
      <w:r>
        <w:separator/>
      </w:r>
    </w:p>
  </w:endnote>
  <w:endnote w:type="continuationSeparator" w:id="0">
    <w:p w14:paraId="350E7E44" w14:textId="77777777" w:rsidR="00F74725" w:rsidRDefault="00F74725" w:rsidP="00402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9468485"/>
      <w:docPartObj>
        <w:docPartGallery w:val="Page Numbers (Bottom of Page)"/>
        <w:docPartUnique/>
      </w:docPartObj>
    </w:sdtPr>
    <w:sdtEndPr>
      <w:rPr>
        <w:noProof/>
      </w:rPr>
    </w:sdtEndPr>
    <w:sdtContent>
      <w:p w14:paraId="1338B495" w14:textId="4CF97ECE" w:rsidR="0040212E" w:rsidRDefault="004021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999EEE" w14:textId="77777777" w:rsidR="0040212E" w:rsidRDefault="004021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4263FA" w14:textId="77777777" w:rsidR="00F74725" w:rsidRDefault="00F74725" w:rsidP="0040212E">
      <w:pPr>
        <w:spacing w:after="0" w:line="240" w:lineRule="auto"/>
      </w:pPr>
      <w:r>
        <w:separator/>
      </w:r>
    </w:p>
  </w:footnote>
  <w:footnote w:type="continuationSeparator" w:id="0">
    <w:p w14:paraId="486B164A" w14:textId="77777777" w:rsidR="00F74725" w:rsidRDefault="00F74725" w:rsidP="004021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C99ED" w14:textId="61D8DA19" w:rsidR="0040212E" w:rsidRPr="0040212E" w:rsidRDefault="0040212E">
    <w:pPr>
      <w:pStyle w:val="Header"/>
      <w:rPr>
        <w:rFonts w:ascii="Arial" w:hAnsi="Arial" w:cs="Arial"/>
        <w:sz w:val="24"/>
        <w:szCs w:val="24"/>
      </w:rPr>
    </w:pPr>
    <w:r w:rsidRPr="0040212E">
      <w:rPr>
        <w:rFonts w:ascii="Arial" w:hAnsi="Arial" w:cs="Arial"/>
        <w:sz w:val="24"/>
        <w:szCs w:val="24"/>
      </w:rPr>
      <w:t>Catalytic Leadership</w:t>
    </w:r>
    <w:r w:rsidRPr="0040212E">
      <w:rPr>
        <w:rFonts w:ascii="Arial" w:hAnsi="Arial" w:cs="Arial"/>
        <w:sz w:val="24"/>
        <w:szCs w:val="24"/>
      </w:rPr>
      <w:ptab w:relativeTo="margin" w:alignment="center" w:leader="none"/>
    </w:r>
    <w:r w:rsidRPr="0040212E">
      <w:rPr>
        <w:rFonts w:ascii="Arial" w:hAnsi="Arial" w:cs="Arial"/>
        <w:sz w:val="24"/>
        <w:szCs w:val="24"/>
      </w:rPr>
      <w:t>ECEY6009/C</w:t>
    </w:r>
    <w:r w:rsidRPr="0040212E">
      <w:rPr>
        <w:rFonts w:ascii="Arial" w:hAnsi="Arial" w:cs="Arial"/>
        <w:sz w:val="24"/>
        <w:szCs w:val="24"/>
      </w:rPr>
      <w:ptab w:relativeTo="margin" w:alignment="right" w:leader="none"/>
    </w:r>
    <w:r w:rsidRPr="0040212E">
      <w:rPr>
        <w:rFonts w:ascii="Arial" w:hAnsi="Arial" w:cs="Arial"/>
        <w:sz w:val="24"/>
        <w:szCs w:val="24"/>
      </w:rPr>
      <w:t>Word Count:</w:t>
    </w:r>
    <w:r w:rsidR="00616254">
      <w:rPr>
        <w:rFonts w:ascii="Arial" w:hAnsi="Arial" w:cs="Arial"/>
        <w:sz w:val="24"/>
        <w:szCs w:val="24"/>
      </w:rPr>
      <w:t xml:space="preserve"> 3830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8752F0"/>
    <w:multiLevelType w:val="hybridMultilevel"/>
    <w:tmpl w:val="63B48A6E"/>
    <w:lvl w:ilvl="0" w:tplc="AB929DD4">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501DE7"/>
    <w:multiLevelType w:val="hybridMultilevel"/>
    <w:tmpl w:val="628026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910B5C"/>
    <w:multiLevelType w:val="hybridMultilevel"/>
    <w:tmpl w:val="F920091C"/>
    <w:lvl w:ilvl="0" w:tplc="7B200D5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247974">
    <w:abstractNumId w:val="1"/>
  </w:num>
  <w:num w:numId="2" w16cid:durableId="675421500">
    <w:abstractNumId w:val="2"/>
  </w:num>
  <w:num w:numId="3" w16cid:durableId="13222729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616"/>
    <w:rsid w:val="000C1576"/>
    <w:rsid w:val="000D0915"/>
    <w:rsid w:val="000D3ED9"/>
    <w:rsid w:val="000F14AC"/>
    <w:rsid w:val="00163465"/>
    <w:rsid w:val="00173D14"/>
    <w:rsid w:val="00184616"/>
    <w:rsid w:val="001957E8"/>
    <w:rsid w:val="001E35DD"/>
    <w:rsid w:val="001F621E"/>
    <w:rsid w:val="00231DDA"/>
    <w:rsid w:val="002551E1"/>
    <w:rsid w:val="00273B42"/>
    <w:rsid w:val="002858C8"/>
    <w:rsid w:val="00297FD5"/>
    <w:rsid w:val="002C6A9A"/>
    <w:rsid w:val="00342B42"/>
    <w:rsid w:val="003552B7"/>
    <w:rsid w:val="003745DD"/>
    <w:rsid w:val="003C1550"/>
    <w:rsid w:val="003F72B1"/>
    <w:rsid w:val="0040212E"/>
    <w:rsid w:val="00416FDD"/>
    <w:rsid w:val="0046328B"/>
    <w:rsid w:val="004B1F55"/>
    <w:rsid w:val="00524D56"/>
    <w:rsid w:val="005455A3"/>
    <w:rsid w:val="00551FBF"/>
    <w:rsid w:val="00561BD5"/>
    <w:rsid w:val="0058728B"/>
    <w:rsid w:val="00597C9C"/>
    <w:rsid w:val="005C1B77"/>
    <w:rsid w:val="005E1D95"/>
    <w:rsid w:val="00616254"/>
    <w:rsid w:val="00647D53"/>
    <w:rsid w:val="006B0B5A"/>
    <w:rsid w:val="006C417F"/>
    <w:rsid w:val="00767F66"/>
    <w:rsid w:val="00791423"/>
    <w:rsid w:val="007A7007"/>
    <w:rsid w:val="007C594E"/>
    <w:rsid w:val="007D0CE1"/>
    <w:rsid w:val="008307B0"/>
    <w:rsid w:val="008345BC"/>
    <w:rsid w:val="0088300F"/>
    <w:rsid w:val="00886F8A"/>
    <w:rsid w:val="00897957"/>
    <w:rsid w:val="008C528A"/>
    <w:rsid w:val="008D5168"/>
    <w:rsid w:val="00912709"/>
    <w:rsid w:val="00962489"/>
    <w:rsid w:val="009E29DD"/>
    <w:rsid w:val="009F2CFD"/>
    <w:rsid w:val="00A11EF3"/>
    <w:rsid w:val="00A47A99"/>
    <w:rsid w:val="00AA6F00"/>
    <w:rsid w:val="00AC2D3A"/>
    <w:rsid w:val="00BB0D3D"/>
    <w:rsid w:val="00C20119"/>
    <w:rsid w:val="00C54405"/>
    <w:rsid w:val="00CD6ED2"/>
    <w:rsid w:val="00CD71DC"/>
    <w:rsid w:val="00D05D50"/>
    <w:rsid w:val="00D41555"/>
    <w:rsid w:val="00D51699"/>
    <w:rsid w:val="00DA35AC"/>
    <w:rsid w:val="00DC1E45"/>
    <w:rsid w:val="00DF21E0"/>
    <w:rsid w:val="00E34B06"/>
    <w:rsid w:val="00E61568"/>
    <w:rsid w:val="00E715BD"/>
    <w:rsid w:val="00ED02F7"/>
    <w:rsid w:val="00ED0859"/>
    <w:rsid w:val="00EE1C68"/>
    <w:rsid w:val="00F153C3"/>
    <w:rsid w:val="00F579CE"/>
    <w:rsid w:val="00F74725"/>
    <w:rsid w:val="00F8077E"/>
    <w:rsid w:val="00F97CE7"/>
    <w:rsid w:val="00FA7FC7"/>
    <w:rsid w:val="00FB2C88"/>
    <w:rsid w:val="00FC40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3EF01"/>
  <w15:chartTrackingRefBased/>
  <w15:docId w15:val="{4FFD7E37-8E79-4666-9209-F681C69C4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4616"/>
    <w:pPr>
      <w:ind w:left="720"/>
      <w:contextualSpacing/>
    </w:pPr>
  </w:style>
  <w:style w:type="paragraph" w:styleId="Header">
    <w:name w:val="header"/>
    <w:basedOn w:val="Normal"/>
    <w:link w:val="HeaderChar"/>
    <w:uiPriority w:val="99"/>
    <w:unhideWhenUsed/>
    <w:rsid w:val="004021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212E"/>
  </w:style>
  <w:style w:type="paragraph" w:styleId="Footer">
    <w:name w:val="footer"/>
    <w:basedOn w:val="Normal"/>
    <w:link w:val="FooterChar"/>
    <w:uiPriority w:val="99"/>
    <w:unhideWhenUsed/>
    <w:rsid w:val="004021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212E"/>
  </w:style>
  <w:style w:type="character" w:styleId="Hyperlink">
    <w:name w:val="Hyperlink"/>
    <w:basedOn w:val="DefaultParagraphFont"/>
    <w:uiPriority w:val="99"/>
    <w:unhideWhenUsed/>
    <w:rsid w:val="00F97CE7"/>
    <w:rPr>
      <w:color w:val="0563C1" w:themeColor="hyperlink"/>
      <w:u w:val="single"/>
    </w:rPr>
  </w:style>
  <w:style w:type="character" w:styleId="UnresolvedMention">
    <w:name w:val="Unresolved Mention"/>
    <w:basedOn w:val="DefaultParagraphFont"/>
    <w:uiPriority w:val="99"/>
    <w:semiHidden/>
    <w:unhideWhenUsed/>
    <w:rsid w:val="00F97C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5186">
      <w:bodyDiv w:val="1"/>
      <w:marLeft w:val="0"/>
      <w:marRight w:val="0"/>
      <w:marTop w:val="0"/>
      <w:marBottom w:val="0"/>
      <w:divBdr>
        <w:top w:val="none" w:sz="0" w:space="0" w:color="auto"/>
        <w:left w:val="none" w:sz="0" w:space="0" w:color="auto"/>
        <w:bottom w:val="none" w:sz="0" w:space="0" w:color="auto"/>
        <w:right w:val="none" w:sz="0" w:space="0" w:color="auto"/>
      </w:divBdr>
    </w:div>
    <w:div w:id="495416004">
      <w:bodyDiv w:val="1"/>
      <w:marLeft w:val="0"/>
      <w:marRight w:val="0"/>
      <w:marTop w:val="0"/>
      <w:marBottom w:val="0"/>
      <w:divBdr>
        <w:top w:val="none" w:sz="0" w:space="0" w:color="auto"/>
        <w:left w:val="none" w:sz="0" w:space="0" w:color="auto"/>
        <w:bottom w:val="none" w:sz="0" w:space="0" w:color="auto"/>
        <w:right w:val="none" w:sz="0" w:space="0" w:color="auto"/>
      </w:divBdr>
    </w:div>
    <w:div w:id="793140603">
      <w:bodyDiv w:val="1"/>
      <w:marLeft w:val="0"/>
      <w:marRight w:val="0"/>
      <w:marTop w:val="0"/>
      <w:marBottom w:val="0"/>
      <w:divBdr>
        <w:top w:val="none" w:sz="0" w:space="0" w:color="auto"/>
        <w:left w:val="none" w:sz="0" w:space="0" w:color="auto"/>
        <w:bottom w:val="none" w:sz="0" w:space="0" w:color="auto"/>
        <w:right w:val="none" w:sz="0" w:space="0" w:color="auto"/>
      </w:divBdr>
    </w:div>
    <w:div w:id="1458834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4656E0-30B4-42CB-AD01-1B6F1C9C7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6529</Words>
  <Characters>37221</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Kalon Smithers</dc:creator>
  <cp:keywords/>
  <dc:description/>
  <cp:lastModifiedBy>Kalon Smithers</cp:lastModifiedBy>
  <cp:revision>2</cp:revision>
  <cp:lastPrinted>2023-03-01T16:27:00Z</cp:lastPrinted>
  <dcterms:created xsi:type="dcterms:W3CDTF">2023-03-04T13:42:00Z</dcterms:created>
  <dcterms:modified xsi:type="dcterms:W3CDTF">2023-03-04T13:42:00Z</dcterms:modified>
</cp:coreProperties>
</file>