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78E991" w14:textId="77777777" w:rsidR="00433921" w:rsidRDefault="00DA0F16" w:rsidP="00DA0F16">
      <w:pPr>
        <w:jc w:val="center"/>
        <w:rPr>
          <w:b/>
          <w:sz w:val="36"/>
          <w:szCs w:val="36"/>
        </w:rPr>
      </w:pPr>
      <w:r w:rsidRPr="00DA0F16">
        <w:rPr>
          <w:b/>
          <w:sz w:val="36"/>
          <w:szCs w:val="36"/>
        </w:rPr>
        <w:t xml:space="preserve">Module title: </w:t>
      </w:r>
    </w:p>
    <w:p w14:paraId="54CA0ACF" w14:textId="4CE63480" w:rsidR="00DA0F16" w:rsidRPr="00DA0F16" w:rsidRDefault="00DA0F16" w:rsidP="00DA0F16">
      <w:pPr>
        <w:jc w:val="center"/>
        <w:rPr>
          <w:b/>
          <w:sz w:val="36"/>
          <w:szCs w:val="36"/>
        </w:rPr>
      </w:pPr>
      <w:r w:rsidRPr="00DA0F16">
        <w:rPr>
          <w:b/>
          <w:sz w:val="36"/>
          <w:szCs w:val="36"/>
        </w:rPr>
        <w:t>Sustainable hospitality and tourism management</w:t>
      </w:r>
    </w:p>
    <w:p w14:paraId="660D8096" w14:textId="77777777" w:rsidR="00DA0F16" w:rsidRPr="00DA0F16" w:rsidRDefault="00DA0F16" w:rsidP="00DA0F16">
      <w:pPr>
        <w:jc w:val="center"/>
        <w:rPr>
          <w:b/>
          <w:sz w:val="36"/>
          <w:szCs w:val="36"/>
        </w:rPr>
      </w:pPr>
      <w:r w:rsidRPr="00DA0F16">
        <w:rPr>
          <w:b/>
          <w:sz w:val="36"/>
          <w:szCs w:val="36"/>
        </w:rPr>
        <w:t>Module code: BMIH5006</w:t>
      </w:r>
    </w:p>
    <w:p w14:paraId="2F0AEF15" w14:textId="5E2B62B3" w:rsidR="00DA0F16" w:rsidRPr="00DA0F16" w:rsidRDefault="00DA0F16" w:rsidP="00DA0F16">
      <w:pPr>
        <w:jc w:val="center"/>
        <w:rPr>
          <w:b/>
          <w:bCs/>
          <w:sz w:val="36"/>
          <w:szCs w:val="36"/>
        </w:rPr>
      </w:pPr>
      <w:r w:rsidRPr="00DA0F16">
        <w:rPr>
          <w:b/>
          <w:bCs/>
          <w:sz w:val="36"/>
          <w:szCs w:val="36"/>
        </w:rPr>
        <w:t xml:space="preserve">Student name: Abdul </w:t>
      </w:r>
      <w:proofErr w:type="spellStart"/>
      <w:r w:rsidRPr="00DA0F16">
        <w:rPr>
          <w:b/>
          <w:bCs/>
          <w:sz w:val="36"/>
          <w:szCs w:val="36"/>
        </w:rPr>
        <w:t>Quiyum</w:t>
      </w:r>
      <w:proofErr w:type="spellEnd"/>
    </w:p>
    <w:p w14:paraId="5182C461" w14:textId="77777777" w:rsidR="00DA0F16" w:rsidRPr="00DA0F16" w:rsidRDefault="00DA0F16" w:rsidP="00DA0F16">
      <w:pPr>
        <w:jc w:val="center"/>
        <w:rPr>
          <w:b/>
          <w:bCs/>
          <w:sz w:val="36"/>
          <w:szCs w:val="36"/>
        </w:rPr>
      </w:pPr>
      <w:r w:rsidRPr="00DA0F16">
        <w:rPr>
          <w:b/>
          <w:bCs/>
          <w:sz w:val="36"/>
          <w:szCs w:val="36"/>
        </w:rPr>
        <w:t>Student ID: 2229328</w:t>
      </w:r>
    </w:p>
    <w:p w14:paraId="20B4AF95" w14:textId="77777777" w:rsidR="00DA0F16" w:rsidRPr="00DA0F16" w:rsidRDefault="00DA0F16" w:rsidP="00DA0F16">
      <w:pPr>
        <w:jc w:val="center"/>
        <w:rPr>
          <w:b/>
          <w:bCs/>
          <w:sz w:val="36"/>
          <w:szCs w:val="36"/>
        </w:rPr>
      </w:pPr>
      <w:r w:rsidRPr="00DA0F16">
        <w:rPr>
          <w:b/>
          <w:bCs/>
          <w:sz w:val="36"/>
          <w:szCs w:val="36"/>
        </w:rPr>
        <w:t>Lecturer: Lisa-Marie Bassler</w:t>
      </w:r>
    </w:p>
    <w:p w14:paraId="4EC0A1A6" w14:textId="77777777" w:rsidR="00DA0F16" w:rsidRPr="00DA0F16" w:rsidRDefault="00DA0F16" w:rsidP="00DA0F16">
      <w:pPr>
        <w:rPr>
          <w:b/>
          <w:bCs/>
        </w:rPr>
      </w:pPr>
    </w:p>
    <w:p w14:paraId="4F0631D3" w14:textId="77777777" w:rsidR="00DA0F16" w:rsidRDefault="00DA0F16" w:rsidP="00DA0F16">
      <w:pPr>
        <w:rPr>
          <w:b/>
          <w:bCs/>
        </w:rPr>
      </w:pPr>
    </w:p>
    <w:p w14:paraId="45AC1859" w14:textId="77777777" w:rsidR="00DA0F16" w:rsidRDefault="00DA0F16" w:rsidP="00DA0F16">
      <w:pPr>
        <w:rPr>
          <w:b/>
          <w:bCs/>
        </w:rPr>
      </w:pPr>
    </w:p>
    <w:p w14:paraId="02EF163E" w14:textId="77777777" w:rsidR="00DA0F16" w:rsidRDefault="00DA0F16" w:rsidP="00DA0F16">
      <w:pPr>
        <w:rPr>
          <w:b/>
          <w:bCs/>
        </w:rPr>
      </w:pPr>
    </w:p>
    <w:p w14:paraId="71F64F30" w14:textId="77777777" w:rsidR="00DA0F16" w:rsidRDefault="00DA0F16" w:rsidP="00DA0F16">
      <w:pPr>
        <w:rPr>
          <w:b/>
          <w:bCs/>
        </w:rPr>
      </w:pPr>
    </w:p>
    <w:p w14:paraId="31EBB69C" w14:textId="77777777" w:rsidR="00DA0F16" w:rsidRDefault="00DA0F16" w:rsidP="00DA0F16">
      <w:pPr>
        <w:rPr>
          <w:b/>
          <w:bCs/>
        </w:rPr>
      </w:pPr>
    </w:p>
    <w:p w14:paraId="55BAB4C6" w14:textId="77777777" w:rsidR="00DA0F16" w:rsidRDefault="00DA0F16" w:rsidP="00DA0F16">
      <w:pPr>
        <w:rPr>
          <w:b/>
          <w:bCs/>
        </w:rPr>
      </w:pPr>
    </w:p>
    <w:p w14:paraId="3E8ABD12" w14:textId="77777777" w:rsidR="00DA0F16" w:rsidRDefault="00DA0F16" w:rsidP="00DA0F16">
      <w:pPr>
        <w:rPr>
          <w:b/>
          <w:bCs/>
        </w:rPr>
      </w:pPr>
    </w:p>
    <w:p w14:paraId="4A96152F" w14:textId="77777777" w:rsidR="00DA0F16" w:rsidRDefault="00DA0F16" w:rsidP="00DA0F16">
      <w:pPr>
        <w:rPr>
          <w:b/>
          <w:bCs/>
        </w:rPr>
      </w:pPr>
    </w:p>
    <w:p w14:paraId="6FEF18C7" w14:textId="77777777" w:rsidR="00DA0F16" w:rsidRDefault="00DA0F16" w:rsidP="00DA0F16">
      <w:pPr>
        <w:rPr>
          <w:b/>
          <w:bCs/>
        </w:rPr>
      </w:pPr>
    </w:p>
    <w:p w14:paraId="2246932A" w14:textId="77777777" w:rsidR="00DA0F16" w:rsidRDefault="00DA0F16" w:rsidP="00DA0F16">
      <w:pPr>
        <w:rPr>
          <w:b/>
          <w:bCs/>
        </w:rPr>
      </w:pPr>
    </w:p>
    <w:p w14:paraId="769C2D78" w14:textId="77777777" w:rsidR="00DA0F16" w:rsidRDefault="00DA0F16" w:rsidP="00DA0F16">
      <w:pPr>
        <w:rPr>
          <w:b/>
          <w:bCs/>
        </w:rPr>
      </w:pPr>
    </w:p>
    <w:p w14:paraId="107B3CCB" w14:textId="77777777" w:rsidR="00DA0F16" w:rsidRDefault="00DA0F16" w:rsidP="00DA0F16">
      <w:pPr>
        <w:rPr>
          <w:b/>
          <w:bCs/>
        </w:rPr>
      </w:pPr>
    </w:p>
    <w:p w14:paraId="0F95E4D3" w14:textId="77777777" w:rsidR="00DA0F16" w:rsidRDefault="00DA0F16" w:rsidP="00DA0F16">
      <w:pPr>
        <w:rPr>
          <w:b/>
          <w:bCs/>
        </w:rPr>
      </w:pPr>
    </w:p>
    <w:p w14:paraId="0F617CEA" w14:textId="77777777" w:rsidR="00DA0F16" w:rsidRDefault="00DA0F16" w:rsidP="00DA0F16">
      <w:pPr>
        <w:rPr>
          <w:b/>
          <w:bCs/>
        </w:rPr>
      </w:pPr>
    </w:p>
    <w:p w14:paraId="2493809B" w14:textId="77777777" w:rsidR="00DA0F16" w:rsidRDefault="00DA0F16" w:rsidP="00DA0F16">
      <w:pPr>
        <w:rPr>
          <w:b/>
          <w:bCs/>
        </w:rPr>
      </w:pPr>
    </w:p>
    <w:p w14:paraId="6D44C0B1" w14:textId="77777777" w:rsidR="00DA0F16" w:rsidRDefault="00DA0F16" w:rsidP="00DA0F16">
      <w:pPr>
        <w:rPr>
          <w:b/>
          <w:bCs/>
        </w:rPr>
      </w:pPr>
    </w:p>
    <w:p w14:paraId="22BBB8F4" w14:textId="77777777" w:rsidR="00DA0F16" w:rsidRDefault="00DA0F16" w:rsidP="00DA0F16">
      <w:pPr>
        <w:rPr>
          <w:b/>
          <w:bCs/>
        </w:rPr>
      </w:pPr>
    </w:p>
    <w:p w14:paraId="7571ECB5" w14:textId="77777777" w:rsidR="00DA0F16" w:rsidRDefault="00DA0F16" w:rsidP="00DA0F16">
      <w:pPr>
        <w:rPr>
          <w:b/>
          <w:bCs/>
        </w:rPr>
      </w:pPr>
    </w:p>
    <w:p w14:paraId="536A8382" w14:textId="77777777" w:rsidR="00DA0F16" w:rsidRDefault="00DA0F16" w:rsidP="00DA0F16">
      <w:pPr>
        <w:rPr>
          <w:b/>
          <w:bCs/>
        </w:rPr>
      </w:pPr>
    </w:p>
    <w:p w14:paraId="242552EC" w14:textId="77777777" w:rsidR="00DA0F16" w:rsidRDefault="00DA0F16" w:rsidP="00DA0F16">
      <w:pPr>
        <w:rPr>
          <w:b/>
          <w:bCs/>
        </w:rPr>
      </w:pPr>
    </w:p>
    <w:p w14:paraId="3D1B7BB5" w14:textId="77777777" w:rsidR="00DA0F16" w:rsidRPr="00DA0F16" w:rsidRDefault="00DA0F16" w:rsidP="00DA0F16">
      <w:pPr>
        <w:rPr>
          <w:b/>
          <w:bCs/>
        </w:rPr>
      </w:pPr>
    </w:p>
    <w:p w14:paraId="62659FE7" w14:textId="77777777" w:rsidR="00DA0F16" w:rsidRPr="00DA0F16" w:rsidRDefault="00DA0F16" w:rsidP="00DA0F16">
      <w:r w:rsidRPr="00DA0F16">
        <w:lastRenderedPageBreak/>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14:paraId="6FB446E5" w14:textId="77777777" w:rsidR="00DA0F16" w:rsidRPr="00DA0F16" w:rsidRDefault="00DA0F16" w:rsidP="00DA0F16">
      <w:r w:rsidRPr="00DA0F16">
        <w:t xml:space="preserve"> </w:t>
      </w:r>
    </w:p>
    <w:p w14:paraId="7210A132" w14:textId="77777777" w:rsidR="00DA0F16" w:rsidRPr="00DA0F16" w:rsidRDefault="00DA0F16" w:rsidP="00DA0F16"/>
    <w:p w14:paraId="0304EB7C" w14:textId="77777777" w:rsidR="00DA0F16" w:rsidRPr="00DA0F16" w:rsidRDefault="00DA0F16" w:rsidP="00DA0F16"/>
    <w:p w14:paraId="6ECAB24F" w14:textId="77777777" w:rsidR="00DA0F16" w:rsidRPr="00DA0F16" w:rsidRDefault="00DA0F16" w:rsidP="00DA0F16"/>
    <w:p w14:paraId="71277EBA" w14:textId="77777777" w:rsidR="00DA0F16" w:rsidRPr="00DA0F16" w:rsidRDefault="00DA0F16" w:rsidP="00DA0F16"/>
    <w:p w14:paraId="1335AA6C" w14:textId="77777777" w:rsidR="00DA0F16" w:rsidRPr="00DA0F16" w:rsidRDefault="00DA0F16" w:rsidP="00DA0F16"/>
    <w:p w14:paraId="00000010" w14:textId="77777777" w:rsidR="00922E3F" w:rsidRDefault="00CE6440">
      <w:pPr>
        <w:rPr>
          <w:b/>
        </w:rPr>
      </w:pPr>
      <w:r>
        <w:br w:type="page"/>
      </w:r>
    </w:p>
    <w:p w14:paraId="00000011" w14:textId="77777777" w:rsidR="00922E3F" w:rsidRDefault="00CE6440">
      <w:pPr>
        <w:rPr>
          <w:b/>
        </w:rPr>
      </w:pPr>
      <w:r>
        <w:rPr>
          <w:b/>
        </w:rPr>
        <w:lastRenderedPageBreak/>
        <w:t xml:space="preserve">Introduction </w:t>
      </w:r>
    </w:p>
    <w:p w14:paraId="00000012" w14:textId="5E8DFBDE" w:rsidR="00922E3F" w:rsidRDefault="00CE6440">
      <w:pPr>
        <w:ind w:firstLine="720"/>
      </w:pPr>
      <w:r>
        <w:t xml:space="preserve">In the current business scenario, social responsibility holds an important value for the entities with their branding and long-term businesses depending on it. With the growing awareness regarding sustainability, it is also getting important for </w:t>
      </w:r>
      <w:r w:rsidR="00A642D6">
        <w:t>corporations</w:t>
      </w:r>
      <w:r>
        <w:t xml:space="preserve"> to come up with their activities termed corporate social responsibilities (CSR). Sustainability refers to the extent to which any company is operating, considering the holistic welfare of all the stakeholders involved (Ozili, 2022). Business sustainability contradicts the fact that companies are only for profit and will not consider any other social responsibilities. According to Siltaloppi et al. (2021), it is important for contemporary business entities to be responsible towards the society and environment where they are operating other than meeting the economic objectives. Hence, with the initiation of CSR activities, these companies are working towards the upliftment of society and managing environmental impacts. CSR also holds an important value for the tourism and hospitality sector as this sector deals with billions of tourists on a daily basis and has the edge of educating the importance of sustainability to their external stakeholders (Inkson and Minnaert, 2018). </w:t>
      </w:r>
    </w:p>
    <w:p w14:paraId="00000013" w14:textId="77777777" w:rsidR="00922E3F" w:rsidRDefault="00CE6440">
      <w:r>
        <w:tab/>
        <w:t xml:space="preserve">This essay will critically reflect on the concept and importance of CSR from the perspective of Celtic Manor Resort in the UK. This brand is one of the leading and earliest in the UK hospitality sector to have promoted extensive CSR activities. Moreover, the challenges being faced by them in managing their sustainability activities will also be discussed in this essay. </w:t>
      </w:r>
    </w:p>
    <w:p w14:paraId="00000014" w14:textId="77777777" w:rsidR="00922E3F" w:rsidRDefault="00CE6440">
      <w:pPr>
        <w:rPr>
          <w:b/>
        </w:rPr>
      </w:pPr>
      <w:r>
        <w:rPr>
          <w:b/>
        </w:rPr>
        <w:t>Case study</w:t>
      </w:r>
    </w:p>
    <w:p w14:paraId="00000015" w14:textId="27F547E5" w:rsidR="00922E3F" w:rsidRDefault="00CE6440">
      <w:r>
        <w:tab/>
        <w:t xml:space="preserve">It is identified that Celtic Manor Resort is following a wide range of CSR activities meeting social, environmental and economic expectations. In this case, the Triple Bottomline Model will be used to critically discuss the same. According to this model, businesses should achieve sustainability in terms of economic, social and environmental aspects to gain the tag of a sustainable brand. Furthermore, it is </w:t>
      </w:r>
      <w:r w:rsidR="00A642D6">
        <w:t>stated by</w:t>
      </w:r>
      <w:r>
        <w:t xml:space="preserve"> Liute and De Giacomo (2022) that sustainability cannot be achieved without a sound financial background, and hence, it is also important for businesses to gain economic viability prior to giving back to society. It is reported that Celtic Manor Resort has been promoting various CSR activities for the last 30 years, and they are complying with the UK </w:t>
      </w:r>
      <w:r>
        <w:lastRenderedPageBreak/>
        <w:t xml:space="preserve">government's goal of achieving net zero emissions by 2050 (Celtic-collection, 2024). This denotes the long-term vision of Celtic Manor Resort towards their sustainable approach. </w:t>
      </w:r>
    </w:p>
    <w:p w14:paraId="00000016" w14:textId="4FF51CC6" w:rsidR="00922E3F" w:rsidRDefault="00CE6440">
      <w:pPr>
        <w:ind w:firstLine="720"/>
        <w:rPr>
          <w:b/>
        </w:rPr>
      </w:pPr>
      <w:r>
        <w:t>According to Cooper (2021), companies integrating sustainable activities as part of their business policies are more likely to gain the maximum benefits, rather than the ones considering CSR as a standalone activity. In this case, Celtic Manor Resort has seamlessly integrated sustainable activities into its business practices. For instance, they are sourcing their entire electricity requirement from renewable sources, which is not only helping them to achieve zero emissions but also reducing their energy costs</w:t>
      </w:r>
      <w:r w:rsidR="00CB55CE">
        <w:t xml:space="preserve"> (</w:t>
      </w:r>
      <w:r w:rsidR="00CB55CE" w:rsidRPr="00CB55CE">
        <w:rPr>
          <w:highlight w:val="white"/>
        </w:rPr>
        <w:t>RAMLI</w:t>
      </w:r>
      <w:r w:rsidR="00CB55CE">
        <w:t xml:space="preserve"> </w:t>
      </w:r>
      <w:r w:rsidR="00CB55CE" w:rsidRPr="00CB55CE">
        <w:rPr>
          <w:i/>
        </w:rPr>
        <w:t>et al.</w:t>
      </w:r>
      <w:r w:rsidR="00CB55CE">
        <w:t xml:space="preserve"> 2023)</w:t>
      </w:r>
      <w:r>
        <w:t>. Therefore, this activity is letting Celtic Manor Resort gain both economic and environmental sustainability, meeting the two aspects of the Triple Bottomline Model. It is also identified that Celtic Manor Resort is now procuring their food supplies from local suppliers, which is helping the upliftment of the surrounding economy as well as reducing the fuel miles and cost (Celtic-collection, 2024). Hence, again the company is promoting economic and people sustainability. Apart from these activities, various other areas such as supporting wildlife, educating employees and customers towards sustainability and managing woodlands convey the fact that Celtic Manor Resort is meeting all three principles of the Triple Bottomline model and effectively integrated the sustainable activities in their business process (Khosla et al. 2021).</w:t>
      </w:r>
    </w:p>
    <w:p w14:paraId="00000017" w14:textId="6F4A28E7" w:rsidR="00922E3F" w:rsidRDefault="00CE6440">
      <w:r>
        <w:rPr>
          <w:b/>
        </w:rPr>
        <w:tab/>
      </w:r>
      <w:r>
        <w:t>It is identified that Celtic Manor Resort is following several SDGs as per the UN, including SDG 6, 7, 9, 12, 13 and 15. Promoting these many goals denotes that Celtic Manor Resort is following a wide array of CSR policies. According to SDG 6, sustainability should be gained in terms of water usage, reducing water pollution and clean sanitation. It is reported that Celtic Manor Resort is maintaining water audits and reduce</w:t>
      </w:r>
      <w:r w:rsidR="00A642D6">
        <w:t xml:space="preserve">d 42% water usage between 2017 and </w:t>
      </w:r>
      <w:r>
        <w:t xml:space="preserve">2022 (Celtic-collection, 2024). As per SDG 7, Celtic Manor Resort is sourcing its electricity entirely from renewable sources and ensuring the usage of only clean energy. As per SDG 9, Celtic Manor Resort is promoting newer innovations such as KitchenCut softwares, touch-sensitive escalators and electric vehicles in their fleet. They are also working towards cutting food waste by means of data insighting softwares and regulating energy consumption by means of SMART process (Khosla et al. 2021). This is helping Celtic Manor Resort to meet SDG 12. With extensive environmental activities such as maintaining wildlife, woodlands, irrigation systems and </w:t>
      </w:r>
      <w:r>
        <w:lastRenderedPageBreak/>
        <w:t>emission control, Celtic Manor Resort is working towards climate action and meeting SDG 13. Celtic Manor Resort is managing Wentwood forest in the UK, reducing chemical usage in soil and conservation of birdlife, helping in achieving SDG 15</w:t>
      </w:r>
      <w:r w:rsidR="00CB55CE">
        <w:t xml:space="preserve"> (</w:t>
      </w:r>
      <w:r w:rsidR="00CB55CE">
        <w:rPr>
          <w:highlight w:val="white"/>
        </w:rPr>
        <w:t>Bachtiar and Ramli</w:t>
      </w:r>
      <w:r w:rsidR="00CB55CE" w:rsidRPr="00CB55CE">
        <w:rPr>
          <w:highlight w:val="white"/>
        </w:rPr>
        <w:t>, 2023</w:t>
      </w:r>
      <w:r w:rsidR="00CB55CE">
        <w:t>)</w:t>
      </w:r>
      <w:r>
        <w:t xml:space="preserve">. </w:t>
      </w:r>
    </w:p>
    <w:p w14:paraId="00000018" w14:textId="77777777" w:rsidR="00922E3F" w:rsidRDefault="00CE6440">
      <w:r>
        <w:tab/>
        <w:t xml:space="preserve">Therefore, it can be concluded that Celtic Manor Resort is following extensive sustainability policies in adherence to SDGs. In this case, it is stated by Biermann et al. (2022) that SDGs can effectively be achieved only when they are integrated and help in achieving financial benefits as well. Each of the SDGs discussed above from the perspective of Celtic Manor Resort is aligned with their business policies and enables them to gain economic benefits (Hamed et al. 2022). For instance, effective management of water resources is helping in regulating water bills, and usage of new innovations helps in reducing the cost of operation for Celtic Manor Resort. </w:t>
      </w:r>
    </w:p>
    <w:p w14:paraId="00000019" w14:textId="77777777" w:rsidR="00922E3F" w:rsidRDefault="00CE6440">
      <w:r>
        <w:tab/>
        <w:t>Apart from the above CSR policies and extensive activities being followed by Celtic Manor Resort, they are facing a few challenges as well as implementing and managing them. According to Cezarino et al. (2022), making a balance between cost and benefit is a major challenge for the hospitality sector. This denotes the fact that CSR cannot guarantee fixed and periodic returns over investments, which Celtic Manor Resort faces difficulty in managing. The extensive activities being promoted by Celtic Manor Resort involve huge costs, which cannot be justified by their fixed returns, and hence, it is difficult for them to measure the exact benefits. It will further create challenges for Celtic Manor Resort in a time of financial turbulence. Furthermore, Sundström, Hyder and Chowdhury (2020) stated that it is not obvious the customers get educated about CSR activities and recall positive branding. It is commonly assumed that the tourism and hospitality sector can educate and motivate visitors by means of their CSR activities regarding the importance of sustainability, but real-world scenarios can be different (Khosla et al. 2021). In the case of Celtic Manor Resort, it is much more difficult to calculate customer loyalty with that of their CSR activities. Hence, ensuring a return from CSR activities is a major challenge for Celtic Manor Resort.</w:t>
      </w:r>
    </w:p>
    <w:p w14:paraId="0000001A" w14:textId="6C9E3A8B" w:rsidR="00922E3F" w:rsidRDefault="00CE6440">
      <w:r>
        <w:tab/>
        <w:t xml:space="preserve">Even though Celtic Manor Resort has seamlessly integrated CSR activities in their business practices in view of the reduction of the overall cost of operation, it may contradict. According to Siltaloppi, Rajala and Hietala (2021), the core objective of </w:t>
      </w:r>
      <w:r>
        <w:lastRenderedPageBreak/>
        <w:t>promoting sustainable activities is to reduce internal costs, but there are cases where the cost of operation has increased in due course. This risk is very much relevant for Celtic Manor Resort as well as they are managing a few CSR activities viewing cost reduction. For instance, Celtic Manor Resort is sourcing energy needs from renewable sources, which is reducing their cost of non-renewable sources, but an increase in the cost of renewable energy may vary the situation</w:t>
      </w:r>
      <w:r w:rsidR="00CB55CE">
        <w:t xml:space="preserve"> (</w:t>
      </w:r>
      <w:r w:rsidR="00CB55CE" w:rsidRPr="00CB55CE">
        <w:rPr>
          <w:highlight w:val="white"/>
        </w:rPr>
        <w:t>Salamah</w:t>
      </w:r>
      <w:r w:rsidR="00CB55CE">
        <w:t>, 2023)</w:t>
      </w:r>
      <w:r>
        <w:t xml:space="preserve">. With limited and exclusive renewable sources available currently compared to non-renewable sources, it is very probable that internal costs will be raised for Celtic Manor Resort (Hamed et al. 2022). There are several social risks also associated with the CSR activities for Celtic Manor Resort. For instance, the objective of offering training to the employees regarding the importance of CSR might affect their productivity. This will ultimately impact the overall business sustainability of Celtic Manor Resort (Celtic-collection, 2024). Henceforth, it can be concluded that the risk of increasing costs is also a major challenge in implementing CSR activities. </w:t>
      </w:r>
    </w:p>
    <w:p w14:paraId="0000001B" w14:textId="4FC97A02" w:rsidR="00922E3F" w:rsidRDefault="00CE6440">
      <w:r>
        <w:tab/>
        <w:t>As discussed above, there are major challenges associated with implementing CSR activities, which may deter the hospitality sector from promoting further. In this case, it is also important to discuss the opportunities associated with the same, such as growth in ecotourism and enhancement of brand recall and loyalty</w:t>
      </w:r>
      <w:r w:rsidR="00CB55CE">
        <w:t xml:space="preserve"> (</w:t>
      </w:r>
      <w:r w:rsidR="00CB55CE" w:rsidRPr="00CB55CE">
        <w:rPr>
          <w:highlight w:val="white"/>
        </w:rPr>
        <w:t>Agu</w:t>
      </w:r>
      <w:r w:rsidR="00CB55CE">
        <w:t xml:space="preserve"> </w:t>
      </w:r>
      <w:r w:rsidR="00CB55CE" w:rsidRPr="00CB55CE">
        <w:rPr>
          <w:i/>
        </w:rPr>
        <w:t>et al.</w:t>
      </w:r>
      <w:r w:rsidR="00CB55CE">
        <w:t xml:space="preserve"> 2024)</w:t>
      </w:r>
      <w:r>
        <w:t xml:space="preserve">. According to Xu et al. (2023), ecotourism is a booming subject for tourism and hospitality players, including Celtic Manor Resort. It is identified that Celtic Manor Resort is already promoting the same by means of maintaining woodlands for its visitors. However, this concept has huge potential, with a projected growth rate of 9% till 2028 (Day et al. 2021). With further expansion in this area, Celtic Manor Resort can tap the growing market. On the other hand, brand loyalty and recall value got good importance in the hospitality sector with repeated visitors consisting of the maximum chunk of business. In this case, Celtic Manor Resort can enhance its repeat customers by means of its CSR activities (Haski-Leventhal, 2018). The social branding they are gaining from their CSR activities is contributing to their long-term business only. </w:t>
      </w:r>
    </w:p>
    <w:p w14:paraId="0000001C" w14:textId="61EBFE4C" w:rsidR="00922E3F" w:rsidRDefault="00CE6440">
      <w:r>
        <w:tab/>
        <w:t xml:space="preserve">As per Majerova et al. (2020), sustainable brands are largely perceived as ethical by external stakeholders, which also holds opportunities for Celtic Manor Resort. Their social risks are getting reduced with the same and creating a sense of immunity against </w:t>
      </w:r>
      <w:r>
        <w:lastRenderedPageBreak/>
        <w:t>any unwarranted situation. Moreover, the author has also stated that ethical branding is more likely to attract better business and partnerships. All these factors are eventually contributing to employer branding and market awareness, which is already evident in the operation of Celtic Manor Resort</w:t>
      </w:r>
      <w:r w:rsidR="00CB55CE">
        <w:t xml:space="preserve"> (</w:t>
      </w:r>
      <w:r w:rsidR="00CB55CE" w:rsidRPr="00CB55CE">
        <w:rPr>
          <w:highlight w:val="white"/>
        </w:rPr>
        <w:t>NAWANGSARI</w:t>
      </w:r>
      <w:r w:rsidR="00CB55CE">
        <w:t xml:space="preserve"> </w:t>
      </w:r>
      <w:r w:rsidR="00CB55CE" w:rsidRPr="00CB55CE">
        <w:rPr>
          <w:i/>
        </w:rPr>
        <w:t>et al.</w:t>
      </w:r>
      <w:r w:rsidR="00CB55CE">
        <w:t xml:space="preserve"> 2023)</w:t>
      </w:r>
      <w:r>
        <w:t xml:space="preserve">. Apart from these opportunities for Celtic Manor Resort, there are further impacts associated with the local and wider environment. </w:t>
      </w:r>
      <w:r w:rsidR="00A642D6">
        <w:t>For instance</w:t>
      </w:r>
      <w:r>
        <w:t xml:space="preserve">, the maintenance of woodlands and wildlife by Celtic Manor Resort is regenerating the local biodiversity, ultimately impacting the environment. Moreover, sourcing supplies from local suppliers also benefits the local community economically (Sloan, Legrand and Chen, 2017). Therefore, CSR activities have a multitude of opportunities associated with each aspect of the Triple Bottomline model and are expected to get amplified in the future with increasing awareness regarding sustainability. </w:t>
      </w:r>
    </w:p>
    <w:p w14:paraId="0000001D" w14:textId="77777777" w:rsidR="00922E3F" w:rsidRDefault="00CE6440">
      <w:r>
        <w:tab/>
        <w:t xml:space="preserve">Lastly, there are a few legislations also involved in impacting the implementation of CSR activities. For instance, in operating in the UK, Celtic Manor Resort is complying with the net zero emission goal of 2050 (Celtic-collection, 2024). Without this standard, there would have been no performance indicator if the goal was achieved or not. In addition, the Companies Act of 2006 defines the impact of business operations on the stakeholders, according to which Celtic Manor Resort is ensuring a positive impact on their employees, customers, suppliers and communities. In addition to these acts, there are a few specific environmental laws also relevant, such as the Environmental Protection Act, 1990 also need to be adhered to (Hamed et al. 2022). It is identified that Celtic Manor Resort is complying with each of these legislations in their CSR activities and ensuring benefits for all the stakeholders involved. </w:t>
      </w:r>
    </w:p>
    <w:p w14:paraId="0000001E" w14:textId="77777777" w:rsidR="00922E3F" w:rsidRDefault="00CE6440">
      <w:pPr>
        <w:rPr>
          <w:b/>
        </w:rPr>
      </w:pPr>
      <w:r>
        <w:rPr>
          <w:b/>
        </w:rPr>
        <w:t>Conclusion</w:t>
      </w:r>
    </w:p>
    <w:p w14:paraId="0000001F" w14:textId="77777777" w:rsidR="00922E3F" w:rsidRDefault="00CE6440">
      <w:r>
        <w:tab/>
        <w:t xml:space="preserve">This essay concludes that Celtic Manor Resort is promoting extensive CSR activities covering all the major aspects. The Triple Bottomline model is used, and it is identified that all three principles of this model are met by Celtic Manor Resort. In addition, it is also identified that with respect to CSR, Celtic Manor Resort is facing both challenges and opportunities. The major challenges identified are the lack of specific return opportunities and the probability of social risks. On the other hand, the key opportunities for Celtic Manor Resort include increasing the market for ecotourism and enhancement </w:t>
      </w:r>
      <w:r>
        <w:lastRenderedPageBreak/>
        <w:t xml:space="preserve">of ethical business branding. Based on all these positive and negative factors, it can be concluded that it is important for Celtic Manor Resort to further promote its CSR activities, which will eventually help them to gain competitiveness and stay ahead in the competition. It should be noted that with the lack of points of difference between Celtic Manor Resort and its key rivals (Radisson Blu and Hilton), sustainability can be a source of competitive advantage. Lastly, the few relevant legislations discussed are important in acting as a yardstick to measure the success of the initiated CSR activities. Following SDG standards by Celtic Manor Resort further cemented the fact that they are working towards achieving universal objectives and larger benefits. </w:t>
      </w:r>
    </w:p>
    <w:p w14:paraId="00000020" w14:textId="77777777" w:rsidR="00922E3F" w:rsidRDefault="00CE6440">
      <w:r>
        <w:br w:type="page"/>
      </w:r>
    </w:p>
    <w:p w14:paraId="00000021" w14:textId="77777777" w:rsidR="00922E3F" w:rsidRDefault="00CE6440">
      <w:pPr>
        <w:rPr>
          <w:highlight w:val="white"/>
        </w:rPr>
      </w:pPr>
      <w:r>
        <w:rPr>
          <w:b/>
        </w:rPr>
        <w:t xml:space="preserve">Reference </w:t>
      </w:r>
    </w:p>
    <w:p w14:paraId="3489D2E7" w14:textId="77777777" w:rsidR="0054341A" w:rsidRDefault="0054341A">
      <w:pPr>
        <w:spacing w:before="240" w:after="240"/>
        <w:rPr>
          <w:highlight w:val="white"/>
        </w:rPr>
      </w:pPr>
      <w:proofErr w:type="spellStart"/>
      <w:r w:rsidRPr="00CB55CE">
        <w:rPr>
          <w:highlight w:val="white"/>
        </w:rPr>
        <w:t>Agu</w:t>
      </w:r>
      <w:proofErr w:type="spellEnd"/>
      <w:r w:rsidRPr="00CB55CE">
        <w:rPr>
          <w:highlight w:val="white"/>
        </w:rPr>
        <w:t xml:space="preserve">, E.E., </w:t>
      </w:r>
      <w:proofErr w:type="spellStart"/>
      <w:r w:rsidRPr="00CB55CE">
        <w:rPr>
          <w:highlight w:val="white"/>
        </w:rPr>
        <w:t>Iyelolu</w:t>
      </w:r>
      <w:proofErr w:type="spellEnd"/>
      <w:r w:rsidRPr="00CB55CE">
        <w:rPr>
          <w:highlight w:val="white"/>
        </w:rPr>
        <w:t xml:space="preserve">, T.V., </w:t>
      </w:r>
      <w:proofErr w:type="spellStart"/>
      <w:r w:rsidRPr="00CB55CE">
        <w:rPr>
          <w:highlight w:val="white"/>
        </w:rPr>
        <w:t>Idemudia</w:t>
      </w:r>
      <w:proofErr w:type="spellEnd"/>
      <w:r w:rsidRPr="00CB55CE">
        <w:rPr>
          <w:highlight w:val="white"/>
        </w:rPr>
        <w:t xml:space="preserve">, C. and </w:t>
      </w:r>
      <w:proofErr w:type="spellStart"/>
      <w:r w:rsidRPr="00CB55CE">
        <w:rPr>
          <w:highlight w:val="white"/>
        </w:rPr>
        <w:t>Ijomah</w:t>
      </w:r>
      <w:proofErr w:type="spellEnd"/>
      <w:r w:rsidRPr="00CB55CE">
        <w:rPr>
          <w:highlight w:val="white"/>
        </w:rPr>
        <w:t>, T.I., 2024. Exploring the relationship between sustainable business practices and increased brand loyalty. </w:t>
      </w:r>
      <w:r w:rsidRPr="00CB55CE">
        <w:rPr>
          <w:i/>
          <w:iCs/>
          <w:highlight w:val="white"/>
        </w:rPr>
        <w:t>International Journal of Management &amp; Entrepreneurship Research</w:t>
      </w:r>
      <w:r w:rsidRPr="00CB55CE">
        <w:rPr>
          <w:highlight w:val="white"/>
        </w:rPr>
        <w:t>, </w:t>
      </w:r>
      <w:r w:rsidRPr="00CB55CE">
        <w:rPr>
          <w:i/>
          <w:iCs/>
          <w:highlight w:val="white"/>
        </w:rPr>
        <w:t>6</w:t>
      </w:r>
      <w:r w:rsidRPr="00CB55CE">
        <w:rPr>
          <w:highlight w:val="white"/>
        </w:rPr>
        <w:t>(8), pp.2463-2475.</w:t>
      </w:r>
    </w:p>
    <w:p w14:paraId="266CB253" w14:textId="77777777" w:rsidR="0054341A" w:rsidRDefault="0054341A">
      <w:pPr>
        <w:spacing w:before="240" w:after="240"/>
        <w:rPr>
          <w:highlight w:val="white"/>
        </w:rPr>
      </w:pPr>
      <w:r w:rsidRPr="00CB55CE">
        <w:rPr>
          <w:highlight w:val="white"/>
        </w:rPr>
        <w:t>Bachtiar, N.K. and Ramli, N.H., 2023, February. Resilience as bottom-line strategy towards business sustainability: a review. In </w:t>
      </w:r>
      <w:r w:rsidRPr="00CB55CE">
        <w:rPr>
          <w:i/>
          <w:iCs/>
          <w:highlight w:val="white"/>
        </w:rPr>
        <w:t>Proceedings of the 3rd Borobudur International Symposium on Humanities and Social Science 2021 (BIS-HSS 2021)</w:t>
      </w:r>
      <w:r w:rsidRPr="00CB55CE">
        <w:rPr>
          <w:highlight w:val="white"/>
        </w:rPr>
        <w:t> (Vol. 667, No. 7, p. 52). Springer Nature.</w:t>
      </w:r>
    </w:p>
    <w:p w14:paraId="3301DBCA" w14:textId="77777777" w:rsidR="0054341A" w:rsidRDefault="0054341A">
      <w:pPr>
        <w:spacing w:before="240" w:after="240"/>
        <w:rPr>
          <w:highlight w:val="white"/>
        </w:rPr>
      </w:pPr>
      <w:r>
        <w:rPr>
          <w:highlight w:val="white"/>
        </w:rPr>
        <w:t xml:space="preserve">Biermann, F., Hickmann, T., Sénit, C.A., Beisheim, M., Bernstein, S., Chasek, P., Grob, L., Kim, R.E., Kotzé, L.J., Nilsson, M. and Ordóñez Llanos, A., 2022. Scientific evidence on the political impact of the Sustainable Development Goals. </w:t>
      </w:r>
      <w:r>
        <w:rPr>
          <w:i/>
          <w:highlight w:val="white"/>
        </w:rPr>
        <w:t>Nature Sustainability</w:t>
      </w:r>
      <w:r>
        <w:rPr>
          <w:highlight w:val="white"/>
        </w:rPr>
        <w:t xml:space="preserve">, </w:t>
      </w:r>
      <w:r>
        <w:rPr>
          <w:i/>
          <w:highlight w:val="white"/>
        </w:rPr>
        <w:t>5</w:t>
      </w:r>
      <w:r>
        <w:rPr>
          <w:highlight w:val="white"/>
        </w:rPr>
        <w:t>(9), pp.795-800.</w:t>
      </w:r>
    </w:p>
    <w:p w14:paraId="6959B2B7" w14:textId="77777777" w:rsidR="0054341A" w:rsidRDefault="0054341A">
      <w:pPr>
        <w:spacing w:before="240" w:after="240"/>
        <w:rPr>
          <w:highlight w:val="white"/>
        </w:rPr>
      </w:pPr>
      <w:r>
        <w:rPr>
          <w:highlight w:val="white"/>
        </w:rPr>
        <w:t xml:space="preserve">Celtic-collection (2024) </w:t>
      </w:r>
      <w:r>
        <w:rPr>
          <w:i/>
          <w:highlight w:val="white"/>
        </w:rPr>
        <w:t>Sustainability</w:t>
      </w:r>
      <w:r>
        <w:rPr>
          <w:highlight w:val="white"/>
        </w:rPr>
        <w:t xml:space="preserve">, </w:t>
      </w:r>
      <w:r>
        <w:rPr>
          <w:i/>
          <w:highlight w:val="white"/>
        </w:rPr>
        <w:t>The Celtic Collection</w:t>
      </w:r>
      <w:r>
        <w:rPr>
          <w:highlight w:val="white"/>
        </w:rPr>
        <w:t>. Available at: https://www.celtic-collection.com/home/sustainability/?_gl=1%2Awwqc9%2A_ga%2ANjA1NjQ1MzI1LjE3Mjg5NzAzMDU.%2A_ga_9WBV55V1PB%2AMTcyODk3MDMwNS4xLjEuMTcyODk3MDc4MS41OS4wLjA. (Accessed: 15 October 2024).</w:t>
      </w:r>
    </w:p>
    <w:p w14:paraId="312A0A9F" w14:textId="77777777" w:rsidR="0054341A" w:rsidRDefault="0054341A">
      <w:pPr>
        <w:spacing w:before="240" w:after="240"/>
        <w:rPr>
          <w:highlight w:val="white"/>
        </w:rPr>
      </w:pPr>
      <w:proofErr w:type="spellStart"/>
      <w:r>
        <w:rPr>
          <w:highlight w:val="white"/>
        </w:rPr>
        <w:t>Cezarino</w:t>
      </w:r>
      <w:proofErr w:type="spellEnd"/>
      <w:r>
        <w:rPr>
          <w:highlight w:val="white"/>
        </w:rPr>
        <w:t xml:space="preserve">, L.O., </w:t>
      </w:r>
      <w:proofErr w:type="spellStart"/>
      <w:r>
        <w:rPr>
          <w:highlight w:val="white"/>
        </w:rPr>
        <w:t>Liboni</w:t>
      </w:r>
      <w:proofErr w:type="spellEnd"/>
      <w:r>
        <w:rPr>
          <w:highlight w:val="white"/>
        </w:rPr>
        <w:t xml:space="preserve">, L.B., Hunter, T., Pacheco, L.M. and Martins, F.P., 2022. Corporate social responsibility in emerging markets: Opportunities and challenges for sustainability integration. </w:t>
      </w:r>
      <w:r>
        <w:rPr>
          <w:i/>
          <w:highlight w:val="white"/>
        </w:rPr>
        <w:t>Journal of Cleaner Production</w:t>
      </w:r>
      <w:r>
        <w:rPr>
          <w:highlight w:val="white"/>
        </w:rPr>
        <w:t xml:space="preserve">, </w:t>
      </w:r>
      <w:r>
        <w:rPr>
          <w:i/>
          <w:highlight w:val="white"/>
        </w:rPr>
        <w:t>362</w:t>
      </w:r>
      <w:r>
        <w:rPr>
          <w:highlight w:val="white"/>
        </w:rPr>
        <w:t>, p.132224.</w:t>
      </w:r>
    </w:p>
    <w:p w14:paraId="34E63E12" w14:textId="77777777" w:rsidR="0054341A" w:rsidRDefault="0054341A">
      <w:pPr>
        <w:spacing w:before="240" w:after="240"/>
        <w:rPr>
          <w:highlight w:val="white"/>
        </w:rPr>
      </w:pPr>
      <w:r>
        <w:rPr>
          <w:highlight w:val="white"/>
        </w:rPr>
        <w:t>Cooper, C. (2021) Essentials of tourism. Third edition. London: SAGE.</w:t>
      </w:r>
    </w:p>
    <w:p w14:paraId="7FE7F6E0" w14:textId="77777777" w:rsidR="0054341A" w:rsidRDefault="0054341A">
      <w:pPr>
        <w:spacing w:before="240" w:after="240"/>
        <w:rPr>
          <w:highlight w:val="white"/>
        </w:rPr>
      </w:pPr>
      <w:r>
        <w:rPr>
          <w:highlight w:val="white"/>
        </w:rPr>
        <w:t xml:space="preserve">Day, J., Sydnor, S., Marshall, M. and Noakes, S., 2021. Ecotourism, regenerative tourism, and the circular economy: Emerging trends and ecotourism. </w:t>
      </w:r>
      <w:r>
        <w:rPr>
          <w:i/>
          <w:highlight w:val="white"/>
        </w:rPr>
        <w:t>Routledge Handbook of Ecotourism</w:t>
      </w:r>
      <w:r>
        <w:rPr>
          <w:highlight w:val="white"/>
        </w:rPr>
        <w:t>, pp.23-36.</w:t>
      </w:r>
    </w:p>
    <w:p w14:paraId="00F6F460" w14:textId="77777777" w:rsidR="0054341A" w:rsidRDefault="0054341A">
      <w:pPr>
        <w:spacing w:before="240" w:after="240"/>
        <w:rPr>
          <w:highlight w:val="white"/>
        </w:rPr>
      </w:pPr>
      <w:proofErr w:type="spellStart"/>
      <w:r>
        <w:rPr>
          <w:highlight w:val="white"/>
        </w:rPr>
        <w:t>Hamed</w:t>
      </w:r>
      <w:proofErr w:type="spellEnd"/>
      <w:r>
        <w:rPr>
          <w:highlight w:val="white"/>
        </w:rPr>
        <w:t>, R.S., Al-</w:t>
      </w:r>
      <w:proofErr w:type="spellStart"/>
      <w:r>
        <w:rPr>
          <w:highlight w:val="white"/>
        </w:rPr>
        <w:t>Shattarat</w:t>
      </w:r>
      <w:proofErr w:type="spellEnd"/>
      <w:r>
        <w:rPr>
          <w:highlight w:val="white"/>
        </w:rPr>
        <w:t>, B.K., Al-</w:t>
      </w:r>
      <w:proofErr w:type="spellStart"/>
      <w:r>
        <w:rPr>
          <w:highlight w:val="white"/>
        </w:rPr>
        <w:t>Shattarat</w:t>
      </w:r>
      <w:proofErr w:type="spellEnd"/>
      <w:r>
        <w:rPr>
          <w:highlight w:val="white"/>
        </w:rPr>
        <w:t xml:space="preserve">, W.K. and Hussainey, K., 2022. The impact of introducing new regulations on the quality of CSR reporting: Evidence from the UK. </w:t>
      </w:r>
      <w:r>
        <w:rPr>
          <w:i/>
          <w:highlight w:val="white"/>
        </w:rPr>
        <w:t>Journal of International Accounting, Auditing and Taxation</w:t>
      </w:r>
      <w:r>
        <w:rPr>
          <w:highlight w:val="white"/>
        </w:rPr>
        <w:t xml:space="preserve">, </w:t>
      </w:r>
      <w:r>
        <w:rPr>
          <w:i/>
          <w:highlight w:val="white"/>
        </w:rPr>
        <w:t>46</w:t>
      </w:r>
      <w:r>
        <w:rPr>
          <w:highlight w:val="white"/>
        </w:rPr>
        <w:t>, p.100444.</w:t>
      </w:r>
    </w:p>
    <w:p w14:paraId="1D09CA3D" w14:textId="77777777" w:rsidR="0054341A" w:rsidRDefault="0054341A">
      <w:pPr>
        <w:spacing w:before="240" w:after="240"/>
        <w:rPr>
          <w:highlight w:val="white"/>
        </w:rPr>
      </w:pPr>
      <w:proofErr w:type="spellStart"/>
      <w:r>
        <w:rPr>
          <w:highlight w:val="white"/>
        </w:rPr>
        <w:t>Haski-Leventhal</w:t>
      </w:r>
      <w:proofErr w:type="spellEnd"/>
      <w:r>
        <w:rPr>
          <w:highlight w:val="white"/>
        </w:rPr>
        <w:t>, D. (2018) Strategic corporate social responsibility : tools &amp; theories for responsible management. London: SAGE.</w:t>
      </w:r>
    </w:p>
    <w:p w14:paraId="1BA044F4" w14:textId="77777777" w:rsidR="0054341A" w:rsidRDefault="0054341A">
      <w:pPr>
        <w:spacing w:before="240" w:after="240"/>
        <w:rPr>
          <w:highlight w:val="white"/>
        </w:rPr>
      </w:pPr>
      <w:proofErr w:type="spellStart"/>
      <w:r>
        <w:rPr>
          <w:highlight w:val="white"/>
        </w:rPr>
        <w:t>Inkson</w:t>
      </w:r>
      <w:proofErr w:type="spellEnd"/>
      <w:r>
        <w:rPr>
          <w:highlight w:val="white"/>
        </w:rPr>
        <w:t>, C. and Minnaert, L. (2018) Tourism management : an introduction. 2nd ed. London: SAGE.</w:t>
      </w:r>
    </w:p>
    <w:p w14:paraId="6E820BDC" w14:textId="77777777" w:rsidR="0054341A" w:rsidRDefault="0054341A">
      <w:pPr>
        <w:spacing w:before="240" w:after="240"/>
        <w:rPr>
          <w:highlight w:val="white"/>
        </w:rPr>
      </w:pPr>
      <w:r>
        <w:rPr>
          <w:highlight w:val="white"/>
        </w:rPr>
        <w:t xml:space="preserve">Khosla, R., Miranda, N.D., Trotter, P.A., Mazzone, A., Renaldi, R., McElroy, C., Cohen, F., Jani, A., Perera-Salazar, R. and McCulloch, M., 2021. Cooling for sustainable development. </w:t>
      </w:r>
      <w:r>
        <w:rPr>
          <w:i/>
          <w:highlight w:val="white"/>
        </w:rPr>
        <w:t>Nature Sustainability</w:t>
      </w:r>
      <w:r>
        <w:rPr>
          <w:highlight w:val="white"/>
        </w:rPr>
        <w:t xml:space="preserve">, </w:t>
      </w:r>
      <w:r>
        <w:rPr>
          <w:i/>
          <w:highlight w:val="white"/>
        </w:rPr>
        <w:t>4</w:t>
      </w:r>
      <w:r>
        <w:rPr>
          <w:highlight w:val="white"/>
        </w:rPr>
        <w:t>(3), pp.201-208.</w:t>
      </w:r>
    </w:p>
    <w:p w14:paraId="0E0DD67F" w14:textId="77777777" w:rsidR="0054341A" w:rsidRDefault="0054341A">
      <w:pPr>
        <w:spacing w:before="240" w:after="240"/>
        <w:rPr>
          <w:highlight w:val="white"/>
        </w:rPr>
      </w:pPr>
      <w:proofErr w:type="spellStart"/>
      <w:r>
        <w:rPr>
          <w:highlight w:val="white"/>
        </w:rPr>
        <w:t>Liute</w:t>
      </w:r>
      <w:proofErr w:type="spellEnd"/>
      <w:r>
        <w:rPr>
          <w:highlight w:val="white"/>
        </w:rPr>
        <w:t>, A. and De Giacomo, M.R., 2022. The environmental performance of UK</w:t>
      </w:r>
      <w:r>
        <w:rPr>
          <w:rFonts w:ascii="Times New Roman" w:eastAsia="Times New Roman" w:hAnsi="Times New Roman" w:cs="Times New Roman"/>
          <w:highlight w:val="white"/>
        </w:rPr>
        <w:t>‐</w:t>
      </w:r>
      <w:r>
        <w:rPr>
          <w:highlight w:val="white"/>
        </w:rPr>
        <w:t xml:space="preserve">based B Corp companies: An analysis based on the triple bottom line approach. </w:t>
      </w:r>
      <w:r>
        <w:rPr>
          <w:i/>
          <w:highlight w:val="white"/>
        </w:rPr>
        <w:t>Business Strategy and the Environment</w:t>
      </w:r>
      <w:r>
        <w:rPr>
          <w:highlight w:val="white"/>
        </w:rPr>
        <w:t xml:space="preserve">, </w:t>
      </w:r>
      <w:r>
        <w:rPr>
          <w:i/>
          <w:highlight w:val="white"/>
        </w:rPr>
        <w:t>31</w:t>
      </w:r>
      <w:r>
        <w:rPr>
          <w:highlight w:val="white"/>
        </w:rPr>
        <w:t>(3), pp.810-827.</w:t>
      </w:r>
    </w:p>
    <w:p w14:paraId="43EA80A8" w14:textId="77777777" w:rsidR="0054341A" w:rsidRDefault="0054341A">
      <w:pPr>
        <w:spacing w:before="240" w:after="240"/>
        <w:rPr>
          <w:highlight w:val="white"/>
        </w:rPr>
      </w:pPr>
      <w:proofErr w:type="spellStart"/>
      <w:r>
        <w:rPr>
          <w:highlight w:val="white"/>
        </w:rPr>
        <w:t>Majerova</w:t>
      </w:r>
      <w:proofErr w:type="spellEnd"/>
      <w:r>
        <w:rPr>
          <w:highlight w:val="white"/>
        </w:rPr>
        <w:t xml:space="preserve">, J., Sroka, W., Krizanova, A., Gajanova, L., Lazaroiu, G. and Nadanyiova, M., 2020. Sustainable brand management of alimentary goods. </w:t>
      </w:r>
      <w:r>
        <w:rPr>
          <w:i/>
          <w:highlight w:val="white"/>
        </w:rPr>
        <w:t>Sustainability</w:t>
      </w:r>
      <w:r>
        <w:rPr>
          <w:highlight w:val="white"/>
        </w:rPr>
        <w:t xml:space="preserve">, </w:t>
      </w:r>
      <w:r>
        <w:rPr>
          <w:i/>
          <w:highlight w:val="white"/>
        </w:rPr>
        <w:t>12</w:t>
      </w:r>
      <w:r>
        <w:rPr>
          <w:highlight w:val="white"/>
        </w:rPr>
        <w:t>(2), p.556.</w:t>
      </w:r>
    </w:p>
    <w:p w14:paraId="1656818E" w14:textId="77777777" w:rsidR="0054341A" w:rsidRDefault="0054341A">
      <w:pPr>
        <w:spacing w:before="240" w:after="240"/>
        <w:rPr>
          <w:highlight w:val="white"/>
        </w:rPr>
      </w:pPr>
      <w:r w:rsidRPr="00CB55CE">
        <w:rPr>
          <w:highlight w:val="white"/>
        </w:rPr>
        <w:t xml:space="preserve">NAWANGSARI, L.C., SISWANTI, I. and SOELTON, M., 2023, November. Human Resources Management Strategy For Business Sustainability In </w:t>
      </w:r>
      <w:proofErr w:type="spellStart"/>
      <w:r w:rsidRPr="00CB55CE">
        <w:rPr>
          <w:highlight w:val="white"/>
        </w:rPr>
        <w:t>Msmes</w:t>
      </w:r>
      <w:proofErr w:type="spellEnd"/>
      <w:r w:rsidRPr="00CB55CE">
        <w:rPr>
          <w:highlight w:val="white"/>
        </w:rPr>
        <w:t>. In </w:t>
      </w:r>
      <w:r w:rsidRPr="00CB55CE">
        <w:rPr>
          <w:i/>
          <w:iCs/>
          <w:highlight w:val="white"/>
        </w:rPr>
        <w:t>ICCD</w:t>
      </w:r>
      <w:r w:rsidRPr="00CB55CE">
        <w:rPr>
          <w:highlight w:val="white"/>
        </w:rPr>
        <w:t> (Vol. 5, No. 1, pp. 514-518).</w:t>
      </w:r>
    </w:p>
    <w:p w14:paraId="0FB4D3DE" w14:textId="77777777" w:rsidR="0054341A" w:rsidRDefault="0054341A">
      <w:pPr>
        <w:spacing w:before="240" w:after="240"/>
        <w:rPr>
          <w:highlight w:val="white"/>
        </w:rPr>
      </w:pPr>
      <w:proofErr w:type="spellStart"/>
      <w:r>
        <w:rPr>
          <w:highlight w:val="white"/>
        </w:rPr>
        <w:t>Ozili</w:t>
      </w:r>
      <w:proofErr w:type="spellEnd"/>
      <w:r>
        <w:rPr>
          <w:highlight w:val="white"/>
        </w:rPr>
        <w:t xml:space="preserve">, P.K., 2022. Sustainability and sustainable development research around the world. </w:t>
      </w:r>
      <w:r>
        <w:rPr>
          <w:i/>
          <w:highlight w:val="white"/>
        </w:rPr>
        <w:t>Managing Global Transitions</w:t>
      </w:r>
      <w:r>
        <w:rPr>
          <w:highlight w:val="white"/>
        </w:rPr>
        <w:t>.</w:t>
      </w:r>
    </w:p>
    <w:p w14:paraId="2730B6BA" w14:textId="77777777" w:rsidR="0054341A" w:rsidRDefault="0054341A">
      <w:pPr>
        <w:spacing w:before="240" w:after="240"/>
        <w:rPr>
          <w:highlight w:val="white"/>
        </w:rPr>
      </w:pPr>
      <w:r w:rsidRPr="00CB55CE">
        <w:rPr>
          <w:highlight w:val="white"/>
        </w:rPr>
        <w:t>RAMLI, Y., PERMANA, D., SHIRATINA, A., SOELTON, M. and YUSOFF, Y.M., 2023, November. Implementing Innovation Strategic Against Sustainability Business On The Micro, Small And Medium Enterprises. In </w:t>
      </w:r>
      <w:r w:rsidRPr="00CB55CE">
        <w:rPr>
          <w:i/>
          <w:iCs/>
          <w:highlight w:val="white"/>
        </w:rPr>
        <w:t>ICCD</w:t>
      </w:r>
      <w:r w:rsidRPr="00CB55CE">
        <w:rPr>
          <w:highlight w:val="white"/>
        </w:rPr>
        <w:t> (Vol. 5, No. 1, pp. 60-65).</w:t>
      </w:r>
    </w:p>
    <w:p w14:paraId="12DED790" w14:textId="77777777" w:rsidR="0054341A" w:rsidRDefault="0054341A">
      <w:pPr>
        <w:spacing w:before="240" w:after="240"/>
        <w:rPr>
          <w:highlight w:val="white"/>
        </w:rPr>
      </w:pPr>
      <w:r w:rsidRPr="00CB55CE">
        <w:rPr>
          <w:highlight w:val="white"/>
        </w:rPr>
        <w:t>Salamah, S.N., 2023. Financial management strategies to improve business performance. </w:t>
      </w:r>
      <w:r w:rsidRPr="00CB55CE">
        <w:rPr>
          <w:i/>
          <w:iCs/>
          <w:highlight w:val="white"/>
        </w:rPr>
        <w:t>Journal of Contemporary Administration and Management (ADMAN)</w:t>
      </w:r>
      <w:r w:rsidRPr="00CB55CE">
        <w:rPr>
          <w:highlight w:val="white"/>
        </w:rPr>
        <w:t>, </w:t>
      </w:r>
      <w:r w:rsidRPr="00CB55CE">
        <w:rPr>
          <w:i/>
          <w:iCs/>
          <w:highlight w:val="white"/>
        </w:rPr>
        <w:t>1</w:t>
      </w:r>
      <w:r w:rsidRPr="00CB55CE">
        <w:rPr>
          <w:highlight w:val="white"/>
        </w:rPr>
        <w:t>(1), pp.9-12.</w:t>
      </w:r>
    </w:p>
    <w:p w14:paraId="0A006890" w14:textId="77777777" w:rsidR="0054341A" w:rsidRDefault="0054341A">
      <w:pPr>
        <w:spacing w:before="240" w:after="240"/>
        <w:rPr>
          <w:highlight w:val="white"/>
        </w:rPr>
      </w:pPr>
      <w:proofErr w:type="spellStart"/>
      <w:r>
        <w:rPr>
          <w:highlight w:val="white"/>
        </w:rPr>
        <w:t>Siltaloppi</w:t>
      </w:r>
      <w:proofErr w:type="spellEnd"/>
      <w:r>
        <w:rPr>
          <w:highlight w:val="white"/>
        </w:rPr>
        <w:t xml:space="preserve">, J., Rajala, R. and Hietala, H., 2021. Integrating CSR with business strategy: a tension management perspective. </w:t>
      </w:r>
      <w:r>
        <w:rPr>
          <w:i/>
          <w:highlight w:val="white"/>
        </w:rPr>
        <w:t>Journal of Business Ethics</w:t>
      </w:r>
      <w:r>
        <w:rPr>
          <w:highlight w:val="white"/>
        </w:rPr>
        <w:t xml:space="preserve">, </w:t>
      </w:r>
      <w:r>
        <w:rPr>
          <w:i/>
          <w:highlight w:val="white"/>
        </w:rPr>
        <w:t>174</w:t>
      </w:r>
      <w:r>
        <w:rPr>
          <w:highlight w:val="white"/>
        </w:rPr>
        <w:t>, pp.507-527.</w:t>
      </w:r>
    </w:p>
    <w:p w14:paraId="4CB80719" w14:textId="77777777" w:rsidR="0054341A" w:rsidRDefault="0054341A">
      <w:pPr>
        <w:spacing w:before="240" w:after="240"/>
        <w:rPr>
          <w:highlight w:val="white"/>
        </w:rPr>
      </w:pPr>
      <w:r>
        <w:rPr>
          <w:highlight w:val="white"/>
        </w:rPr>
        <w:t>Sloan, P., Legrand, W. and Chen, J.S. (2017) Sustainability in the hospitality industry : principles of sustainable operations. 3rd edn. London: Butterworth-Heinemann.</w:t>
      </w:r>
    </w:p>
    <w:p w14:paraId="4AF5190E" w14:textId="77777777" w:rsidR="0054341A" w:rsidRDefault="0054341A">
      <w:pPr>
        <w:spacing w:before="240" w:after="240"/>
        <w:rPr>
          <w:highlight w:val="white"/>
        </w:rPr>
      </w:pPr>
      <w:r>
        <w:rPr>
          <w:highlight w:val="white"/>
        </w:rPr>
        <w:t xml:space="preserve">Sundström, A., Hyder, A.S. and Chowdhury, E.H., 2020. Market-oriented CSR implementation in SMEs with sustainable innovations: an action research approach. </w:t>
      </w:r>
      <w:r>
        <w:rPr>
          <w:i/>
          <w:highlight w:val="white"/>
        </w:rPr>
        <w:t>Baltic Journal of Management</w:t>
      </w:r>
      <w:r>
        <w:rPr>
          <w:highlight w:val="white"/>
        </w:rPr>
        <w:t xml:space="preserve">, </w:t>
      </w:r>
      <w:r>
        <w:rPr>
          <w:i/>
          <w:highlight w:val="white"/>
        </w:rPr>
        <w:t>15</w:t>
      </w:r>
      <w:r>
        <w:rPr>
          <w:highlight w:val="white"/>
        </w:rPr>
        <w:t>(5), pp.775-795.</w:t>
      </w:r>
    </w:p>
    <w:p w14:paraId="37CF1929" w14:textId="77777777" w:rsidR="0054341A" w:rsidRDefault="0054341A">
      <w:pPr>
        <w:spacing w:before="240" w:after="240"/>
        <w:rPr>
          <w:highlight w:val="white"/>
        </w:rPr>
      </w:pPr>
      <w:r>
        <w:rPr>
          <w:highlight w:val="white"/>
        </w:rPr>
        <w:t xml:space="preserve">Xu, L., Ao, C., Liu, B. and Cai, Z., 2023. Ecotourism and sustainable development: a scientometric review of global research trends. </w:t>
      </w:r>
      <w:r>
        <w:rPr>
          <w:i/>
          <w:highlight w:val="white"/>
        </w:rPr>
        <w:t>Environment, Development and Sustainability</w:t>
      </w:r>
      <w:r>
        <w:rPr>
          <w:highlight w:val="white"/>
        </w:rPr>
        <w:t xml:space="preserve">, </w:t>
      </w:r>
      <w:r>
        <w:rPr>
          <w:i/>
          <w:highlight w:val="white"/>
        </w:rPr>
        <w:t>25</w:t>
      </w:r>
      <w:r>
        <w:rPr>
          <w:highlight w:val="white"/>
        </w:rPr>
        <w:t>(4), pp.2977-3003.</w:t>
      </w:r>
    </w:p>
    <w:p w14:paraId="50DCA840" w14:textId="77777777" w:rsidR="00CB55CE" w:rsidRDefault="00CB55CE">
      <w:pPr>
        <w:spacing w:before="240" w:after="240"/>
        <w:rPr>
          <w:highlight w:val="white"/>
        </w:rPr>
      </w:pPr>
    </w:p>
    <w:p w14:paraId="00000034" w14:textId="77777777" w:rsidR="00922E3F" w:rsidRDefault="00CE6440">
      <w:pPr>
        <w:spacing w:before="240" w:after="240"/>
        <w:rPr>
          <w:highlight w:val="yellow"/>
        </w:rPr>
      </w:pPr>
      <w:r>
        <w:rPr>
          <w:highlight w:val="yellow"/>
        </w:rPr>
        <w:t xml:space="preserve"> </w:t>
      </w:r>
    </w:p>
    <w:p w14:paraId="00000035" w14:textId="77777777" w:rsidR="00922E3F" w:rsidRDefault="00922E3F">
      <w:pPr>
        <w:spacing w:before="240" w:after="240"/>
        <w:rPr>
          <w:highlight w:val="yellow"/>
        </w:rPr>
      </w:pPr>
    </w:p>
    <w:p w14:paraId="00000036" w14:textId="77777777" w:rsidR="00922E3F" w:rsidRDefault="00922E3F">
      <w:pPr>
        <w:spacing w:before="240" w:after="240"/>
        <w:ind w:left="360"/>
      </w:pPr>
    </w:p>
    <w:p w14:paraId="00000037" w14:textId="77777777" w:rsidR="00922E3F" w:rsidRDefault="00922E3F"/>
    <w:p w14:paraId="00000038" w14:textId="77777777" w:rsidR="00922E3F" w:rsidRDefault="00922E3F"/>
    <w:sectPr w:rsidR="00922E3F" w:rsidSect="00B56E21">
      <w:footerReference w:type="default" r:id="rId6"/>
      <w:footerReference w:type="firs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2CC8F3" w14:textId="77777777" w:rsidR="00C03CAB" w:rsidRDefault="00C03CAB">
      <w:pPr>
        <w:spacing w:line="240" w:lineRule="auto"/>
      </w:pPr>
      <w:r>
        <w:separator/>
      </w:r>
    </w:p>
  </w:endnote>
  <w:endnote w:type="continuationSeparator" w:id="0">
    <w:p w14:paraId="3DE4F2E9" w14:textId="77777777" w:rsidR="00C03CAB" w:rsidRDefault="00C03C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704447"/>
      <w:docPartObj>
        <w:docPartGallery w:val="Page Numbers (Bottom of Page)"/>
        <w:docPartUnique/>
      </w:docPartObj>
    </w:sdtPr>
    <w:sdtEndPr>
      <w:rPr>
        <w:noProof/>
      </w:rPr>
    </w:sdtEndPr>
    <w:sdtContent>
      <w:p w14:paraId="63CADB24" w14:textId="2A60D1E1" w:rsidR="00B56E21" w:rsidRDefault="00CE6440">
        <w:pPr>
          <w:pStyle w:val="Footer"/>
          <w:jc w:val="right"/>
        </w:pPr>
        <w:r>
          <w:fldChar w:fldCharType="begin"/>
        </w:r>
        <w:r>
          <w:instrText xml:space="preserve"> PAGE   \* MERGEFORMAT </w:instrText>
        </w:r>
        <w:r>
          <w:fldChar w:fldCharType="separate"/>
        </w:r>
        <w:r w:rsidR="0054341A">
          <w:rPr>
            <w:noProof/>
          </w:rPr>
          <w:t>7</w:t>
        </w:r>
        <w:r>
          <w:rPr>
            <w:noProof/>
          </w:rPr>
          <w:fldChar w:fldCharType="end"/>
        </w:r>
      </w:p>
    </w:sdtContent>
  </w:sdt>
  <w:p w14:paraId="278E9E52" w14:textId="77777777" w:rsidR="00B56E21" w:rsidRDefault="00B56E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308527"/>
      <w:docPartObj>
        <w:docPartGallery w:val="Page Numbers (Bottom of Page)"/>
        <w:docPartUnique/>
      </w:docPartObj>
    </w:sdtPr>
    <w:sdtEndPr>
      <w:rPr>
        <w:noProof/>
      </w:rPr>
    </w:sdtEndPr>
    <w:sdtContent>
      <w:p w14:paraId="05746B75" w14:textId="03C9B02D" w:rsidR="00B56E21" w:rsidRDefault="00CE6440">
        <w:pPr>
          <w:pStyle w:val="Footer"/>
          <w:jc w:val="right"/>
        </w:pPr>
        <w:r>
          <w:fldChar w:fldCharType="begin"/>
        </w:r>
        <w:r>
          <w:instrText xml:space="preserve"> PAGE   \* MERGEFORMAT </w:instrText>
        </w:r>
        <w:r>
          <w:fldChar w:fldCharType="separate"/>
        </w:r>
        <w:r w:rsidR="0054341A">
          <w:rPr>
            <w:noProof/>
          </w:rPr>
          <w:t>0</w:t>
        </w:r>
        <w:r>
          <w:rPr>
            <w:noProof/>
          </w:rPr>
          <w:fldChar w:fldCharType="end"/>
        </w:r>
      </w:p>
    </w:sdtContent>
  </w:sdt>
  <w:p w14:paraId="0000003B" w14:textId="77777777" w:rsidR="00922E3F" w:rsidRDefault="00922E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1DBE79" w14:textId="77777777" w:rsidR="00C03CAB" w:rsidRDefault="00C03CAB">
      <w:pPr>
        <w:spacing w:line="240" w:lineRule="auto"/>
      </w:pPr>
      <w:r>
        <w:separator/>
      </w:r>
    </w:p>
  </w:footnote>
  <w:footnote w:type="continuationSeparator" w:id="0">
    <w:p w14:paraId="761E9104" w14:textId="77777777" w:rsidR="00C03CAB" w:rsidRDefault="00C03C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E3F"/>
    <w:rsid w:val="00192B81"/>
    <w:rsid w:val="00294113"/>
    <w:rsid w:val="00433921"/>
    <w:rsid w:val="0054341A"/>
    <w:rsid w:val="005757FE"/>
    <w:rsid w:val="00922E3F"/>
    <w:rsid w:val="00A642D6"/>
    <w:rsid w:val="00B56E21"/>
    <w:rsid w:val="00C03CAB"/>
    <w:rsid w:val="00CB55CE"/>
    <w:rsid w:val="00CE6440"/>
    <w:rsid w:val="00D53278"/>
    <w:rsid w:val="00D7139C"/>
    <w:rsid w:val="00DA0F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644B2"/>
  <w15:docId w15:val="{7DDFD1AC-B9E4-4147-9EFF-611AEBC3F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56E21"/>
    <w:pPr>
      <w:tabs>
        <w:tab w:val="center" w:pos="4513"/>
        <w:tab w:val="right" w:pos="9026"/>
      </w:tabs>
      <w:spacing w:line="240" w:lineRule="auto"/>
    </w:pPr>
  </w:style>
  <w:style w:type="character" w:customStyle="1" w:styleId="HeaderChar">
    <w:name w:val="Header Char"/>
    <w:basedOn w:val="DefaultParagraphFont"/>
    <w:link w:val="Header"/>
    <w:uiPriority w:val="99"/>
    <w:rsid w:val="00B56E21"/>
  </w:style>
  <w:style w:type="paragraph" w:styleId="Footer">
    <w:name w:val="footer"/>
    <w:basedOn w:val="Normal"/>
    <w:link w:val="FooterChar"/>
    <w:uiPriority w:val="99"/>
    <w:unhideWhenUsed/>
    <w:rsid w:val="00B56E21"/>
    <w:pPr>
      <w:tabs>
        <w:tab w:val="center" w:pos="4513"/>
        <w:tab w:val="right" w:pos="9026"/>
      </w:tabs>
      <w:spacing w:line="240" w:lineRule="auto"/>
    </w:pPr>
  </w:style>
  <w:style w:type="character" w:customStyle="1" w:styleId="FooterChar">
    <w:name w:val="Footer Char"/>
    <w:basedOn w:val="DefaultParagraphFont"/>
    <w:link w:val="Footer"/>
    <w:uiPriority w:val="99"/>
    <w:rsid w:val="00B56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47857">
      <w:bodyDiv w:val="1"/>
      <w:marLeft w:val="0"/>
      <w:marRight w:val="0"/>
      <w:marTop w:val="0"/>
      <w:marBottom w:val="0"/>
      <w:divBdr>
        <w:top w:val="none" w:sz="0" w:space="0" w:color="auto"/>
        <w:left w:val="none" w:sz="0" w:space="0" w:color="auto"/>
        <w:bottom w:val="none" w:sz="0" w:space="0" w:color="auto"/>
        <w:right w:val="none" w:sz="0" w:space="0" w:color="auto"/>
      </w:divBdr>
    </w:div>
    <w:div w:id="11254689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2705</Words>
  <Characters>15422</Characters>
  <Application>Microsoft Office Word</Application>
  <DocSecurity>0</DocSecurity>
  <Lines>128</Lines>
  <Paragraphs>36</Paragraphs>
  <ScaleCrop>false</ScaleCrop>
  <Company/>
  <LinksUpToDate>false</LinksUpToDate>
  <CharactersWithSpaces>18091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2</cp:revision>
  <dcterms:created xsi:type="dcterms:W3CDTF">2024-10-19T23:09:00Z</dcterms:created>
  <dcterms:modified xsi:type="dcterms:W3CDTF">2024-10-19T23:09:00Z</dcterms:modified>
</cp:coreProperties>
</file>