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0C12" w:rsidRDefault="00110C12" w:rsidP="00110C12">
      <w:pPr>
        <w:pStyle w:val="Title"/>
        <w:spacing w:line="360" w:lineRule="auto"/>
        <w:jc w:val="both"/>
        <w:rPr>
          <w:rFonts w:ascii="Arial" w:hAnsi="Arial" w:cs="Arial"/>
          <w:b/>
          <w:sz w:val="36"/>
          <w:szCs w:val="36"/>
        </w:rPr>
      </w:pPr>
    </w:p>
    <w:p w:rsidR="00110C12" w:rsidRDefault="00110C12" w:rsidP="00110C12">
      <w:pPr>
        <w:pStyle w:val="Title"/>
        <w:spacing w:line="360" w:lineRule="auto"/>
        <w:jc w:val="both"/>
        <w:rPr>
          <w:rFonts w:ascii="Arial" w:hAnsi="Arial" w:cs="Arial"/>
          <w:b/>
          <w:sz w:val="36"/>
          <w:szCs w:val="36"/>
        </w:rPr>
      </w:pPr>
    </w:p>
    <w:p w:rsidR="00110C12" w:rsidRDefault="00110C12" w:rsidP="00110C12">
      <w:pPr>
        <w:pStyle w:val="Title"/>
        <w:spacing w:line="360" w:lineRule="auto"/>
        <w:jc w:val="both"/>
        <w:rPr>
          <w:rFonts w:ascii="Arial" w:hAnsi="Arial" w:cs="Arial"/>
          <w:b/>
          <w:sz w:val="36"/>
          <w:szCs w:val="36"/>
        </w:rPr>
      </w:pPr>
    </w:p>
    <w:p w:rsidR="0072622D" w:rsidRDefault="0072622D" w:rsidP="0072622D">
      <w:pPr>
        <w:pStyle w:val="Title"/>
        <w:spacing w:line="360" w:lineRule="auto"/>
        <w:jc w:val="center"/>
        <w:rPr>
          <w:rFonts w:ascii="Arial" w:hAnsi="Arial" w:cs="Arial"/>
          <w:b/>
          <w:sz w:val="36"/>
          <w:szCs w:val="36"/>
        </w:rPr>
      </w:pPr>
    </w:p>
    <w:p w:rsidR="0072622D" w:rsidRDefault="0072622D" w:rsidP="0072622D">
      <w:pPr>
        <w:pStyle w:val="Title"/>
        <w:spacing w:line="360" w:lineRule="auto"/>
        <w:jc w:val="center"/>
        <w:rPr>
          <w:rFonts w:ascii="Arial" w:hAnsi="Arial" w:cs="Arial"/>
          <w:b/>
          <w:sz w:val="36"/>
          <w:szCs w:val="36"/>
        </w:rPr>
      </w:pPr>
    </w:p>
    <w:p w:rsidR="0072622D" w:rsidRDefault="0072622D" w:rsidP="0072622D">
      <w:pPr>
        <w:pStyle w:val="Title"/>
        <w:spacing w:line="360" w:lineRule="auto"/>
        <w:jc w:val="center"/>
        <w:rPr>
          <w:rFonts w:ascii="Arial" w:hAnsi="Arial" w:cs="Arial"/>
          <w:b/>
          <w:sz w:val="36"/>
          <w:szCs w:val="36"/>
        </w:rPr>
      </w:pPr>
    </w:p>
    <w:p w:rsidR="0072622D" w:rsidRDefault="0072622D" w:rsidP="0072622D">
      <w:pPr>
        <w:pStyle w:val="Title"/>
        <w:spacing w:line="360" w:lineRule="auto"/>
        <w:jc w:val="center"/>
        <w:rPr>
          <w:rFonts w:ascii="Arial" w:hAnsi="Arial" w:cs="Arial"/>
          <w:b/>
          <w:sz w:val="36"/>
          <w:szCs w:val="36"/>
        </w:rPr>
      </w:pPr>
    </w:p>
    <w:p w:rsidR="00110C12" w:rsidRPr="007A1B53" w:rsidRDefault="007A1B53" w:rsidP="0072622D">
      <w:pPr>
        <w:pStyle w:val="Title"/>
        <w:spacing w:line="360" w:lineRule="auto"/>
        <w:jc w:val="center"/>
        <w:rPr>
          <w:rFonts w:ascii="Times New Roman" w:hAnsi="Times New Roman" w:cs="Times New Roman"/>
          <w:sz w:val="48"/>
          <w:szCs w:val="48"/>
        </w:rPr>
      </w:pPr>
      <w:r w:rsidRPr="007A1B53">
        <w:rPr>
          <w:rFonts w:ascii="Times New Roman" w:hAnsi="Times New Roman" w:cs="Times New Roman"/>
          <w:sz w:val="48"/>
          <w:szCs w:val="48"/>
        </w:rPr>
        <w:t xml:space="preserve">NEGLIGENCE </w:t>
      </w:r>
      <w:r w:rsidR="00110C12" w:rsidRPr="007A1B53">
        <w:rPr>
          <w:rFonts w:ascii="Times New Roman" w:hAnsi="Times New Roman" w:cs="Times New Roman"/>
          <w:sz w:val="48"/>
          <w:szCs w:val="48"/>
        </w:rPr>
        <w:br w:type="page"/>
      </w:r>
    </w:p>
    <w:sdt>
      <w:sdtPr>
        <w:rPr>
          <w:rFonts w:asciiTheme="minorHAnsi" w:eastAsiaTheme="minorHAnsi" w:hAnsiTheme="minorHAnsi" w:cstheme="minorBidi"/>
          <w:color w:val="auto"/>
          <w:sz w:val="22"/>
          <w:szCs w:val="22"/>
        </w:rPr>
        <w:id w:val="-849333664"/>
        <w:docPartObj>
          <w:docPartGallery w:val="Table of Contents"/>
          <w:docPartUnique/>
        </w:docPartObj>
      </w:sdtPr>
      <w:sdtEndPr>
        <w:rPr>
          <w:b/>
          <w:bCs/>
          <w:noProof/>
        </w:rPr>
      </w:sdtEndPr>
      <w:sdtContent>
        <w:p w:rsidR="00115CA7" w:rsidRPr="009B1485" w:rsidRDefault="00115CA7" w:rsidP="009B1485">
          <w:pPr>
            <w:pStyle w:val="TOCHeading"/>
            <w:spacing w:line="360" w:lineRule="auto"/>
            <w:jc w:val="both"/>
            <w:rPr>
              <w:rFonts w:ascii="Arial" w:hAnsi="Arial" w:cs="Arial"/>
              <w:b/>
              <w:sz w:val="28"/>
              <w:szCs w:val="28"/>
            </w:rPr>
          </w:pPr>
          <w:r w:rsidRPr="009B1485">
            <w:rPr>
              <w:rFonts w:ascii="Arial" w:hAnsi="Arial" w:cs="Arial"/>
              <w:b/>
              <w:sz w:val="28"/>
              <w:szCs w:val="28"/>
            </w:rPr>
            <w:t>Table of Contents</w:t>
          </w:r>
        </w:p>
        <w:p w:rsidR="009B1485" w:rsidRPr="009B1485" w:rsidRDefault="00115CA7" w:rsidP="009B1485">
          <w:pPr>
            <w:pStyle w:val="TOC1"/>
            <w:tabs>
              <w:tab w:val="right" w:leader="dot" w:pos="9350"/>
            </w:tabs>
            <w:spacing w:line="360" w:lineRule="auto"/>
            <w:jc w:val="both"/>
            <w:rPr>
              <w:rFonts w:ascii="Arial" w:eastAsiaTheme="minorEastAsia" w:hAnsi="Arial" w:cs="Arial"/>
              <w:noProof/>
              <w:sz w:val="24"/>
              <w:szCs w:val="24"/>
            </w:rPr>
          </w:pPr>
          <w:r>
            <w:rPr>
              <w:b/>
              <w:bCs/>
              <w:noProof/>
            </w:rPr>
            <w:fldChar w:fldCharType="begin"/>
          </w:r>
          <w:r>
            <w:rPr>
              <w:b/>
              <w:bCs/>
              <w:noProof/>
            </w:rPr>
            <w:instrText xml:space="preserve"> TOC \o "1-3" \h \z \u </w:instrText>
          </w:r>
          <w:r>
            <w:rPr>
              <w:b/>
              <w:bCs/>
              <w:noProof/>
            </w:rPr>
            <w:fldChar w:fldCharType="separate"/>
          </w:r>
          <w:hyperlink w:anchor="_Toc109095467" w:history="1">
            <w:r w:rsidR="009B1485" w:rsidRPr="009B1485">
              <w:rPr>
                <w:rStyle w:val="Hyperlink"/>
                <w:rFonts w:ascii="Arial" w:hAnsi="Arial" w:cs="Arial"/>
                <w:noProof/>
                <w:sz w:val="24"/>
                <w:szCs w:val="24"/>
              </w:rPr>
              <w:t>Introduction</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_Toc109095467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3</w:t>
            </w:r>
            <w:r w:rsidR="009B1485" w:rsidRPr="009B1485">
              <w:rPr>
                <w:rFonts w:ascii="Arial" w:hAnsi="Arial" w:cs="Arial"/>
                <w:noProof/>
                <w:webHidden/>
                <w:sz w:val="24"/>
                <w:szCs w:val="24"/>
              </w:rPr>
              <w:fldChar w:fldCharType="end"/>
            </w:r>
          </w:hyperlink>
        </w:p>
        <w:p w:rsidR="009B1485" w:rsidRPr="009B1485" w:rsidRDefault="005B6DEC" w:rsidP="009B1485">
          <w:pPr>
            <w:pStyle w:val="TOC1"/>
            <w:tabs>
              <w:tab w:val="right" w:leader="dot" w:pos="9350"/>
            </w:tabs>
            <w:spacing w:line="360" w:lineRule="auto"/>
            <w:jc w:val="both"/>
            <w:rPr>
              <w:rFonts w:ascii="Arial" w:eastAsiaTheme="minorEastAsia" w:hAnsi="Arial" w:cs="Arial"/>
              <w:noProof/>
              <w:sz w:val="24"/>
              <w:szCs w:val="24"/>
            </w:rPr>
          </w:pPr>
          <w:hyperlink w:anchor="_Toc109095468" w:history="1">
            <w:r w:rsidR="009B1485" w:rsidRPr="009B1485">
              <w:rPr>
                <w:rStyle w:val="Hyperlink"/>
                <w:rFonts w:ascii="Arial" w:hAnsi="Arial" w:cs="Arial"/>
                <w:noProof/>
                <w:sz w:val="24"/>
                <w:szCs w:val="24"/>
              </w:rPr>
              <w:t>Main Analysis</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_Toc109095468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4</w:t>
            </w:r>
            <w:r w:rsidR="009B1485" w:rsidRPr="009B1485">
              <w:rPr>
                <w:rFonts w:ascii="Arial" w:hAnsi="Arial" w:cs="Arial"/>
                <w:noProof/>
                <w:webHidden/>
                <w:sz w:val="24"/>
                <w:szCs w:val="24"/>
              </w:rPr>
              <w:fldChar w:fldCharType="end"/>
            </w:r>
          </w:hyperlink>
        </w:p>
        <w:p w:rsidR="009B1485" w:rsidRPr="009B1485" w:rsidRDefault="005B6DEC" w:rsidP="009B1485">
          <w:pPr>
            <w:pStyle w:val="TOC2"/>
            <w:tabs>
              <w:tab w:val="right" w:leader="dot" w:pos="9350"/>
            </w:tabs>
            <w:spacing w:line="360" w:lineRule="auto"/>
            <w:jc w:val="both"/>
            <w:rPr>
              <w:rFonts w:ascii="Arial" w:hAnsi="Arial" w:cs="Arial"/>
              <w:noProof/>
              <w:sz w:val="24"/>
              <w:szCs w:val="24"/>
            </w:rPr>
          </w:pPr>
          <w:hyperlink w:anchor="_Toc109095469" w:history="1">
            <w:r w:rsidR="009B1485" w:rsidRPr="009B1485">
              <w:rPr>
                <w:rStyle w:val="Hyperlink"/>
                <w:rFonts w:ascii="Arial" w:hAnsi="Arial" w:cs="Arial"/>
                <w:noProof/>
                <w:sz w:val="24"/>
                <w:szCs w:val="24"/>
              </w:rPr>
              <w:t>Leo and Mille’s Case</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_Toc109095469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4</w:t>
            </w:r>
            <w:r w:rsidR="009B1485" w:rsidRPr="009B1485">
              <w:rPr>
                <w:rFonts w:ascii="Arial" w:hAnsi="Arial" w:cs="Arial"/>
                <w:noProof/>
                <w:webHidden/>
                <w:sz w:val="24"/>
                <w:szCs w:val="24"/>
              </w:rPr>
              <w:fldChar w:fldCharType="end"/>
            </w:r>
          </w:hyperlink>
        </w:p>
        <w:p w:rsidR="009B1485" w:rsidRPr="009B1485" w:rsidRDefault="005B6DEC" w:rsidP="009B1485">
          <w:pPr>
            <w:pStyle w:val="TOC2"/>
            <w:tabs>
              <w:tab w:val="right" w:leader="dot" w:pos="9350"/>
            </w:tabs>
            <w:spacing w:line="360" w:lineRule="auto"/>
            <w:jc w:val="both"/>
            <w:rPr>
              <w:rFonts w:ascii="Arial" w:hAnsi="Arial" w:cs="Arial"/>
              <w:noProof/>
              <w:sz w:val="24"/>
              <w:szCs w:val="24"/>
            </w:rPr>
          </w:pPr>
          <w:hyperlink w:anchor="_Toc109095470" w:history="1">
            <w:r w:rsidR="009B1485" w:rsidRPr="009B1485">
              <w:rPr>
                <w:rStyle w:val="Hyperlink"/>
                <w:rFonts w:ascii="Arial" w:hAnsi="Arial" w:cs="Arial"/>
                <w:noProof/>
                <w:sz w:val="24"/>
                <w:szCs w:val="24"/>
              </w:rPr>
              <w:t>Nia and Owen’s Case</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_Toc109095470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7</w:t>
            </w:r>
            <w:r w:rsidR="009B1485" w:rsidRPr="009B1485">
              <w:rPr>
                <w:rFonts w:ascii="Arial" w:hAnsi="Arial" w:cs="Arial"/>
                <w:noProof/>
                <w:webHidden/>
                <w:sz w:val="24"/>
                <w:szCs w:val="24"/>
              </w:rPr>
              <w:fldChar w:fldCharType="end"/>
            </w:r>
          </w:hyperlink>
        </w:p>
        <w:p w:rsidR="009B1485" w:rsidRPr="009B1485" w:rsidRDefault="005B6DEC" w:rsidP="009B1485">
          <w:pPr>
            <w:pStyle w:val="TOC1"/>
            <w:tabs>
              <w:tab w:val="right" w:leader="dot" w:pos="9350"/>
            </w:tabs>
            <w:spacing w:line="360" w:lineRule="auto"/>
            <w:jc w:val="both"/>
            <w:rPr>
              <w:rFonts w:ascii="Arial" w:eastAsiaTheme="minorEastAsia" w:hAnsi="Arial" w:cs="Arial"/>
              <w:noProof/>
              <w:sz w:val="24"/>
              <w:szCs w:val="24"/>
            </w:rPr>
          </w:pPr>
          <w:hyperlink w:anchor="_Toc109095471" w:history="1">
            <w:r w:rsidR="009B1485" w:rsidRPr="009B1485">
              <w:rPr>
                <w:rStyle w:val="Hyperlink"/>
                <w:rFonts w:ascii="Arial" w:hAnsi="Arial" w:cs="Arial"/>
                <w:noProof/>
                <w:sz w:val="24"/>
                <w:szCs w:val="24"/>
              </w:rPr>
              <w:t>Recommendation</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_Toc109095471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8</w:t>
            </w:r>
            <w:r w:rsidR="009B1485" w:rsidRPr="009B1485">
              <w:rPr>
                <w:rFonts w:ascii="Arial" w:hAnsi="Arial" w:cs="Arial"/>
                <w:noProof/>
                <w:webHidden/>
                <w:sz w:val="24"/>
                <w:szCs w:val="24"/>
              </w:rPr>
              <w:fldChar w:fldCharType="end"/>
            </w:r>
          </w:hyperlink>
        </w:p>
        <w:p w:rsidR="009B1485" w:rsidRPr="009B1485" w:rsidRDefault="005B6DEC" w:rsidP="009B1485">
          <w:pPr>
            <w:pStyle w:val="TOC1"/>
            <w:tabs>
              <w:tab w:val="right" w:leader="dot" w:pos="9350"/>
            </w:tabs>
            <w:spacing w:line="360" w:lineRule="auto"/>
            <w:jc w:val="both"/>
            <w:rPr>
              <w:rFonts w:ascii="Arial" w:eastAsiaTheme="minorEastAsia" w:hAnsi="Arial" w:cs="Arial"/>
              <w:noProof/>
              <w:sz w:val="24"/>
              <w:szCs w:val="24"/>
            </w:rPr>
          </w:pPr>
          <w:hyperlink w:anchor="_Toc109095472" w:history="1">
            <w:r w:rsidR="009B1485" w:rsidRPr="009B1485">
              <w:rPr>
                <w:rStyle w:val="Hyperlink"/>
                <w:rFonts w:ascii="Arial" w:hAnsi="Arial" w:cs="Arial"/>
                <w:noProof/>
                <w:sz w:val="24"/>
                <w:szCs w:val="24"/>
              </w:rPr>
              <w:t>Conclusion</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_Toc109095472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10</w:t>
            </w:r>
            <w:r w:rsidR="009B1485" w:rsidRPr="009B1485">
              <w:rPr>
                <w:rFonts w:ascii="Arial" w:hAnsi="Arial" w:cs="Arial"/>
                <w:noProof/>
                <w:webHidden/>
                <w:sz w:val="24"/>
                <w:szCs w:val="24"/>
              </w:rPr>
              <w:fldChar w:fldCharType="end"/>
            </w:r>
          </w:hyperlink>
        </w:p>
        <w:p w:rsidR="009B1485" w:rsidRDefault="005B6DEC" w:rsidP="009B1485">
          <w:pPr>
            <w:pStyle w:val="TOC1"/>
            <w:tabs>
              <w:tab w:val="right" w:leader="dot" w:pos="9350"/>
            </w:tabs>
            <w:spacing w:line="360" w:lineRule="auto"/>
            <w:jc w:val="both"/>
            <w:rPr>
              <w:rFonts w:eastAsiaTheme="minorEastAsia"/>
              <w:noProof/>
            </w:rPr>
          </w:pPr>
          <w:hyperlink w:anchor="_Toc109095473" w:history="1">
            <w:r w:rsidR="009B1485" w:rsidRPr="009B1485">
              <w:rPr>
                <w:rStyle w:val="Hyperlink"/>
                <w:rFonts w:ascii="Arial" w:hAnsi="Arial" w:cs="Arial"/>
                <w:noProof/>
                <w:sz w:val="24"/>
                <w:szCs w:val="24"/>
              </w:rPr>
              <w:t>References</w:t>
            </w:r>
            <w:r w:rsidR="009B1485" w:rsidRPr="009B1485">
              <w:rPr>
                <w:rFonts w:ascii="Arial" w:hAnsi="Arial" w:cs="Arial"/>
                <w:noProof/>
                <w:webHidden/>
                <w:sz w:val="24"/>
                <w:szCs w:val="24"/>
              </w:rPr>
              <w:tab/>
            </w:r>
            <w:r w:rsidR="009B1485" w:rsidRPr="009B1485">
              <w:rPr>
                <w:rFonts w:ascii="Arial" w:hAnsi="Arial" w:cs="Arial"/>
                <w:noProof/>
                <w:webHidden/>
                <w:sz w:val="24"/>
                <w:szCs w:val="24"/>
              </w:rPr>
              <w:fldChar w:fldCharType="begin"/>
            </w:r>
            <w:r w:rsidR="009B1485" w:rsidRPr="009B1485">
              <w:rPr>
                <w:rFonts w:ascii="Arial" w:hAnsi="Arial" w:cs="Arial"/>
                <w:noProof/>
                <w:webHidden/>
                <w:sz w:val="24"/>
                <w:szCs w:val="24"/>
              </w:rPr>
              <w:instrText xml:space="preserve"> PAGEREF _Toc109095473 \h </w:instrText>
            </w:r>
            <w:r w:rsidR="009B1485" w:rsidRPr="009B1485">
              <w:rPr>
                <w:rFonts w:ascii="Arial" w:hAnsi="Arial" w:cs="Arial"/>
                <w:noProof/>
                <w:webHidden/>
                <w:sz w:val="24"/>
                <w:szCs w:val="24"/>
              </w:rPr>
            </w:r>
            <w:r w:rsidR="009B1485" w:rsidRPr="009B1485">
              <w:rPr>
                <w:rFonts w:ascii="Arial" w:hAnsi="Arial" w:cs="Arial"/>
                <w:noProof/>
                <w:webHidden/>
                <w:sz w:val="24"/>
                <w:szCs w:val="24"/>
              </w:rPr>
              <w:fldChar w:fldCharType="separate"/>
            </w:r>
            <w:r w:rsidR="009B1485" w:rsidRPr="009B1485">
              <w:rPr>
                <w:rFonts w:ascii="Arial" w:hAnsi="Arial" w:cs="Arial"/>
                <w:noProof/>
                <w:webHidden/>
                <w:sz w:val="24"/>
                <w:szCs w:val="24"/>
              </w:rPr>
              <w:t>11</w:t>
            </w:r>
            <w:r w:rsidR="009B1485" w:rsidRPr="009B1485">
              <w:rPr>
                <w:rFonts w:ascii="Arial" w:hAnsi="Arial" w:cs="Arial"/>
                <w:noProof/>
                <w:webHidden/>
                <w:sz w:val="24"/>
                <w:szCs w:val="24"/>
              </w:rPr>
              <w:fldChar w:fldCharType="end"/>
            </w:r>
          </w:hyperlink>
        </w:p>
        <w:p w:rsidR="00115CA7" w:rsidRDefault="00115CA7">
          <w:r>
            <w:rPr>
              <w:b/>
              <w:bCs/>
              <w:noProof/>
            </w:rPr>
            <w:fldChar w:fldCharType="end"/>
          </w:r>
        </w:p>
      </w:sdtContent>
    </w:sdt>
    <w:p w:rsidR="0072622D" w:rsidRDefault="0072622D" w:rsidP="00110C12"/>
    <w:p w:rsidR="0072622D" w:rsidRDefault="0072622D">
      <w:r>
        <w:br w:type="page"/>
      </w:r>
    </w:p>
    <w:p w:rsidR="00115CA7" w:rsidRDefault="0072622D" w:rsidP="00115CA7">
      <w:pPr>
        <w:pStyle w:val="Heading1"/>
        <w:spacing w:line="360" w:lineRule="auto"/>
        <w:jc w:val="both"/>
        <w:rPr>
          <w:rFonts w:ascii="Arial" w:hAnsi="Arial" w:cs="Arial"/>
          <w:b/>
          <w:sz w:val="28"/>
          <w:szCs w:val="28"/>
        </w:rPr>
      </w:pPr>
      <w:bookmarkStart w:id="0" w:name="_Toc109095467"/>
      <w:r w:rsidRPr="00115CA7">
        <w:rPr>
          <w:rFonts w:ascii="Arial" w:hAnsi="Arial" w:cs="Arial"/>
          <w:b/>
          <w:sz w:val="28"/>
          <w:szCs w:val="28"/>
        </w:rPr>
        <w:lastRenderedPageBreak/>
        <w:t>Introduction</w:t>
      </w:r>
      <w:bookmarkEnd w:id="0"/>
    </w:p>
    <w:p w:rsidR="0072622D" w:rsidRPr="00115CA7" w:rsidRDefault="00115CA7" w:rsidP="00115CA7">
      <w:pPr>
        <w:spacing w:line="360" w:lineRule="auto"/>
        <w:jc w:val="both"/>
        <w:rPr>
          <w:rFonts w:ascii="Arial" w:eastAsiaTheme="majorEastAsia" w:hAnsi="Arial" w:cs="Arial"/>
          <w:color w:val="2E74B5" w:themeColor="accent1" w:themeShade="BF"/>
          <w:sz w:val="24"/>
          <w:szCs w:val="24"/>
        </w:rPr>
      </w:pPr>
      <w:r>
        <w:rPr>
          <w:rFonts w:ascii="Arial" w:hAnsi="Arial" w:cs="Arial"/>
          <w:sz w:val="24"/>
          <w:szCs w:val="24"/>
        </w:rPr>
        <w:t xml:space="preserve">This report presents the law of tort </w:t>
      </w:r>
      <w:r w:rsidRPr="00115CA7">
        <w:rPr>
          <w:rFonts w:ascii="Arial" w:hAnsi="Arial" w:cs="Arial"/>
          <w:sz w:val="24"/>
          <w:szCs w:val="24"/>
        </w:rPr>
        <w:t>that results in damage or grievous hurt and constitutes an unlawful act for which judges place responsibility.</w:t>
      </w:r>
      <w:r>
        <w:rPr>
          <w:rFonts w:ascii="Arial" w:hAnsi="Arial" w:cs="Arial"/>
          <w:sz w:val="24"/>
          <w:szCs w:val="24"/>
        </w:rPr>
        <w:t xml:space="preserve"> </w:t>
      </w:r>
      <w:r w:rsidRPr="00115CA7">
        <w:rPr>
          <w:rFonts w:ascii="Arial" w:hAnsi="Arial" w:cs="Arial"/>
          <w:sz w:val="24"/>
          <w:szCs w:val="24"/>
        </w:rPr>
        <w:t>The law of tort refers to the law which includes wrongful injuries. This law works to protect people affected by carelessness, negligence, and recklessness of another person and also compensate people who have been affected by a wrongdoer. The word tort is derived from French, which means twisted, wrong. Along with other pillars of the laws, the tort is one of the main pillars of the legal systems which work with injured people. In simple words, it can be said a person invades another person’s right, which also causes injury to that person, which is called tort. It is only concerned with the injuries and the people who did the wrong. Civil litigation comes under the law of tort as one of the most significant categories though there are three main types of torts available such as claims based on negligence, claims based on strict liability, and claims based on intentional acts.</w:t>
      </w:r>
      <w:r>
        <w:rPr>
          <w:rFonts w:ascii="Arial" w:hAnsi="Arial" w:cs="Arial"/>
          <w:sz w:val="24"/>
          <w:szCs w:val="24"/>
        </w:rPr>
        <w:t xml:space="preserve"> </w:t>
      </w:r>
      <w:r w:rsidR="00ED7674">
        <w:rPr>
          <w:rFonts w:ascii="Arial" w:hAnsi="Arial" w:cs="Arial"/>
          <w:sz w:val="24"/>
          <w:szCs w:val="24"/>
        </w:rPr>
        <w:t xml:space="preserve">In the next phase, there will be discussed two cases and the people who are injured in the theme park owned by </w:t>
      </w:r>
      <w:r w:rsidR="00ED7674" w:rsidRPr="00ED7674">
        <w:rPr>
          <w:rFonts w:ascii="Arial" w:hAnsi="Arial" w:cs="Arial"/>
          <w:sz w:val="24"/>
          <w:szCs w:val="24"/>
        </w:rPr>
        <w:t>Carlton Parks Limited (CPL)</w:t>
      </w:r>
      <w:r w:rsidR="00ED7674">
        <w:rPr>
          <w:rFonts w:ascii="Arial" w:hAnsi="Arial" w:cs="Arial"/>
          <w:sz w:val="24"/>
          <w:szCs w:val="24"/>
        </w:rPr>
        <w:t>. The liability acts for those incidents also be discussed here.</w:t>
      </w:r>
      <w:r w:rsidRPr="00115CA7">
        <w:rPr>
          <w:rFonts w:ascii="Arial" w:hAnsi="Arial" w:cs="Arial"/>
          <w:sz w:val="24"/>
          <w:szCs w:val="24"/>
        </w:rPr>
        <w:br w:type="page"/>
      </w:r>
    </w:p>
    <w:p w:rsidR="00115CA7" w:rsidRDefault="0072622D" w:rsidP="00115CA7">
      <w:pPr>
        <w:pStyle w:val="Heading1"/>
        <w:spacing w:line="360" w:lineRule="auto"/>
        <w:jc w:val="both"/>
        <w:rPr>
          <w:rFonts w:ascii="Arial" w:hAnsi="Arial" w:cs="Arial"/>
          <w:b/>
          <w:sz w:val="28"/>
          <w:szCs w:val="28"/>
        </w:rPr>
      </w:pPr>
      <w:bookmarkStart w:id="1" w:name="_Toc109095468"/>
      <w:r w:rsidRPr="00115CA7">
        <w:rPr>
          <w:rFonts w:ascii="Arial" w:hAnsi="Arial" w:cs="Arial"/>
          <w:b/>
          <w:sz w:val="28"/>
          <w:szCs w:val="28"/>
        </w:rPr>
        <w:lastRenderedPageBreak/>
        <w:t>Main Analys</w:t>
      </w:r>
      <w:r w:rsidR="00115CA7" w:rsidRPr="00115CA7">
        <w:rPr>
          <w:rFonts w:ascii="Arial" w:hAnsi="Arial" w:cs="Arial"/>
          <w:b/>
          <w:sz w:val="28"/>
          <w:szCs w:val="28"/>
        </w:rPr>
        <w:t>is</w:t>
      </w:r>
      <w:bookmarkEnd w:id="1"/>
    </w:p>
    <w:p w:rsidR="00DE7BF8" w:rsidRDefault="00DE7BF8" w:rsidP="00ED7674">
      <w:pPr>
        <w:spacing w:line="360" w:lineRule="auto"/>
        <w:jc w:val="both"/>
        <w:rPr>
          <w:rFonts w:ascii="Arial" w:hAnsi="Arial" w:cs="Arial"/>
          <w:sz w:val="24"/>
          <w:szCs w:val="24"/>
        </w:rPr>
      </w:pPr>
      <w:r>
        <w:rPr>
          <w:rFonts w:ascii="Arial" w:hAnsi="Arial" w:cs="Arial"/>
          <w:sz w:val="24"/>
          <w:szCs w:val="24"/>
        </w:rPr>
        <w:t xml:space="preserve">The theme park owned by CPL has some lacking in </w:t>
      </w:r>
      <w:r w:rsidR="00890526">
        <w:rPr>
          <w:rFonts w:ascii="Arial" w:hAnsi="Arial" w:cs="Arial"/>
          <w:sz w:val="24"/>
          <w:szCs w:val="24"/>
        </w:rPr>
        <w:t>its</w:t>
      </w:r>
      <w:r>
        <w:rPr>
          <w:rFonts w:ascii="Arial" w:hAnsi="Arial" w:cs="Arial"/>
          <w:sz w:val="24"/>
          <w:szCs w:val="24"/>
        </w:rPr>
        <w:t xml:space="preserve"> system. For that</w:t>
      </w:r>
      <w:r w:rsidR="00890526">
        <w:rPr>
          <w:rFonts w:ascii="Arial" w:hAnsi="Arial" w:cs="Arial"/>
          <w:sz w:val="24"/>
          <w:szCs w:val="24"/>
        </w:rPr>
        <w:t>,</w:t>
      </w:r>
      <w:r>
        <w:rPr>
          <w:rFonts w:ascii="Arial" w:hAnsi="Arial" w:cs="Arial"/>
          <w:sz w:val="24"/>
          <w:szCs w:val="24"/>
        </w:rPr>
        <w:t xml:space="preserve"> the people who visited this park </w:t>
      </w:r>
      <w:r w:rsidR="00890526">
        <w:rPr>
          <w:rFonts w:ascii="Arial" w:hAnsi="Arial" w:cs="Arial"/>
          <w:sz w:val="24"/>
          <w:szCs w:val="24"/>
        </w:rPr>
        <w:t>sometimes</w:t>
      </w:r>
      <w:r>
        <w:rPr>
          <w:rFonts w:ascii="Arial" w:hAnsi="Arial" w:cs="Arial"/>
          <w:sz w:val="24"/>
          <w:szCs w:val="24"/>
        </w:rPr>
        <w:t xml:space="preserve"> are injured. According to law, they have to take responsibilities who are getting injuries for them. According to Occupier Act, </w:t>
      </w:r>
      <w:r w:rsidRPr="00DE7BF8">
        <w:rPr>
          <w:rFonts w:ascii="Arial" w:hAnsi="Arial" w:cs="Arial"/>
          <w:sz w:val="24"/>
          <w:szCs w:val="24"/>
        </w:rPr>
        <w:t xml:space="preserve">A property owner has a "general responsibility" to all of their guests, </w:t>
      </w:r>
      <w:r w:rsidR="00890526">
        <w:rPr>
          <w:rFonts w:ascii="Arial" w:hAnsi="Arial" w:cs="Arial"/>
          <w:sz w:val="24"/>
          <w:szCs w:val="24"/>
        </w:rPr>
        <w:t>except</w:t>
      </w:r>
      <w:r w:rsidRPr="00DE7BF8">
        <w:rPr>
          <w:rFonts w:ascii="Arial" w:hAnsi="Arial" w:cs="Arial"/>
          <w:sz w:val="24"/>
          <w:szCs w:val="24"/>
        </w:rPr>
        <w:t xml:space="preserve"> any connection with people to whom he is allowed to and does expand, constrain, alter, or eliminate this responsibility by the contract or anything else. When an occupier hires an external vendor to perform development, upkeep, or major repairs that result in pain to a guest, this same occupier also isn't held solely responsible for the hazard if, under all the conditions, he is safe to participate in doing so and took whatever stages (whether any) was necessary to ensure that perhaps the contractor was performing the task effectively and efficiently</w:t>
      </w:r>
      <w:r>
        <w:rPr>
          <w:rFonts w:ascii="Arial" w:hAnsi="Arial" w:cs="Arial"/>
          <w:sz w:val="24"/>
          <w:szCs w:val="24"/>
        </w:rPr>
        <w:t xml:space="preserve"> </w:t>
      </w:r>
      <w:sdt>
        <w:sdtPr>
          <w:rPr>
            <w:rFonts w:ascii="Arial" w:hAnsi="Arial" w:cs="Arial"/>
            <w:sz w:val="24"/>
            <w:szCs w:val="24"/>
          </w:rPr>
          <w:id w:val="-1607808512"/>
          <w:citation/>
        </w:sdtPr>
        <w:sdtEndPr/>
        <w:sdtContent>
          <w:r>
            <w:rPr>
              <w:rFonts w:ascii="Arial" w:hAnsi="Arial" w:cs="Arial"/>
              <w:sz w:val="24"/>
              <w:szCs w:val="24"/>
            </w:rPr>
            <w:fldChar w:fldCharType="begin"/>
          </w:r>
          <w:r>
            <w:rPr>
              <w:rFonts w:ascii="Arial" w:hAnsi="Arial" w:cs="Arial"/>
              <w:sz w:val="24"/>
              <w:szCs w:val="24"/>
            </w:rPr>
            <w:instrText xml:space="preserve"> CITATION Leg22 \l 1033 </w:instrText>
          </w:r>
          <w:r>
            <w:rPr>
              <w:rFonts w:ascii="Arial" w:hAnsi="Arial" w:cs="Arial"/>
              <w:sz w:val="24"/>
              <w:szCs w:val="24"/>
            </w:rPr>
            <w:fldChar w:fldCharType="separate"/>
          </w:r>
          <w:r w:rsidR="000828C7" w:rsidRPr="000828C7">
            <w:rPr>
              <w:rFonts w:ascii="Arial" w:hAnsi="Arial" w:cs="Arial"/>
              <w:noProof/>
              <w:sz w:val="24"/>
              <w:szCs w:val="24"/>
            </w:rPr>
            <w:t>(Legislation, 2022)</w:t>
          </w:r>
          <w:r>
            <w:rPr>
              <w:rFonts w:ascii="Arial" w:hAnsi="Arial" w:cs="Arial"/>
              <w:sz w:val="24"/>
              <w:szCs w:val="24"/>
            </w:rPr>
            <w:fldChar w:fldCharType="end"/>
          </w:r>
        </w:sdtContent>
      </w:sdt>
      <w:r w:rsidRPr="00DE7BF8">
        <w:rPr>
          <w:rFonts w:ascii="Arial" w:hAnsi="Arial" w:cs="Arial"/>
          <w:sz w:val="24"/>
          <w:szCs w:val="24"/>
        </w:rPr>
        <w:t>.</w:t>
      </w:r>
      <w:r w:rsidR="00890526">
        <w:rPr>
          <w:rFonts w:ascii="Arial" w:hAnsi="Arial" w:cs="Arial"/>
          <w:sz w:val="24"/>
          <w:szCs w:val="24"/>
        </w:rPr>
        <w:t xml:space="preserve"> At first </w:t>
      </w:r>
      <w:r w:rsidR="00890526" w:rsidRPr="00890526">
        <w:rPr>
          <w:rFonts w:ascii="Arial" w:hAnsi="Arial" w:cs="Arial"/>
          <w:sz w:val="24"/>
          <w:szCs w:val="24"/>
        </w:rPr>
        <w:t>Leo and Mille</w:t>
      </w:r>
      <w:r w:rsidR="00890526">
        <w:rPr>
          <w:rFonts w:ascii="Arial" w:hAnsi="Arial" w:cs="Arial"/>
          <w:sz w:val="24"/>
          <w:szCs w:val="24"/>
        </w:rPr>
        <w:t xml:space="preserve"> then Nia and Owen suffered from the mismanagement of CPL. </w:t>
      </w:r>
    </w:p>
    <w:p w:rsidR="00DE7BF8" w:rsidRPr="00DE7BF8" w:rsidRDefault="00DE7BF8" w:rsidP="00DE7BF8">
      <w:pPr>
        <w:pStyle w:val="Heading2"/>
        <w:spacing w:line="360" w:lineRule="auto"/>
        <w:jc w:val="both"/>
        <w:rPr>
          <w:rFonts w:ascii="Arial" w:hAnsi="Arial" w:cs="Arial"/>
          <w:b/>
          <w:sz w:val="24"/>
          <w:szCs w:val="24"/>
        </w:rPr>
      </w:pPr>
      <w:bookmarkStart w:id="2" w:name="_Toc109095469"/>
      <w:r w:rsidRPr="00DE7BF8">
        <w:rPr>
          <w:rFonts w:ascii="Arial" w:hAnsi="Arial" w:cs="Arial"/>
          <w:b/>
          <w:sz w:val="24"/>
          <w:szCs w:val="24"/>
        </w:rPr>
        <w:t>Leo and Mille’s Case</w:t>
      </w:r>
      <w:bookmarkEnd w:id="2"/>
    </w:p>
    <w:p w:rsidR="00D63688" w:rsidRDefault="00ED7674" w:rsidP="00ED7674">
      <w:pPr>
        <w:spacing w:line="360" w:lineRule="auto"/>
        <w:jc w:val="both"/>
        <w:rPr>
          <w:rFonts w:ascii="Arial" w:hAnsi="Arial" w:cs="Arial"/>
          <w:sz w:val="24"/>
          <w:szCs w:val="24"/>
        </w:rPr>
      </w:pPr>
      <w:r w:rsidRPr="00ED7674">
        <w:rPr>
          <w:rFonts w:ascii="Arial" w:hAnsi="Arial" w:cs="Arial"/>
          <w:sz w:val="24"/>
          <w:szCs w:val="24"/>
        </w:rPr>
        <w:t>In the case where an 8 years old boy Lio fell on the concrete path, breaking the wooden fence which was previously damaged by the water falling from the roof-side. He also suffered a fractured wrist and collarbone. The theme park was owned by Carlton Park Limited, also known as CPL.</w:t>
      </w:r>
      <w:r w:rsidR="00DE7BF8">
        <w:rPr>
          <w:rFonts w:ascii="Arial" w:hAnsi="Arial" w:cs="Arial"/>
          <w:sz w:val="24"/>
          <w:szCs w:val="24"/>
        </w:rPr>
        <w:t xml:space="preserve"> </w:t>
      </w:r>
      <w:r w:rsidRPr="00ED7674">
        <w:rPr>
          <w:rFonts w:ascii="Arial" w:hAnsi="Arial" w:cs="Arial"/>
          <w:sz w:val="24"/>
          <w:szCs w:val="24"/>
        </w:rPr>
        <w:t>To determine the wrongdoer and the liabilities of the wrongdoer, it is needed to find out if the claim is valid or not. Lio was the primary victim in that case as he was the main i</w:t>
      </w:r>
      <w:r>
        <w:rPr>
          <w:rFonts w:ascii="Arial" w:hAnsi="Arial" w:cs="Arial"/>
          <w:sz w:val="24"/>
          <w:szCs w:val="24"/>
        </w:rPr>
        <w:t xml:space="preserve">njured person in that incident. </w:t>
      </w:r>
      <w:r w:rsidR="00890526">
        <w:rPr>
          <w:rFonts w:ascii="Arial" w:hAnsi="Arial" w:cs="Arial"/>
          <w:sz w:val="24"/>
          <w:szCs w:val="24"/>
        </w:rPr>
        <w:t xml:space="preserve">The CPL is </w:t>
      </w:r>
      <w:r w:rsidR="00D63688">
        <w:rPr>
          <w:rFonts w:ascii="Arial" w:hAnsi="Arial" w:cs="Arial"/>
          <w:sz w:val="24"/>
          <w:szCs w:val="24"/>
        </w:rPr>
        <w:t xml:space="preserve">the </w:t>
      </w:r>
      <w:r w:rsidR="00890526">
        <w:rPr>
          <w:rFonts w:ascii="Arial" w:hAnsi="Arial" w:cs="Arial"/>
          <w:sz w:val="24"/>
          <w:szCs w:val="24"/>
        </w:rPr>
        <w:t xml:space="preserve">occupier in this case. According to The </w:t>
      </w:r>
      <w:r w:rsidR="00890526" w:rsidRPr="00890526">
        <w:rPr>
          <w:rFonts w:ascii="Arial" w:hAnsi="Arial" w:cs="Arial"/>
          <w:sz w:val="24"/>
          <w:szCs w:val="24"/>
        </w:rPr>
        <w:t>Occupiers’ Liability Act 1957</w:t>
      </w:r>
      <w:r w:rsidR="00890526">
        <w:rPr>
          <w:rFonts w:ascii="Arial" w:hAnsi="Arial" w:cs="Arial"/>
          <w:sz w:val="24"/>
          <w:szCs w:val="24"/>
        </w:rPr>
        <w:t xml:space="preserve"> Chapter 31, </w:t>
      </w:r>
      <w:r w:rsidR="00890526" w:rsidRPr="00890526">
        <w:rPr>
          <w:rFonts w:ascii="Arial" w:hAnsi="Arial" w:cs="Arial"/>
          <w:sz w:val="24"/>
          <w:szCs w:val="24"/>
        </w:rPr>
        <w:t xml:space="preserve">The standard responsibility is a responsibility to exercise appropriate precautions in all the settings to ensure that the client will be probably safe rather than using the facilities for the reasons for which he has been requested or granted permission to be together by the owner. Insofar as he is given the freedom to provide it, an occupier should anticipate that an individual will recognize and protect against any unique hazards associated with his vocation while carrying out his duties. In regards to dangers that a visitor has voluntarily embraced as his own, any occupier isn't required to take any action </w:t>
      </w:r>
      <w:r w:rsidR="00D63688">
        <w:rPr>
          <w:rFonts w:ascii="Arial" w:hAnsi="Arial" w:cs="Arial"/>
          <w:sz w:val="24"/>
          <w:szCs w:val="24"/>
        </w:rPr>
        <w:t>by</w:t>
      </w:r>
      <w:r w:rsidR="00890526" w:rsidRPr="00890526">
        <w:rPr>
          <w:rFonts w:ascii="Arial" w:hAnsi="Arial" w:cs="Arial"/>
          <w:sz w:val="24"/>
          <w:szCs w:val="24"/>
        </w:rPr>
        <w:t xml:space="preserve"> the frequently reported code of professional conduct</w:t>
      </w:r>
      <w:r w:rsidR="00D63688">
        <w:rPr>
          <w:rFonts w:ascii="Arial" w:hAnsi="Arial" w:cs="Arial"/>
          <w:sz w:val="24"/>
          <w:szCs w:val="24"/>
        </w:rPr>
        <w:t xml:space="preserve"> </w:t>
      </w:r>
      <w:sdt>
        <w:sdtPr>
          <w:rPr>
            <w:rFonts w:ascii="Arial" w:hAnsi="Arial" w:cs="Arial"/>
            <w:sz w:val="24"/>
            <w:szCs w:val="24"/>
          </w:rPr>
          <w:id w:val="1516955924"/>
          <w:citation/>
        </w:sdtPr>
        <w:sdtEndPr/>
        <w:sdtContent>
          <w:r w:rsidR="00D63688">
            <w:rPr>
              <w:rFonts w:ascii="Arial" w:hAnsi="Arial" w:cs="Arial"/>
              <w:sz w:val="24"/>
              <w:szCs w:val="24"/>
            </w:rPr>
            <w:fldChar w:fldCharType="begin"/>
          </w:r>
          <w:r w:rsidR="00D63688">
            <w:rPr>
              <w:rFonts w:ascii="Arial" w:hAnsi="Arial" w:cs="Arial"/>
              <w:sz w:val="24"/>
              <w:szCs w:val="24"/>
            </w:rPr>
            <w:instrText xml:space="preserve"> CITATION UKL22 \l 1033 </w:instrText>
          </w:r>
          <w:r w:rsidR="00D63688">
            <w:rPr>
              <w:rFonts w:ascii="Arial" w:hAnsi="Arial" w:cs="Arial"/>
              <w:sz w:val="24"/>
              <w:szCs w:val="24"/>
            </w:rPr>
            <w:fldChar w:fldCharType="separate"/>
          </w:r>
          <w:r w:rsidR="000828C7" w:rsidRPr="000828C7">
            <w:rPr>
              <w:rFonts w:ascii="Arial" w:hAnsi="Arial" w:cs="Arial"/>
              <w:noProof/>
              <w:sz w:val="24"/>
              <w:szCs w:val="24"/>
            </w:rPr>
            <w:t>(UK Legislation, 2022)</w:t>
          </w:r>
          <w:r w:rsidR="00D63688">
            <w:rPr>
              <w:rFonts w:ascii="Arial" w:hAnsi="Arial" w:cs="Arial"/>
              <w:sz w:val="24"/>
              <w:szCs w:val="24"/>
            </w:rPr>
            <w:fldChar w:fldCharType="end"/>
          </w:r>
        </w:sdtContent>
      </w:sdt>
      <w:r w:rsidR="00890526" w:rsidRPr="00890526">
        <w:rPr>
          <w:rFonts w:ascii="Arial" w:hAnsi="Arial" w:cs="Arial"/>
          <w:sz w:val="24"/>
          <w:szCs w:val="24"/>
        </w:rPr>
        <w:t>.</w:t>
      </w:r>
      <w:r w:rsidR="00D63688">
        <w:rPr>
          <w:rFonts w:ascii="Arial" w:hAnsi="Arial" w:cs="Arial"/>
          <w:sz w:val="24"/>
          <w:szCs w:val="24"/>
        </w:rPr>
        <w:t xml:space="preserve"> </w:t>
      </w:r>
      <w:r w:rsidRPr="00ED7674">
        <w:rPr>
          <w:rFonts w:ascii="Arial" w:hAnsi="Arial" w:cs="Arial"/>
          <w:sz w:val="24"/>
          <w:szCs w:val="24"/>
        </w:rPr>
        <w:t xml:space="preserve">The Occupiers’ Liability Act instituted in 1957 covers the duty of care on occupiers for the visitors to have a safe passage while they are on the particular premises of the occupiers. According to the </w:t>
      </w:r>
      <w:r w:rsidRPr="00ED7674">
        <w:rPr>
          <w:rFonts w:ascii="Arial" w:hAnsi="Arial" w:cs="Arial"/>
          <w:sz w:val="24"/>
          <w:szCs w:val="24"/>
        </w:rPr>
        <w:lastRenderedPageBreak/>
        <w:t>Occupiers Liability Act (OLA) 1957, if a party holds firm control over particular premises lawfully, it can be regarded as the occupier’s premises. Sometimes, there can be more than one occupier. But it must a legally entitled. The standard duty of care is to safeguard the visitors who are invited to visit the premises to serve a specific purpose. The duty of care can be varied from person to person, such as for children, autistics, aged persons, females, etc. Occupiers Liability Act implies that things done on the premises and done by the occupiers ar</w:t>
      </w:r>
      <w:r>
        <w:rPr>
          <w:rFonts w:ascii="Arial" w:hAnsi="Arial" w:cs="Arial"/>
          <w:sz w:val="24"/>
          <w:szCs w:val="24"/>
        </w:rPr>
        <w:t xml:space="preserve">e the concern of the occupiers. </w:t>
      </w:r>
      <w:r w:rsidRPr="00ED7674">
        <w:rPr>
          <w:rFonts w:ascii="Arial" w:hAnsi="Arial" w:cs="Arial"/>
          <w:sz w:val="24"/>
          <w:szCs w:val="24"/>
        </w:rPr>
        <w:t>Premises can be described as a certain piece of land or buildings. It also includes moveable and immovable properties which cover the house, shop, offices, etc. On the other hand, visitors can be described under three headings. They are those who are invited to certain premises, those who have the right to enter, and tho</w:t>
      </w:r>
      <w:r>
        <w:rPr>
          <w:rFonts w:ascii="Arial" w:hAnsi="Arial" w:cs="Arial"/>
          <w:sz w:val="24"/>
          <w:szCs w:val="24"/>
        </w:rPr>
        <w:t xml:space="preserve">se who have implied permission. </w:t>
      </w:r>
      <w:r w:rsidR="009118BF" w:rsidRPr="009118BF">
        <w:rPr>
          <w:rFonts w:ascii="Arial" w:hAnsi="Arial" w:cs="Arial"/>
          <w:sz w:val="24"/>
          <w:szCs w:val="24"/>
        </w:rPr>
        <w:t>Furthermore, consultants advise owners to obtain professional defense advice because they have any reservations</w:t>
      </w:r>
      <w:r w:rsidR="009118BF">
        <w:rPr>
          <w:rFonts w:ascii="Arial" w:hAnsi="Arial" w:cs="Arial"/>
          <w:sz w:val="24"/>
          <w:szCs w:val="24"/>
        </w:rPr>
        <w:t>. After all,</w:t>
      </w:r>
      <w:r w:rsidR="009118BF" w:rsidRPr="009118BF">
        <w:rPr>
          <w:rFonts w:ascii="Arial" w:hAnsi="Arial" w:cs="Arial"/>
          <w:sz w:val="24"/>
          <w:szCs w:val="24"/>
        </w:rPr>
        <w:t xml:space="preserve"> this decision could only relate to buildings that have been in operation for a long time and not places in which a condition of deterioration or transitory risks could endanger guests</w:t>
      </w:r>
      <w:r w:rsidR="009118BF">
        <w:rPr>
          <w:rFonts w:ascii="Arial" w:hAnsi="Arial" w:cs="Arial"/>
          <w:sz w:val="24"/>
          <w:szCs w:val="24"/>
        </w:rPr>
        <w:t xml:space="preserve"> </w:t>
      </w:r>
      <w:sdt>
        <w:sdtPr>
          <w:rPr>
            <w:rFonts w:ascii="Arial" w:hAnsi="Arial" w:cs="Arial"/>
            <w:sz w:val="24"/>
            <w:szCs w:val="24"/>
          </w:rPr>
          <w:id w:val="-1859419806"/>
          <w:citation/>
        </w:sdtPr>
        <w:sdtEndPr/>
        <w:sdtContent>
          <w:r w:rsidR="009118BF">
            <w:rPr>
              <w:rFonts w:ascii="Arial" w:hAnsi="Arial" w:cs="Arial"/>
              <w:sz w:val="24"/>
              <w:szCs w:val="24"/>
            </w:rPr>
            <w:fldChar w:fldCharType="begin"/>
          </w:r>
          <w:r w:rsidR="009118BF">
            <w:rPr>
              <w:rFonts w:ascii="Arial" w:hAnsi="Arial" w:cs="Arial"/>
              <w:sz w:val="24"/>
              <w:szCs w:val="24"/>
            </w:rPr>
            <w:instrText xml:space="preserve"> CITATION Ali17 \l 1033 </w:instrText>
          </w:r>
          <w:r w:rsidR="009118BF">
            <w:rPr>
              <w:rFonts w:ascii="Arial" w:hAnsi="Arial" w:cs="Arial"/>
              <w:sz w:val="24"/>
              <w:szCs w:val="24"/>
            </w:rPr>
            <w:fldChar w:fldCharType="separate"/>
          </w:r>
          <w:r w:rsidR="000828C7" w:rsidRPr="000828C7">
            <w:rPr>
              <w:rFonts w:ascii="Arial" w:hAnsi="Arial" w:cs="Arial"/>
              <w:noProof/>
              <w:sz w:val="24"/>
              <w:szCs w:val="24"/>
            </w:rPr>
            <w:t>(Millar, 2017)</w:t>
          </w:r>
          <w:r w:rsidR="009118BF">
            <w:rPr>
              <w:rFonts w:ascii="Arial" w:hAnsi="Arial" w:cs="Arial"/>
              <w:sz w:val="24"/>
              <w:szCs w:val="24"/>
            </w:rPr>
            <w:fldChar w:fldCharType="end"/>
          </w:r>
        </w:sdtContent>
      </w:sdt>
      <w:r w:rsidR="009118BF" w:rsidRPr="009118BF">
        <w:rPr>
          <w:rFonts w:ascii="Arial" w:hAnsi="Arial" w:cs="Arial"/>
          <w:sz w:val="24"/>
          <w:szCs w:val="24"/>
        </w:rPr>
        <w:t>.</w:t>
      </w:r>
      <w:r w:rsidR="009118BF">
        <w:rPr>
          <w:rFonts w:ascii="Arial" w:hAnsi="Arial" w:cs="Arial"/>
          <w:sz w:val="24"/>
          <w:szCs w:val="24"/>
        </w:rPr>
        <w:t xml:space="preserve"> </w:t>
      </w:r>
      <w:r w:rsidRPr="00ED7674">
        <w:rPr>
          <w:rFonts w:ascii="Arial" w:hAnsi="Arial" w:cs="Arial"/>
          <w:sz w:val="24"/>
          <w:szCs w:val="24"/>
        </w:rPr>
        <w:t>In that case, Carltons Park Limited is the occupier, and Lio and his parents are visitors as they have been implied with permission to enter the premises as they needed to buy tickets to enter the park. In that situation, CPL holds the duty of care to safeguard the visitors. But they failed to provide safety to their visitors, and the duty o</w:t>
      </w:r>
      <w:r>
        <w:rPr>
          <w:rFonts w:ascii="Arial" w:hAnsi="Arial" w:cs="Arial"/>
          <w:sz w:val="24"/>
          <w:szCs w:val="24"/>
        </w:rPr>
        <w:t xml:space="preserve">f care will be imposed on them. </w:t>
      </w:r>
      <w:r w:rsidRPr="00ED7674">
        <w:rPr>
          <w:rFonts w:ascii="Arial" w:hAnsi="Arial" w:cs="Arial"/>
          <w:sz w:val="24"/>
          <w:szCs w:val="24"/>
        </w:rPr>
        <w:t xml:space="preserve">According to Law Reform (Contributory Negligence) Act 1945, an occupier may ask that a visitor is injured due to self negligence or due to their careless actions. Though there need to have certain warnings before that. Occupiers must provide a fair warning of potential dangers as a form of common duty of care. </w:t>
      </w:r>
      <w:r w:rsidR="00564573" w:rsidRPr="00564573">
        <w:rPr>
          <w:rFonts w:ascii="Arial" w:hAnsi="Arial" w:cs="Arial"/>
          <w:sz w:val="24"/>
          <w:szCs w:val="24"/>
        </w:rPr>
        <w:t>There is no definition of an "occupier" throughout the 1957 Act, although it is generally agreed that such an occupier is somebody who has some measure of influence over the facilities without actually needing to "occupy" the facilities. Notably, "the premises" generally refers to boats, cars, planes, and transitory constructions like platforms and staircases in addition to buildings and equipment. Anyone with stated consent inferred approval, or a constitutional right of admission may be considered a "visitor."</w:t>
      </w:r>
      <w:r w:rsidR="00564573">
        <w:rPr>
          <w:rFonts w:ascii="Arial" w:hAnsi="Arial" w:cs="Arial"/>
          <w:sz w:val="24"/>
          <w:szCs w:val="24"/>
        </w:rPr>
        <w:t xml:space="preserve"> </w:t>
      </w:r>
      <w:r w:rsidR="00D63688" w:rsidRPr="00D63688">
        <w:rPr>
          <w:rFonts w:ascii="Arial" w:hAnsi="Arial" w:cs="Arial"/>
          <w:sz w:val="24"/>
          <w:szCs w:val="24"/>
        </w:rPr>
        <w:t xml:space="preserve">Across the other side of the spectrum are "experienced guests," who are assumed so under the 1957 Act to be much more aware of the hazards and the precautions that must be taken to protect them from those risks and consequences. The traveler's experience will only </w:t>
      </w:r>
      <w:r w:rsidR="009118BF">
        <w:rPr>
          <w:rFonts w:ascii="Arial" w:hAnsi="Arial" w:cs="Arial"/>
          <w:sz w:val="24"/>
          <w:szCs w:val="24"/>
        </w:rPr>
        <w:t>apply</w:t>
      </w:r>
      <w:r w:rsidR="00D63688" w:rsidRPr="00D63688">
        <w:rPr>
          <w:rFonts w:ascii="Arial" w:hAnsi="Arial" w:cs="Arial"/>
          <w:sz w:val="24"/>
          <w:szCs w:val="24"/>
        </w:rPr>
        <w:t xml:space="preserve"> to their </w:t>
      </w:r>
      <w:r w:rsidR="00D63688" w:rsidRPr="00D63688">
        <w:rPr>
          <w:rFonts w:ascii="Arial" w:hAnsi="Arial" w:cs="Arial"/>
          <w:sz w:val="24"/>
          <w:szCs w:val="24"/>
        </w:rPr>
        <w:lastRenderedPageBreak/>
        <w:t>specific area of the profession, therefore it won't necessarily absolve the occupier of all responsibility. The occupier still has to act appropriately. But only under certain conditions, the occupier should fulfill their responsibility. Every one of the factors must be taken into consideration when deciding if maybe the obligation has been completed. For instance, if a sign alerting a visitor to a hazard makes them adequately comfortable, it may be sufficient to fulfill the obligation</w:t>
      </w:r>
      <w:r w:rsidR="00564573">
        <w:rPr>
          <w:rFonts w:ascii="Arial" w:hAnsi="Arial" w:cs="Arial"/>
          <w:sz w:val="24"/>
          <w:szCs w:val="24"/>
        </w:rPr>
        <w:t xml:space="preserve"> </w:t>
      </w:r>
      <w:sdt>
        <w:sdtPr>
          <w:rPr>
            <w:rFonts w:ascii="Arial" w:hAnsi="Arial" w:cs="Arial"/>
            <w:sz w:val="24"/>
            <w:szCs w:val="24"/>
          </w:rPr>
          <w:id w:val="979880286"/>
          <w:citation/>
        </w:sdtPr>
        <w:sdtEndPr/>
        <w:sdtContent>
          <w:r w:rsidR="00564573">
            <w:rPr>
              <w:rFonts w:ascii="Arial" w:hAnsi="Arial" w:cs="Arial"/>
              <w:sz w:val="24"/>
              <w:szCs w:val="24"/>
            </w:rPr>
            <w:fldChar w:fldCharType="begin"/>
          </w:r>
          <w:r w:rsidR="00564573">
            <w:rPr>
              <w:rFonts w:ascii="Arial" w:hAnsi="Arial" w:cs="Arial"/>
              <w:sz w:val="24"/>
              <w:szCs w:val="24"/>
            </w:rPr>
            <w:instrText xml:space="preserve"> CITATION Nic20 \l 1033 </w:instrText>
          </w:r>
          <w:r w:rsidR="00564573">
            <w:rPr>
              <w:rFonts w:ascii="Arial" w:hAnsi="Arial" w:cs="Arial"/>
              <w:sz w:val="24"/>
              <w:szCs w:val="24"/>
            </w:rPr>
            <w:fldChar w:fldCharType="separate"/>
          </w:r>
          <w:r w:rsidR="000828C7" w:rsidRPr="000828C7">
            <w:rPr>
              <w:rFonts w:ascii="Arial" w:hAnsi="Arial" w:cs="Arial"/>
              <w:noProof/>
              <w:sz w:val="24"/>
              <w:szCs w:val="24"/>
            </w:rPr>
            <w:t>(Jennings, 2020)</w:t>
          </w:r>
          <w:r w:rsidR="00564573">
            <w:rPr>
              <w:rFonts w:ascii="Arial" w:hAnsi="Arial" w:cs="Arial"/>
              <w:sz w:val="24"/>
              <w:szCs w:val="24"/>
            </w:rPr>
            <w:fldChar w:fldCharType="end"/>
          </w:r>
        </w:sdtContent>
      </w:sdt>
      <w:r w:rsidR="00D63688" w:rsidRPr="00D63688">
        <w:rPr>
          <w:rFonts w:ascii="Arial" w:hAnsi="Arial" w:cs="Arial"/>
          <w:sz w:val="24"/>
          <w:szCs w:val="24"/>
        </w:rPr>
        <w:t>.</w:t>
      </w:r>
      <w:r w:rsidR="00D63688">
        <w:rPr>
          <w:rFonts w:ascii="Arial" w:hAnsi="Arial" w:cs="Arial"/>
          <w:sz w:val="24"/>
          <w:szCs w:val="24"/>
        </w:rPr>
        <w:t xml:space="preserve"> </w:t>
      </w:r>
      <w:r w:rsidRPr="00ED7674">
        <w:rPr>
          <w:rFonts w:ascii="Arial" w:hAnsi="Arial" w:cs="Arial"/>
          <w:sz w:val="24"/>
          <w:szCs w:val="24"/>
        </w:rPr>
        <w:t>Then the court will consider whether the warning was fair or not according to the level of the threat and also check whether the occupier is in the position to issue a warning that will safeguard the visitors.</w:t>
      </w:r>
      <w:r>
        <w:rPr>
          <w:rFonts w:ascii="Arial" w:hAnsi="Arial" w:cs="Arial"/>
          <w:sz w:val="24"/>
          <w:szCs w:val="24"/>
        </w:rPr>
        <w:t xml:space="preserve"> </w:t>
      </w:r>
      <w:r w:rsidR="00363470" w:rsidRPr="00363470">
        <w:rPr>
          <w:rFonts w:ascii="Arial" w:hAnsi="Arial" w:cs="Arial"/>
          <w:sz w:val="24"/>
          <w:szCs w:val="24"/>
        </w:rPr>
        <w:t>In light of the risks posed by the condition of such property or premises, the individual in control of work premises and who also occupies them has a fiduciary duty to anybody visiting them. In other words, every feasible precaution must be made to prevent harm or loss to other persons. This can entail putting up a number to inform people of potential risks or dangers. The term for that would be occupiers' liability. The appeals court's ruling confirms that occupiers merely need to take proper precautions to guarantee the safety of guests. They are not required to stop all tragedies. To maintain guests' protection, risk management activities should always be conducted regularly.</w:t>
      </w:r>
      <w:r w:rsidR="00363470">
        <w:rPr>
          <w:rFonts w:ascii="Arial" w:hAnsi="Arial" w:cs="Arial"/>
          <w:sz w:val="24"/>
          <w:szCs w:val="24"/>
        </w:rPr>
        <w:t xml:space="preserve"> </w:t>
      </w:r>
      <w:r w:rsidRPr="00ED7674">
        <w:rPr>
          <w:rFonts w:ascii="Arial" w:hAnsi="Arial" w:cs="Arial"/>
          <w:sz w:val="24"/>
          <w:szCs w:val="24"/>
        </w:rPr>
        <w:t>In the case of Lio, Carltons Park Limited didn’t provide any warning about the damaged rotten fence to the visitors. As they were selling tickets for the theme park, it imposed a duty of care on CPL to safeguard the visitors. But Carlton Park Limited failed to provide neither a warning nor safety. Now, Lio’s parents can sue CPL based on vicarious liability. Vicarious liability refers to someone who is held responsible for another person’s deed. To sue based on vicarious liability a claimant must prove certain conditions such as there must be a legal contract between the worker and the employer, the tort was committed while carrying on the duty. Vicarious liability can be imposed on different occasions but it is needed to consider whether the employers were in the best possible condition to avail good practice and manage accidents in the workplace. Accidents are common incidents in the workplace but it must be assured that they are unintentional. In the case of Lio, it must be reassured that the incident occurred due to unintentional carelessness. If it is proved that the incident was well intended, the employer Carltons Park Limited must pay the compensation legally entitled as per the claimant of the defendants.</w:t>
      </w:r>
    </w:p>
    <w:p w:rsidR="00D63688" w:rsidRDefault="00D63688" w:rsidP="00ED7674">
      <w:pPr>
        <w:spacing w:line="360" w:lineRule="auto"/>
        <w:jc w:val="both"/>
        <w:rPr>
          <w:rFonts w:ascii="Arial" w:hAnsi="Arial" w:cs="Arial"/>
          <w:sz w:val="24"/>
          <w:szCs w:val="24"/>
        </w:rPr>
      </w:pPr>
    </w:p>
    <w:p w:rsidR="00D63688" w:rsidRDefault="00D63688" w:rsidP="00D63688">
      <w:pPr>
        <w:pStyle w:val="Heading2"/>
        <w:spacing w:line="360" w:lineRule="auto"/>
        <w:jc w:val="both"/>
        <w:rPr>
          <w:rFonts w:ascii="Arial" w:hAnsi="Arial" w:cs="Arial"/>
          <w:b/>
          <w:sz w:val="24"/>
          <w:szCs w:val="24"/>
        </w:rPr>
      </w:pPr>
      <w:bookmarkStart w:id="3" w:name="_Toc109095470"/>
      <w:r w:rsidRPr="00D63688">
        <w:rPr>
          <w:rFonts w:ascii="Arial" w:hAnsi="Arial" w:cs="Arial"/>
          <w:b/>
          <w:sz w:val="24"/>
          <w:szCs w:val="24"/>
        </w:rPr>
        <w:lastRenderedPageBreak/>
        <w:t>Nia and Owen’s Case</w:t>
      </w:r>
      <w:bookmarkEnd w:id="3"/>
      <w:r w:rsidRPr="00D63688">
        <w:rPr>
          <w:rFonts w:ascii="Arial" w:hAnsi="Arial" w:cs="Arial"/>
          <w:b/>
          <w:sz w:val="24"/>
          <w:szCs w:val="24"/>
        </w:rPr>
        <w:t xml:space="preserve"> </w:t>
      </w:r>
    </w:p>
    <w:p w:rsidR="00115CA7" w:rsidRDefault="009118BF" w:rsidP="00D63688">
      <w:pPr>
        <w:spacing w:line="360" w:lineRule="auto"/>
        <w:jc w:val="both"/>
        <w:rPr>
          <w:rFonts w:ascii="Arial" w:hAnsi="Arial" w:cs="Arial"/>
          <w:sz w:val="24"/>
          <w:szCs w:val="24"/>
        </w:rPr>
      </w:pPr>
      <w:r w:rsidRPr="009118BF">
        <w:rPr>
          <w:rFonts w:ascii="Arial" w:hAnsi="Arial" w:cs="Arial"/>
          <w:sz w:val="24"/>
          <w:szCs w:val="24"/>
        </w:rPr>
        <w:t>According to section 2 of the State Law of 1957, the occupier has a legal and ethical responsibility to undertake whatever steps are necessary to ensure that visitors will be fairly safe while utilizing the property for the reasons for which they have been welcomed or given permission through the occupier. In compliance with Paragraph 2, the occupier has a legal and ethical responsibility to conduct appropriate efforts to ensure ensuring visitors will be extremely safe rather than using the property for the reasons for which they'll be encouraged or given permission even by the owner</w:t>
      </w:r>
      <w:r>
        <w:rPr>
          <w:rFonts w:ascii="Arial" w:hAnsi="Arial" w:cs="Arial"/>
          <w:sz w:val="24"/>
          <w:szCs w:val="24"/>
        </w:rPr>
        <w:t xml:space="preserve"> </w:t>
      </w:r>
      <w:sdt>
        <w:sdtPr>
          <w:rPr>
            <w:rFonts w:ascii="Arial" w:hAnsi="Arial" w:cs="Arial"/>
            <w:sz w:val="24"/>
            <w:szCs w:val="24"/>
          </w:rPr>
          <w:id w:val="1453134773"/>
          <w:citation/>
        </w:sdtPr>
        <w:sdtEndPr/>
        <w:sdtContent>
          <w:r>
            <w:rPr>
              <w:rFonts w:ascii="Arial" w:hAnsi="Arial" w:cs="Arial"/>
              <w:sz w:val="24"/>
              <w:szCs w:val="24"/>
            </w:rPr>
            <w:fldChar w:fldCharType="begin"/>
          </w:r>
          <w:r>
            <w:rPr>
              <w:rFonts w:ascii="Arial" w:hAnsi="Arial" w:cs="Arial"/>
              <w:sz w:val="24"/>
              <w:szCs w:val="24"/>
            </w:rPr>
            <w:instrText xml:space="preserve"> CITATION Luc211 \l 1033 </w:instrText>
          </w:r>
          <w:r>
            <w:rPr>
              <w:rFonts w:ascii="Arial" w:hAnsi="Arial" w:cs="Arial"/>
              <w:sz w:val="24"/>
              <w:szCs w:val="24"/>
            </w:rPr>
            <w:fldChar w:fldCharType="separate"/>
          </w:r>
          <w:r w:rsidR="000828C7" w:rsidRPr="000828C7">
            <w:rPr>
              <w:rFonts w:ascii="Arial" w:hAnsi="Arial" w:cs="Arial"/>
              <w:noProof/>
              <w:sz w:val="24"/>
              <w:szCs w:val="24"/>
            </w:rPr>
            <w:t>(Trevelyan, 2021)</w:t>
          </w:r>
          <w:r>
            <w:rPr>
              <w:rFonts w:ascii="Arial" w:hAnsi="Arial" w:cs="Arial"/>
              <w:sz w:val="24"/>
              <w:szCs w:val="24"/>
            </w:rPr>
            <w:fldChar w:fldCharType="end"/>
          </w:r>
        </w:sdtContent>
      </w:sdt>
      <w:r w:rsidRPr="009118BF">
        <w:rPr>
          <w:rFonts w:ascii="Arial" w:hAnsi="Arial" w:cs="Arial"/>
          <w:sz w:val="24"/>
          <w:szCs w:val="24"/>
        </w:rPr>
        <w:t>.</w:t>
      </w:r>
      <w:r>
        <w:rPr>
          <w:rFonts w:ascii="Arial" w:hAnsi="Arial" w:cs="Arial"/>
          <w:sz w:val="24"/>
          <w:szCs w:val="24"/>
        </w:rPr>
        <w:t xml:space="preserve"> </w:t>
      </w:r>
      <w:r w:rsidR="003F2D20" w:rsidRPr="003F2D20">
        <w:rPr>
          <w:rFonts w:ascii="Arial" w:hAnsi="Arial" w:cs="Arial"/>
          <w:sz w:val="24"/>
          <w:szCs w:val="24"/>
        </w:rPr>
        <w:t xml:space="preserve">The obligation is to undertake all sensible precautions under the situation to ensure that another person does not be hurt while on the property as a result of the hazard in question. The 1984 Act doesn't always specifically grant the power to avoid the responsibility that the 1957 Act does (according to the restrictions outlined in UCTA 1977). It may also be feasible to eliminate culpability for the fundamental amount of security provided to intruders because it has not been specifically prohibited, or </w:t>
      </w:r>
      <w:r w:rsidR="003F2D20">
        <w:rPr>
          <w:rFonts w:ascii="Arial" w:hAnsi="Arial" w:cs="Arial"/>
          <w:sz w:val="24"/>
          <w:szCs w:val="24"/>
        </w:rPr>
        <w:t>it’s</w:t>
      </w:r>
      <w:r w:rsidR="003F2D20" w:rsidRPr="003F2D20">
        <w:rPr>
          <w:rFonts w:ascii="Arial" w:hAnsi="Arial" w:cs="Arial"/>
          <w:sz w:val="24"/>
          <w:szCs w:val="24"/>
        </w:rPr>
        <w:t xml:space="preserve"> because the legislative was from the view that it will not be conceivable to provide it</w:t>
      </w:r>
      <w:r w:rsidR="003F2D20">
        <w:rPr>
          <w:rFonts w:ascii="Arial" w:hAnsi="Arial" w:cs="Arial"/>
          <w:sz w:val="24"/>
          <w:szCs w:val="24"/>
        </w:rPr>
        <w:t xml:space="preserve"> </w:t>
      </w:r>
      <w:sdt>
        <w:sdtPr>
          <w:rPr>
            <w:rFonts w:ascii="Arial" w:hAnsi="Arial" w:cs="Arial"/>
            <w:sz w:val="24"/>
            <w:szCs w:val="24"/>
          </w:rPr>
          <w:id w:val="-1189516744"/>
          <w:citation/>
        </w:sdtPr>
        <w:sdtEndPr/>
        <w:sdtContent>
          <w:r w:rsidR="003F2D20">
            <w:rPr>
              <w:rFonts w:ascii="Arial" w:hAnsi="Arial" w:cs="Arial"/>
              <w:sz w:val="24"/>
              <w:szCs w:val="24"/>
            </w:rPr>
            <w:fldChar w:fldCharType="begin"/>
          </w:r>
          <w:r w:rsidR="003F2D20">
            <w:rPr>
              <w:rFonts w:ascii="Arial" w:hAnsi="Arial" w:cs="Arial"/>
              <w:sz w:val="24"/>
              <w:szCs w:val="24"/>
            </w:rPr>
            <w:instrText xml:space="preserve"> CITATION Tom22 \l 1033 </w:instrText>
          </w:r>
          <w:r w:rsidR="003F2D20">
            <w:rPr>
              <w:rFonts w:ascii="Arial" w:hAnsi="Arial" w:cs="Arial"/>
              <w:sz w:val="24"/>
              <w:szCs w:val="24"/>
            </w:rPr>
            <w:fldChar w:fldCharType="separate"/>
          </w:r>
          <w:r w:rsidR="000828C7" w:rsidRPr="000828C7">
            <w:rPr>
              <w:rFonts w:ascii="Arial" w:hAnsi="Arial" w:cs="Arial"/>
              <w:noProof/>
              <w:sz w:val="24"/>
              <w:szCs w:val="24"/>
            </w:rPr>
            <w:t>(Tomlinson, 2022)</w:t>
          </w:r>
          <w:r w:rsidR="003F2D20">
            <w:rPr>
              <w:rFonts w:ascii="Arial" w:hAnsi="Arial" w:cs="Arial"/>
              <w:sz w:val="24"/>
              <w:szCs w:val="24"/>
            </w:rPr>
            <w:fldChar w:fldCharType="end"/>
          </w:r>
        </w:sdtContent>
      </w:sdt>
      <w:r w:rsidR="003F2D20" w:rsidRPr="003F2D20">
        <w:rPr>
          <w:rFonts w:ascii="Arial" w:hAnsi="Arial" w:cs="Arial"/>
          <w:sz w:val="24"/>
          <w:szCs w:val="24"/>
        </w:rPr>
        <w:t>.</w:t>
      </w:r>
      <w:r w:rsidR="003F2D20">
        <w:rPr>
          <w:rFonts w:ascii="Arial" w:hAnsi="Arial" w:cs="Arial"/>
          <w:sz w:val="24"/>
          <w:szCs w:val="24"/>
        </w:rPr>
        <w:t xml:space="preserve"> </w:t>
      </w:r>
      <w:r w:rsidR="00D63688" w:rsidRPr="00D63688">
        <w:rPr>
          <w:rFonts w:ascii="Arial" w:hAnsi="Arial" w:cs="Arial"/>
          <w:sz w:val="24"/>
          <w:szCs w:val="24"/>
        </w:rPr>
        <w:t xml:space="preserve">In the next case where Millie was unwilling to pay for the expensive tickets to the theme park so she decided to jump off the wall to enter the premises. When she jumped over the wall, she fell beside waltzers where she caused a head injury and broken sunglasses. Millie was an unauthorized visitor as she didn’t pay for the tickets but rather choose to jump off the wall. In the case of unauthorized visitors, the Occupiers Liability Act 1984 imposed a duty of care and some responsibilities on the occupiers to ensure the safety of unauthorized visitors. </w:t>
      </w:r>
      <w:r w:rsidR="001334FE">
        <w:rPr>
          <w:rFonts w:ascii="Arial" w:hAnsi="Arial" w:cs="Arial"/>
          <w:sz w:val="24"/>
          <w:szCs w:val="24"/>
        </w:rPr>
        <w:t> </w:t>
      </w:r>
      <w:r w:rsidR="003F2D20" w:rsidRPr="003F2D20">
        <w:rPr>
          <w:rFonts w:ascii="Arial" w:hAnsi="Arial" w:cs="Arial"/>
          <w:sz w:val="24"/>
          <w:szCs w:val="24"/>
        </w:rPr>
        <w:t>According to Subsection 1, The precedents set by this segment shall take precedence over common law principles in determining if such an occupier of establishments has a duty to individuals apart from his guests about regard to just about any risk of such persons being injured just on facilities as a result of any hazard resulting from the condition of such premises or from projects executed or overlooked to be done on people, and if not then, what such responsibility is. If the owner of the facilities is conscious of the risks or has a good faith belief that it occurs, he bears a responsibility towards the oth</w:t>
      </w:r>
      <w:r w:rsidR="003F2D20">
        <w:rPr>
          <w:rFonts w:ascii="Arial" w:hAnsi="Arial" w:cs="Arial"/>
          <w:sz w:val="24"/>
          <w:szCs w:val="24"/>
        </w:rPr>
        <w:t xml:space="preserve">er party regarding the prevention </w:t>
      </w:r>
      <w:sdt>
        <w:sdtPr>
          <w:rPr>
            <w:rFonts w:ascii="Arial" w:hAnsi="Arial" w:cs="Arial"/>
            <w:sz w:val="24"/>
            <w:szCs w:val="24"/>
          </w:rPr>
          <w:id w:val="-1009361673"/>
          <w:citation/>
        </w:sdtPr>
        <w:sdtEndPr/>
        <w:sdtContent>
          <w:r w:rsidR="003F2D20">
            <w:rPr>
              <w:rFonts w:ascii="Arial" w:hAnsi="Arial" w:cs="Arial"/>
              <w:sz w:val="24"/>
              <w:szCs w:val="24"/>
            </w:rPr>
            <w:fldChar w:fldCharType="begin"/>
          </w:r>
          <w:r w:rsidR="003F2D20">
            <w:rPr>
              <w:rFonts w:ascii="Arial" w:hAnsi="Arial" w:cs="Arial"/>
              <w:sz w:val="24"/>
              <w:szCs w:val="24"/>
            </w:rPr>
            <w:instrText xml:space="preserve"> CITATION UKL20 \l 1033 </w:instrText>
          </w:r>
          <w:r w:rsidR="003F2D20">
            <w:rPr>
              <w:rFonts w:ascii="Arial" w:hAnsi="Arial" w:cs="Arial"/>
              <w:sz w:val="24"/>
              <w:szCs w:val="24"/>
            </w:rPr>
            <w:fldChar w:fldCharType="separate"/>
          </w:r>
          <w:r w:rsidR="000828C7" w:rsidRPr="000828C7">
            <w:rPr>
              <w:rFonts w:ascii="Arial" w:hAnsi="Arial" w:cs="Arial"/>
              <w:noProof/>
              <w:sz w:val="24"/>
              <w:szCs w:val="24"/>
            </w:rPr>
            <w:t>(UK Legislation, 2020)</w:t>
          </w:r>
          <w:r w:rsidR="003F2D20">
            <w:rPr>
              <w:rFonts w:ascii="Arial" w:hAnsi="Arial" w:cs="Arial"/>
              <w:sz w:val="24"/>
              <w:szCs w:val="24"/>
            </w:rPr>
            <w:fldChar w:fldCharType="end"/>
          </w:r>
        </w:sdtContent>
      </w:sdt>
      <w:r w:rsidR="003F2D20">
        <w:rPr>
          <w:rFonts w:ascii="Arial" w:hAnsi="Arial" w:cs="Arial"/>
          <w:sz w:val="24"/>
          <w:szCs w:val="24"/>
        </w:rPr>
        <w:t xml:space="preserve">. </w:t>
      </w:r>
      <w:r w:rsidR="001334FE">
        <w:rPr>
          <w:rFonts w:ascii="Arial" w:hAnsi="Arial" w:cs="Arial"/>
          <w:sz w:val="24"/>
          <w:szCs w:val="24"/>
        </w:rPr>
        <w:t>With</w:t>
      </w:r>
      <w:r w:rsidR="001334FE" w:rsidRPr="001334FE">
        <w:rPr>
          <w:rFonts w:ascii="Arial" w:hAnsi="Arial" w:cs="Arial"/>
          <w:sz w:val="24"/>
          <w:szCs w:val="24"/>
        </w:rPr>
        <w:t xml:space="preserve"> the Occupiers' Liability Act of 1957, they have a responsibility to perform precautions to ensure guests' protection while on the premises for such purposes that they've been </w:t>
      </w:r>
      <w:r w:rsidR="001334FE" w:rsidRPr="001334FE">
        <w:rPr>
          <w:rFonts w:ascii="Arial" w:hAnsi="Arial" w:cs="Arial"/>
          <w:sz w:val="24"/>
          <w:szCs w:val="24"/>
        </w:rPr>
        <w:lastRenderedPageBreak/>
        <w:t>welcomed or granted approval to be in it. Guests are defined as individuals who gain entry to their assets by invitation or with their authorization and therefore are considered to be guests. When determining the precautions that would also be necessary, they must take into account the level of care that guests on your property are supposed to take to minimize the risk of injury, which could become quite limited because once interacting with kids or even anyone for whom the decision may be impacted by an illness or disability</w:t>
      </w:r>
      <w:r w:rsidR="001334FE">
        <w:rPr>
          <w:rFonts w:ascii="Arial" w:hAnsi="Arial" w:cs="Arial"/>
          <w:sz w:val="24"/>
          <w:szCs w:val="24"/>
        </w:rPr>
        <w:t xml:space="preserve"> </w:t>
      </w:r>
      <w:sdt>
        <w:sdtPr>
          <w:rPr>
            <w:rFonts w:ascii="Arial" w:hAnsi="Arial" w:cs="Arial"/>
            <w:sz w:val="24"/>
            <w:szCs w:val="24"/>
          </w:rPr>
          <w:id w:val="-378399020"/>
          <w:citation/>
        </w:sdtPr>
        <w:sdtEndPr/>
        <w:sdtContent>
          <w:r w:rsidR="001334FE">
            <w:rPr>
              <w:rFonts w:ascii="Arial" w:hAnsi="Arial" w:cs="Arial"/>
              <w:sz w:val="24"/>
              <w:szCs w:val="24"/>
            </w:rPr>
            <w:fldChar w:fldCharType="begin"/>
          </w:r>
          <w:r w:rsidR="001334FE">
            <w:rPr>
              <w:rFonts w:ascii="Arial" w:hAnsi="Arial" w:cs="Arial"/>
              <w:sz w:val="24"/>
              <w:szCs w:val="24"/>
            </w:rPr>
            <w:instrText xml:space="preserve"> CITATION Fsm20 \l 1033 </w:instrText>
          </w:r>
          <w:r w:rsidR="001334FE">
            <w:rPr>
              <w:rFonts w:ascii="Arial" w:hAnsi="Arial" w:cs="Arial"/>
              <w:sz w:val="24"/>
              <w:szCs w:val="24"/>
            </w:rPr>
            <w:fldChar w:fldCharType="separate"/>
          </w:r>
          <w:r w:rsidR="000828C7" w:rsidRPr="000828C7">
            <w:rPr>
              <w:rFonts w:ascii="Arial" w:hAnsi="Arial" w:cs="Arial"/>
              <w:noProof/>
              <w:sz w:val="24"/>
              <w:szCs w:val="24"/>
            </w:rPr>
            <w:t>(Fsm solicitors, 2020)</w:t>
          </w:r>
          <w:r w:rsidR="001334FE">
            <w:rPr>
              <w:rFonts w:ascii="Arial" w:hAnsi="Arial" w:cs="Arial"/>
              <w:sz w:val="24"/>
              <w:szCs w:val="24"/>
            </w:rPr>
            <w:fldChar w:fldCharType="end"/>
          </w:r>
        </w:sdtContent>
      </w:sdt>
      <w:r w:rsidR="001334FE" w:rsidRPr="001334FE">
        <w:rPr>
          <w:rFonts w:ascii="Arial" w:hAnsi="Arial" w:cs="Arial"/>
          <w:sz w:val="24"/>
          <w:szCs w:val="24"/>
        </w:rPr>
        <w:t>.</w:t>
      </w:r>
      <w:r w:rsidR="001334FE">
        <w:rPr>
          <w:rFonts w:ascii="Arial" w:hAnsi="Arial" w:cs="Arial"/>
          <w:sz w:val="24"/>
          <w:szCs w:val="24"/>
        </w:rPr>
        <w:t xml:space="preserve"> </w:t>
      </w:r>
      <w:r w:rsidR="00D63688" w:rsidRPr="00D63688">
        <w:rPr>
          <w:rFonts w:ascii="Arial" w:hAnsi="Arial" w:cs="Arial"/>
          <w:sz w:val="24"/>
          <w:szCs w:val="24"/>
        </w:rPr>
        <w:t xml:space="preserve">Though the Occupiers Liability Act 1957 imposed fewer responsibilities on the occupiers regarding unauthorized visitors. </w:t>
      </w:r>
      <w:r w:rsidR="00757861" w:rsidRPr="00757861">
        <w:rPr>
          <w:rFonts w:ascii="Arial" w:hAnsi="Arial" w:cs="Arial"/>
          <w:sz w:val="24"/>
          <w:szCs w:val="24"/>
        </w:rPr>
        <w:t xml:space="preserve">Regarding hazards that the guest has voluntarily acknowledged, no standard of care is due. The legal system decides whether the danger was voluntarily supported or not. This judgment has been loosened </w:t>
      </w:r>
      <w:r w:rsidR="00757861">
        <w:rPr>
          <w:rFonts w:ascii="Arial" w:hAnsi="Arial" w:cs="Arial"/>
          <w:sz w:val="24"/>
          <w:szCs w:val="24"/>
        </w:rPr>
        <w:t>concerning</w:t>
      </w:r>
      <w:r w:rsidR="00757861" w:rsidRPr="00757861">
        <w:rPr>
          <w:rFonts w:ascii="Arial" w:hAnsi="Arial" w:cs="Arial"/>
          <w:sz w:val="24"/>
          <w:szCs w:val="24"/>
        </w:rPr>
        <w:t xml:space="preserve"> hazards that are clear or remote, nevertheless, after a subsequent Appellate court judgment in favor of occupiers. For businesses in the publicly or privately areas, such instances may provide </w:t>
      </w:r>
      <w:r w:rsidR="00757861">
        <w:rPr>
          <w:rFonts w:ascii="Arial" w:hAnsi="Arial" w:cs="Arial"/>
          <w:sz w:val="24"/>
          <w:szCs w:val="24"/>
        </w:rPr>
        <w:t>several</w:t>
      </w:r>
      <w:r w:rsidR="00757861" w:rsidRPr="00757861">
        <w:rPr>
          <w:rFonts w:ascii="Arial" w:hAnsi="Arial" w:cs="Arial"/>
          <w:sz w:val="24"/>
          <w:szCs w:val="24"/>
        </w:rPr>
        <w:t xml:space="preserve"> significant advantages.</w:t>
      </w:r>
      <w:r w:rsidR="00757861">
        <w:rPr>
          <w:rFonts w:ascii="Arial" w:hAnsi="Arial" w:cs="Arial"/>
          <w:sz w:val="24"/>
          <w:szCs w:val="24"/>
        </w:rPr>
        <w:t xml:space="preserve"> </w:t>
      </w:r>
      <w:r w:rsidR="00D63688" w:rsidRPr="00D63688">
        <w:rPr>
          <w:rFonts w:ascii="Arial" w:hAnsi="Arial" w:cs="Arial"/>
          <w:sz w:val="24"/>
          <w:szCs w:val="24"/>
        </w:rPr>
        <w:t>Now the duty of care is imposed on the authority to ensure if any sustainable danger is there on the premises and the accusation will raise if the authority was aware of the danger available in the park or not, the authority knows about the possibility of danger around the person. This act also imposes on authority that the authority must take reasonable steps to monitor premises and in this matter, the authority failed to do so. There would be a fact if the authority knows about the danger or not. If the authority knew about the danger they must have taken some reasonable steps to restrict or eliminate the danger whether Millie is an unauthorized visitor or an authorized visitor.</w:t>
      </w:r>
      <w:r w:rsidR="001334FE">
        <w:rPr>
          <w:rFonts w:ascii="Arial" w:hAnsi="Arial" w:cs="Arial"/>
          <w:sz w:val="24"/>
          <w:szCs w:val="24"/>
        </w:rPr>
        <w:t xml:space="preserve"> </w:t>
      </w:r>
    </w:p>
    <w:p w:rsidR="00757861" w:rsidRPr="00D63688" w:rsidRDefault="00757861" w:rsidP="00D63688">
      <w:pPr>
        <w:spacing w:line="360" w:lineRule="auto"/>
        <w:jc w:val="both"/>
        <w:rPr>
          <w:rFonts w:ascii="Arial" w:hAnsi="Arial" w:cs="Arial"/>
          <w:sz w:val="24"/>
          <w:szCs w:val="24"/>
        </w:rPr>
      </w:pPr>
    </w:p>
    <w:p w:rsidR="00115CA7" w:rsidRDefault="00115CA7" w:rsidP="00115CA7">
      <w:pPr>
        <w:pStyle w:val="Heading1"/>
        <w:spacing w:line="360" w:lineRule="auto"/>
        <w:jc w:val="both"/>
        <w:rPr>
          <w:rFonts w:ascii="Arial" w:hAnsi="Arial" w:cs="Arial"/>
          <w:b/>
          <w:sz w:val="28"/>
          <w:szCs w:val="28"/>
        </w:rPr>
      </w:pPr>
      <w:bookmarkStart w:id="4" w:name="_Toc109095471"/>
      <w:r w:rsidRPr="00115CA7">
        <w:rPr>
          <w:rFonts w:ascii="Arial" w:hAnsi="Arial" w:cs="Arial"/>
          <w:b/>
          <w:sz w:val="28"/>
          <w:szCs w:val="28"/>
        </w:rPr>
        <w:t>Recommendation</w:t>
      </w:r>
      <w:bookmarkEnd w:id="4"/>
    </w:p>
    <w:p w:rsidR="00A23848" w:rsidRDefault="00757861" w:rsidP="00A23848">
      <w:pPr>
        <w:spacing w:line="360" w:lineRule="auto"/>
        <w:jc w:val="both"/>
        <w:rPr>
          <w:rFonts w:ascii="Arial" w:hAnsi="Arial" w:cs="Arial"/>
          <w:sz w:val="24"/>
          <w:szCs w:val="24"/>
        </w:rPr>
      </w:pPr>
      <w:r w:rsidRPr="00757861">
        <w:rPr>
          <w:rFonts w:ascii="Arial" w:hAnsi="Arial" w:cs="Arial"/>
          <w:sz w:val="24"/>
          <w:szCs w:val="24"/>
        </w:rPr>
        <w:t xml:space="preserve">However a complete hazard identification would undoubtedly be prudent for all individuals who go out and manage land, therefore more documentation there has been in existence of efforts available to minimize danger, the less probable it is that an occupier might be considered to have not behaved in a respectable way. The overall responsibility is therefore fairly straightforward, even though the quality of benefits and appropriate actions to be done will provide </w:t>
      </w:r>
      <w:r>
        <w:rPr>
          <w:rFonts w:ascii="Arial" w:hAnsi="Arial" w:cs="Arial"/>
          <w:sz w:val="24"/>
          <w:szCs w:val="24"/>
        </w:rPr>
        <w:t xml:space="preserve">a </w:t>
      </w:r>
      <w:r w:rsidRPr="00757861">
        <w:rPr>
          <w:rFonts w:ascii="Arial" w:hAnsi="Arial" w:cs="Arial"/>
          <w:sz w:val="24"/>
          <w:szCs w:val="24"/>
        </w:rPr>
        <w:t>further just basis of observation.</w:t>
      </w:r>
      <w:r>
        <w:rPr>
          <w:rFonts w:ascii="Arial" w:hAnsi="Arial" w:cs="Arial"/>
          <w:sz w:val="24"/>
          <w:szCs w:val="24"/>
        </w:rPr>
        <w:t xml:space="preserve"> </w:t>
      </w:r>
      <w:r w:rsidR="00D63688" w:rsidRPr="00D63688">
        <w:rPr>
          <w:rFonts w:ascii="Arial" w:hAnsi="Arial" w:cs="Arial"/>
          <w:sz w:val="24"/>
          <w:szCs w:val="24"/>
        </w:rPr>
        <w:t xml:space="preserve">There are some CPL that must have been taken to ensure the safety in both the cases above mentioned. In </w:t>
      </w:r>
      <w:r w:rsidR="00D63688" w:rsidRPr="00D63688">
        <w:rPr>
          <w:rFonts w:ascii="Arial" w:hAnsi="Arial" w:cs="Arial"/>
          <w:sz w:val="24"/>
          <w:szCs w:val="24"/>
        </w:rPr>
        <w:lastRenderedPageBreak/>
        <w:t>both cases, CPL should have monitored the premises to check the fences and whether the electric poles were in fine condition to be used in such a crowded place or not. In both cases, CPL failed to maintain this. This can be brought back to them based on the law of the tort due to a lack of care for these particular sectors. CPL can be sued on grounds of carelessness for the vicarious liability of their employees assigned to manage this particular task.</w:t>
      </w:r>
      <w:bookmarkStart w:id="5" w:name="_Toc109095472"/>
    </w:p>
    <w:p w:rsidR="00A23848" w:rsidRDefault="00A23848" w:rsidP="00A23848">
      <w:pPr>
        <w:spacing w:line="360" w:lineRule="auto"/>
        <w:jc w:val="both"/>
        <w:rPr>
          <w:rFonts w:ascii="Arial" w:hAnsi="Arial" w:cs="Arial"/>
          <w:sz w:val="24"/>
          <w:szCs w:val="24"/>
        </w:rPr>
      </w:pPr>
    </w:p>
    <w:p w:rsidR="00A23848" w:rsidRDefault="00A23848" w:rsidP="00A23848">
      <w:pPr>
        <w:spacing w:line="360" w:lineRule="auto"/>
        <w:jc w:val="both"/>
        <w:rPr>
          <w:rFonts w:ascii="Arial" w:hAnsi="Arial" w:cs="Arial"/>
          <w:sz w:val="24"/>
          <w:szCs w:val="24"/>
        </w:rPr>
      </w:pPr>
    </w:p>
    <w:p w:rsidR="00A23848" w:rsidRDefault="00115CA7" w:rsidP="00D63688">
      <w:pPr>
        <w:spacing w:line="360" w:lineRule="auto"/>
        <w:jc w:val="both"/>
        <w:rPr>
          <w:rFonts w:ascii="Arial" w:eastAsiaTheme="majorEastAsia" w:hAnsi="Arial" w:cs="Arial"/>
          <w:color w:val="2E74B5" w:themeColor="accent1" w:themeShade="BF"/>
          <w:sz w:val="24"/>
          <w:szCs w:val="24"/>
        </w:rPr>
      </w:pPr>
      <w:r w:rsidRPr="00115CA7">
        <w:rPr>
          <w:rFonts w:ascii="Arial" w:hAnsi="Arial" w:cs="Arial"/>
          <w:b/>
          <w:sz w:val="28"/>
          <w:szCs w:val="28"/>
        </w:rPr>
        <w:t>Conclusion</w:t>
      </w:r>
      <w:bookmarkEnd w:id="5"/>
    </w:p>
    <w:p w:rsidR="00115CA7" w:rsidRPr="00D63688" w:rsidRDefault="00757861" w:rsidP="00D63688">
      <w:pPr>
        <w:spacing w:line="360" w:lineRule="auto"/>
        <w:jc w:val="both"/>
        <w:rPr>
          <w:rFonts w:ascii="Arial" w:eastAsiaTheme="majorEastAsia" w:hAnsi="Arial" w:cs="Arial"/>
          <w:color w:val="2E74B5" w:themeColor="accent1" w:themeShade="BF"/>
          <w:sz w:val="24"/>
          <w:szCs w:val="24"/>
        </w:rPr>
      </w:pPr>
      <w:r w:rsidRPr="00757861">
        <w:rPr>
          <w:rFonts w:ascii="Arial" w:hAnsi="Arial" w:cs="Arial"/>
          <w:sz w:val="24"/>
          <w:szCs w:val="24"/>
        </w:rPr>
        <w:t>Occupiers could perhaps take into account the risk of serious injury to guests and intruders on their</w:t>
      </w:r>
      <w:r w:rsidR="000828C7">
        <w:rPr>
          <w:rFonts w:ascii="Arial" w:hAnsi="Arial" w:cs="Arial"/>
          <w:sz w:val="24"/>
          <w:szCs w:val="24"/>
        </w:rPr>
        <w:t xml:space="preserve"> </w:t>
      </w:r>
      <w:r w:rsidRPr="00757861">
        <w:rPr>
          <w:rFonts w:ascii="Arial" w:hAnsi="Arial" w:cs="Arial"/>
          <w:sz w:val="24"/>
          <w:szCs w:val="24"/>
        </w:rPr>
        <w:t>assets, which include individuals such as young kids, and make adjustments and provide more road markings caution of dangers even when an injury is reassuringly probable and could only be prevented by the modifications or road signs. Conversely, the obligation placed on occupiers is phrased variously for legitimate visitors and intruders: owners are required to make guarantee a guest is "fairly safe," but the occupier's obligation to a stranger is to make sure he "somehow doesn't cause significant damage."</w:t>
      </w:r>
      <w:r w:rsidR="000828C7">
        <w:rPr>
          <w:rFonts w:ascii="Arial" w:hAnsi="Arial" w:cs="Arial"/>
          <w:sz w:val="24"/>
          <w:szCs w:val="24"/>
        </w:rPr>
        <w:t xml:space="preserve"> At last, it can be said that the authority of CPL had already known the damages to their theme park. But they could not repair that. So, Leo, </w:t>
      </w:r>
      <w:r w:rsidR="000828C7" w:rsidRPr="000828C7">
        <w:rPr>
          <w:rFonts w:ascii="Arial" w:hAnsi="Arial" w:cs="Arial"/>
          <w:sz w:val="24"/>
          <w:szCs w:val="24"/>
        </w:rPr>
        <w:t>Mille</w:t>
      </w:r>
      <w:r w:rsidR="000828C7">
        <w:rPr>
          <w:rFonts w:ascii="Arial" w:hAnsi="Arial" w:cs="Arial"/>
          <w:sz w:val="24"/>
          <w:szCs w:val="24"/>
        </w:rPr>
        <w:t xml:space="preserve">, Nia, and </w:t>
      </w:r>
      <w:r w:rsidR="000828C7" w:rsidRPr="000828C7">
        <w:rPr>
          <w:rFonts w:ascii="Arial" w:hAnsi="Arial" w:cs="Arial"/>
          <w:sz w:val="24"/>
          <w:szCs w:val="24"/>
        </w:rPr>
        <w:t>Owen</w:t>
      </w:r>
      <w:r w:rsidR="000828C7">
        <w:rPr>
          <w:rFonts w:ascii="Arial" w:hAnsi="Arial" w:cs="Arial"/>
          <w:sz w:val="24"/>
          <w:szCs w:val="24"/>
        </w:rPr>
        <w:t xml:space="preserve"> have the right to take the amount of their damage from the CPL because they had done it intentionally. CPL has to fulfill their liability towards them according to the act of law in 1957 and 1984. </w:t>
      </w:r>
      <w:r w:rsidR="00115CA7" w:rsidRPr="00D63688">
        <w:rPr>
          <w:rFonts w:ascii="Arial" w:hAnsi="Arial" w:cs="Arial"/>
          <w:sz w:val="24"/>
          <w:szCs w:val="24"/>
        </w:rPr>
        <w:br w:type="page"/>
      </w:r>
    </w:p>
    <w:p w:rsidR="00115CA7" w:rsidRPr="00A23848" w:rsidRDefault="00115CA7" w:rsidP="00115CA7">
      <w:pPr>
        <w:pStyle w:val="Heading1"/>
        <w:spacing w:line="360" w:lineRule="auto"/>
        <w:jc w:val="both"/>
        <w:rPr>
          <w:rFonts w:ascii="Times New Roman" w:hAnsi="Times New Roman" w:cs="Times New Roman"/>
          <w:b/>
          <w:color w:val="auto"/>
        </w:rPr>
      </w:pPr>
      <w:bookmarkStart w:id="6" w:name="_Toc109095473"/>
      <w:r w:rsidRPr="00A23848">
        <w:rPr>
          <w:rFonts w:ascii="Times New Roman" w:hAnsi="Times New Roman" w:cs="Times New Roman"/>
          <w:b/>
          <w:color w:val="auto"/>
        </w:rPr>
        <w:lastRenderedPageBreak/>
        <w:t>References</w:t>
      </w:r>
      <w:bookmarkEnd w:id="6"/>
    </w:p>
    <w:p w:rsidR="00A23848" w:rsidRPr="00A23848" w:rsidRDefault="000828C7" w:rsidP="00A23848">
      <w:pPr>
        <w:pStyle w:val="NoSpacing"/>
        <w:spacing w:line="360" w:lineRule="auto"/>
        <w:jc w:val="both"/>
        <w:rPr>
          <w:rFonts w:ascii="Arial" w:hAnsi="Arial" w:cs="Arial"/>
          <w:sz w:val="20"/>
          <w:szCs w:val="20"/>
        </w:rPr>
      </w:pPr>
      <w:r w:rsidRPr="00A23848">
        <w:rPr>
          <w:rFonts w:ascii="Arial" w:hAnsi="Arial" w:cs="Arial"/>
        </w:rPr>
        <w:t>1</w:t>
      </w:r>
      <w:r w:rsidR="00A23848" w:rsidRPr="00A23848">
        <w:rPr>
          <w:rFonts w:ascii="Arial" w:hAnsi="Arial" w:cs="Arial"/>
        </w:rPr>
        <w:t xml:space="preserve"> </w:t>
      </w:r>
      <w:r w:rsidR="00A23848" w:rsidRPr="00A23848">
        <w:rPr>
          <w:rFonts w:ascii="Arial" w:hAnsi="Arial" w:cs="Arial"/>
          <w:sz w:val="20"/>
          <w:szCs w:val="20"/>
        </w:rPr>
        <w:t xml:space="preserve">Fsm solicitors, (2020). Occupier’s liability: what are your duties?. [Online] </w:t>
      </w: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Available at: https://fsmsolicitors.co.uk/occupiers-liability-what-are-your-duties/</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Jennings, N., (2020). Occupier’s Liability – Who Do You Owe a Duty of Care To?. Property &amp; Land Law. https://becket-chambers.co.uk/2020/03/04/occupiers-liability-who-do-you-owe-a-duty-of-care-to/</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 xml:space="preserve">Legislation, (2022). Occupiers’ Liability Act 1957. [Online] </w:t>
      </w: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Available at: https://www.legislation.gov.uk/ukpga/Eliz2/5-6/31/section/2</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Millar,A.,(2017). https://www.tallents.co.uk/occupiers-liability/</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Tomlinson, (2022). Occupiers' Liability. Tort law. http://www.e-lawresources.co.uk/Occupiers-liability.php</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Trevelyan, L., (2021). What liability do I have towards other people entering my property? Law. https://www.inbrief.co.uk/land-law/occupiers-liability/</w:t>
      </w:r>
    </w:p>
    <w:p w:rsidR="00A23848" w:rsidRPr="00A23848" w:rsidRDefault="00A23848" w:rsidP="00A23848">
      <w:pPr>
        <w:pStyle w:val="NoSpacing"/>
        <w:spacing w:line="360" w:lineRule="auto"/>
        <w:jc w:val="both"/>
        <w:rPr>
          <w:rFonts w:ascii="Arial" w:hAnsi="Arial" w:cs="Arial"/>
          <w:sz w:val="20"/>
          <w:szCs w:val="20"/>
        </w:rPr>
      </w:pP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 xml:space="preserve">UK Legislation, (2020). Occupiers Liability Act 1984. [Online] </w:t>
      </w:r>
    </w:p>
    <w:p w:rsidR="00A23848" w:rsidRPr="00A23848" w:rsidRDefault="00A23848" w:rsidP="00A23848">
      <w:pPr>
        <w:pStyle w:val="NoSpacing"/>
        <w:spacing w:line="360" w:lineRule="auto"/>
        <w:jc w:val="both"/>
        <w:rPr>
          <w:rFonts w:ascii="Arial" w:hAnsi="Arial" w:cs="Arial"/>
          <w:sz w:val="20"/>
          <w:szCs w:val="20"/>
        </w:rPr>
      </w:pPr>
      <w:r w:rsidRPr="00A23848">
        <w:rPr>
          <w:rFonts w:ascii="Arial" w:hAnsi="Arial" w:cs="Arial"/>
          <w:sz w:val="20"/>
          <w:szCs w:val="20"/>
        </w:rPr>
        <w:t>Available at: https://www.legislation.gov.uk/ukpga/1984/3/section/1</w:t>
      </w:r>
    </w:p>
    <w:p w:rsidR="00A23848" w:rsidRPr="00A23848" w:rsidRDefault="00A23848" w:rsidP="00A23848">
      <w:pPr>
        <w:pStyle w:val="NoSpacing"/>
        <w:spacing w:line="360" w:lineRule="auto"/>
        <w:jc w:val="both"/>
        <w:rPr>
          <w:rFonts w:ascii="Arial" w:hAnsi="Arial" w:cs="Arial"/>
          <w:sz w:val="20"/>
          <w:szCs w:val="20"/>
        </w:rPr>
      </w:pPr>
    </w:p>
    <w:p w:rsidR="00110C12" w:rsidRPr="00D87A50" w:rsidRDefault="00A23848" w:rsidP="00D87A50">
      <w:pPr>
        <w:pStyle w:val="NoSpacing"/>
        <w:spacing w:line="360" w:lineRule="auto"/>
        <w:jc w:val="both"/>
        <w:rPr>
          <w:rFonts w:ascii="Arial" w:hAnsi="Arial" w:cs="Arial"/>
        </w:rPr>
      </w:pPr>
      <w:r w:rsidRPr="00A23848">
        <w:rPr>
          <w:rFonts w:ascii="Arial" w:hAnsi="Arial" w:cs="Arial"/>
          <w:sz w:val="20"/>
          <w:szCs w:val="20"/>
        </w:rPr>
        <w:t>UK Legislation, (2022). UK Public General Acts. [Online] Available at: https://www.legi</w:t>
      </w:r>
      <w:r w:rsidR="00D87A50">
        <w:rPr>
          <w:rFonts w:ascii="Arial" w:hAnsi="Arial" w:cs="Arial"/>
          <w:sz w:val="20"/>
          <w:szCs w:val="20"/>
        </w:rPr>
        <w:t>slation.gov.uk/ukpga/Eliz2/5-6/</w:t>
      </w:r>
      <w:bookmarkStart w:id="7" w:name="_GoBack"/>
      <w:bookmarkEnd w:id="7"/>
    </w:p>
    <w:sectPr w:rsidR="00110C12" w:rsidRPr="00D87A5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6DEC" w:rsidRDefault="005B6DEC" w:rsidP="00110C12">
      <w:pPr>
        <w:spacing w:after="0" w:line="240" w:lineRule="auto"/>
      </w:pPr>
      <w:r>
        <w:separator/>
      </w:r>
    </w:p>
  </w:endnote>
  <w:endnote w:type="continuationSeparator" w:id="0">
    <w:p w:rsidR="005B6DEC" w:rsidRDefault="005B6DEC" w:rsidP="00110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5669301"/>
      <w:docPartObj>
        <w:docPartGallery w:val="Page Numbers (Bottom of Page)"/>
        <w:docPartUnique/>
      </w:docPartObj>
    </w:sdtPr>
    <w:sdtEndPr>
      <w:rPr>
        <w:color w:val="7F7F7F" w:themeColor="background1" w:themeShade="7F"/>
        <w:spacing w:val="60"/>
      </w:rPr>
    </w:sdtEndPr>
    <w:sdtContent>
      <w:p w:rsidR="000828C7" w:rsidRDefault="000828C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87A50" w:rsidRPr="00D87A50">
          <w:rPr>
            <w:b/>
            <w:bCs/>
            <w:noProof/>
          </w:rPr>
          <w:t>10</w:t>
        </w:r>
        <w:r>
          <w:rPr>
            <w:b/>
            <w:bCs/>
            <w:noProof/>
          </w:rPr>
          <w:fldChar w:fldCharType="end"/>
        </w:r>
        <w:r>
          <w:rPr>
            <w:b/>
            <w:bCs/>
          </w:rPr>
          <w:t xml:space="preserve"> | </w:t>
        </w:r>
        <w:r>
          <w:rPr>
            <w:color w:val="7F7F7F" w:themeColor="background1" w:themeShade="7F"/>
            <w:spacing w:val="60"/>
          </w:rPr>
          <w:t>Page</w:t>
        </w:r>
      </w:p>
    </w:sdtContent>
  </w:sdt>
  <w:p w:rsidR="000828C7" w:rsidRDefault="000828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6DEC" w:rsidRDefault="005B6DEC" w:rsidP="00110C12">
      <w:pPr>
        <w:spacing w:after="0" w:line="240" w:lineRule="auto"/>
      </w:pPr>
      <w:r>
        <w:separator/>
      </w:r>
    </w:p>
  </w:footnote>
  <w:footnote w:type="continuationSeparator" w:id="0">
    <w:p w:rsidR="005B6DEC" w:rsidRDefault="005B6DEC" w:rsidP="00110C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0C12"/>
    <w:rsid w:val="000828C7"/>
    <w:rsid w:val="00110C12"/>
    <w:rsid w:val="00115CA7"/>
    <w:rsid w:val="001334FE"/>
    <w:rsid w:val="002A79AC"/>
    <w:rsid w:val="00363470"/>
    <w:rsid w:val="003C7D5B"/>
    <w:rsid w:val="003F2D20"/>
    <w:rsid w:val="00564573"/>
    <w:rsid w:val="005B6DEC"/>
    <w:rsid w:val="0072622D"/>
    <w:rsid w:val="00757861"/>
    <w:rsid w:val="007A1B53"/>
    <w:rsid w:val="007D1AC8"/>
    <w:rsid w:val="008764A0"/>
    <w:rsid w:val="00890526"/>
    <w:rsid w:val="009118BF"/>
    <w:rsid w:val="009375BE"/>
    <w:rsid w:val="009B1485"/>
    <w:rsid w:val="00A23848"/>
    <w:rsid w:val="00B424C3"/>
    <w:rsid w:val="00CB793B"/>
    <w:rsid w:val="00D0226E"/>
    <w:rsid w:val="00D63688"/>
    <w:rsid w:val="00D87A50"/>
    <w:rsid w:val="00DE7BF8"/>
    <w:rsid w:val="00ED7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2CF217-A827-4FB3-9F98-8E3557042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622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E7B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C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C12"/>
  </w:style>
  <w:style w:type="paragraph" w:styleId="Footer">
    <w:name w:val="footer"/>
    <w:basedOn w:val="Normal"/>
    <w:link w:val="FooterChar"/>
    <w:uiPriority w:val="99"/>
    <w:unhideWhenUsed/>
    <w:rsid w:val="00110C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C12"/>
  </w:style>
  <w:style w:type="paragraph" w:styleId="Title">
    <w:name w:val="Title"/>
    <w:basedOn w:val="Normal"/>
    <w:next w:val="Normal"/>
    <w:link w:val="TitleChar"/>
    <w:uiPriority w:val="10"/>
    <w:qFormat/>
    <w:rsid w:val="00110C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C1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622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15CA7"/>
    <w:pPr>
      <w:outlineLvl w:val="9"/>
    </w:pPr>
  </w:style>
  <w:style w:type="paragraph" w:styleId="TOC1">
    <w:name w:val="toc 1"/>
    <w:basedOn w:val="Normal"/>
    <w:next w:val="Normal"/>
    <w:autoRedefine/>
    <w:uiPriority w:val="39"/>
    <w:unhideWhenUsed/>
    <w:rsid w:val="00115CA7"/>
    <w:pPr>
      <w:spacing w:after="100"/>
    </w:pPr>
  </w:style>
  <w:style w:type="character" w:styleId="Hyperlink">
    <w:name w:val="Hyperlink"/>
    <w:basedOn w:val="DefaultParagraphFont"/>
    <w:uiPriority w:val="99"/>
    <w:unhideWhenUsed/>
    <w:rsid w:val="00115CA7"/>
    <w:rPr>
      <w:color w:val="0563C1" w:themeColor="hyperlink"/>
      <w:u w:val="single"/>
    </w:rPr>
  </w:style>
  <w:style w:type="character" w:customStyle="1" w:styleId="Heading2Char">
    <w:name w:val="Heading 2 Char"/>
    <w:basedOn w:val="DefaultParagraphFont"/>
    <w:link w:val="Heading2"/>
    <w:uiPriority w:val="9"/>
    <w:rsid w:val="00DE7BF8"/>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564573"/>
  </w:style>
  <w:style w:type="paragraph" w:styleId="NoSpacing">
    <w:name w:val="No Spacing"/>
    <w:uiPriority w:val="1"/>
    <w:qFormat/>
    <w:rsid w:val="000828C7"/>
    <w:pPr>
      <w:spacing w:after="0" w:line="240" w:lineRule="auto"/>
    </w:pPr>
  </w:style>
  <w:style w:type="paragraph" w:styleId="TOC2">
    <w:name w:val="toc 2"/>
    <w:basedOn w:val="Normal"/>
    <w:next w:val="Normal"/>
    <w:autoRedefine/>
    <w:uiPriority w:val="39"/>
    <w:unhideWhenUsed/>
    <w:rsid w:val="009B14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706767">
      <w:bodyDiv w:val="1"/>
      <w:marLeft w:val="0"/>
      <w:marRight w:val="0"/>
      <w:marTop w:val="0"/>
      <w:marBottom w:val="0"/>
      <w:divBdr>
        <w:top w:val="none" w:sz="0" w:space="0" w:color="auto"/>
        <w:left w:val="none" w:sz="0" w:space="0" w:color="auto"/>
        <w:bottom w:val="none" w:sz="0" w:space="0" w:color="auto"/>
        <w:right w:val="none" w:sz="0" w:space="0" w:color="auto"/>
      </w:divBdr>
    </w:div>
    <w:div w:id="102574741">
      <w:bodyDiv w:val="1"/>
      <w:marLeft w:val="0"/>
      <w:marRight w:val="0"/>
      <w:marTop w:val="0"/>
      <w:marBottom w:val="0"/>
      <w:divBdr>
        <w:top w:val="none" w:sz="0" w:space="0" w:color="auto"/>
        <w:left w:val="none" w:sz="0" w:space="0" w:color="auto"/>
        <w:bottom w:val="none" w:sz="0" w:space="0" w:color="auto"/>
        <w:right w:val="none" w:sz="0" w:space="0" w:color="auto"/>
      </w:divBdr>
    </w:div>
    <w:div w:id="158544223">
      <w:bodyDiv w:val="1"/>
      <w:marLeft w:val="0"/>
      <w:marRight w:val="0"/>
      <w:marTop w:val="0"/>
      <w:marBottom w:val="0"/>
      <w:divBdr>
        <w:top w:val="none" w:sz="0" w:space="0" w:color="auto"/>
        <w:left w:val="none" w:sz="0" w:space="0" w:color="auto"/>
        <w:bottom w:val="none" w:sz="0" w:space="0" w:color="auto"/>
        <w:right w:val="none" w:sz="0" w:space="0" w:color="auto"/>
      </w:divBdr>
    </w:div>
    <w:div w:id="371267664">
      <w:bodyDiv w:val="1"/>
      <w:marLeft w:val="0"/>
      <w:marRight w:val="0"/>
      <w:marTop w:val="0"/>
      <w:marBottom w:val="0"/>
      <w:divBdr>
        <w:top w:val="none" w:sz="0" w:space="0" w:color="auto"/>
        <w:left w:val="none" w:sz="0" w:space="0" w:color="auto"/>
        <w:bottom w:val="none" w:sz="0" w:space="0" w:color="auto"/>
        <w:right w:val="none" w:sz="0" w:space="0" w:color="auto"/>
      </w:divBdr>
    </w:div>
    <w:div w:id="398213372">
      <w:bodyDiv w:val="1"/>
      <w:marLeft w:val="0"/>
      <w:marRight w:val="0"/>
      <w:marTop w:val="0"/>
      <w:marBottom w:val="0"/>
      <w:divBdr>
        <w:top w:val="none" w:sz="0" w:space="0" w:color="auto"/>
        <w:left w:val="none" w:sz="0" w:space="0" w:color="auto"/>
        <w:bottom w:val="none" w:sz="0" w:space="0" w:color="auto"/>
        <w:right w:val="none" w:sz="0" w:space="0" w:color="auto"/>
      </w:divBdr>
    </w:div>
    <w:div w:id="436407581">
      <w:bodyDiv w:val="1"/>
      <w:marLeft w:val="0"/>
      <w:marRight w:val="0"/>
      <w:marTop w:val="0"/>
      <w:marBottom w:val="0"/>
      <w:divBdr>
        <w:top w:val="none" w:sz="0" w:space="0" w:color="auto"/>
        <w:left w:val="none" w:sz="0" w:space="0" w:color="auto"/>
        <w:bottom w:val="none" w:sz="0" w:space="0" w:color="auto"/>
        <w:right w:val="none" w:sz="0" w:space="0" w:color="auto"/>
      </w:divBdr>
    </w:div>
    <w:div w:id="593632971">
      <w:bodyDiv w:val="1"/>
      <w:marLeft w:val="0"/>
      <w:marRight w:val="0"/>
      <w:marTop w:val="0"/>
      <w:marBottom w:val="0"/>
      <w:divBdr>
        <w:top w:val="none" w:sz="0" w:space="0" w:color="auto"/>
        <w:left w:val="none" w:sz="0" w:space="0" w:color="auto"/>
        <w:bottom w:val="none" w:sz="0" w:space="0" w:color="auto"/>
        <w:right w:val="none" w:sz="0" w:space="0" w:color="auto"/>
      </w:divBdr>
    </w:div>
    <w:div w:id="615331835">
      <w:bodyDiv w:val="1"/>
      <w:marLeft w:val="0"/>
      <w:marRight w:val="0"/>
      <w:marTop w:val="0"/>
      <w:marBottom w:val="0"/>
      <w:divBdr>
        <w:top w:val="none" w:sz="0" w:space="0" w:color="auto"/>
        <w:left w:val="none" w:sz="0" w:space="0" w:color="auto"/>
        <w:bottom w:val="none" w:sz="0" w:space="0" w:color="auto"/>
        <w:right w:val="none" w:sz="0" w:space="0" w:color="auto"/>
      </w:divBdr>
    </w:div>
    <w:div w:id="620303088">
      <w:bodyDiv w:val="1"/>
      <w:marLeft w:val="0"/>
      <w:marRight w:val="0"/>
      <w:marTop w:val="0"/>
      <w:marBottom w:val="0"/>
      <w:divBdr>
        <w:top w:val="none" w:sz="0" w:space="0" w:color="auto"/>
        <w:left w:val="none" w:sz="0" w:space="0" w:color="auto"/>
        <w:bottom w:val="none" w:sz="0" w:space="0" w:color="auto"/>
        <w:right w:val="none" w:sz="0" w:space="0" w:color="auto"/>
      </w:divBdr>
    </w:div>
    <w:div w:id="748112215">
      <w:bodyDiv w:val="1"/>
      <w:marLeft w:val="0"/>
      <w:marRight w:val="0"/>
      <w:marTop w:val="0"/>
      <w:marBottom w:val="0"/>
      <w:divBdr>
        <w:top w:val="none" w:sz="0" w:space="0" w:color="auto"/>
        <w:left w:val="none" w:sz="0" w:space="0" w:color="auto"/>
        <w:bottom w:val="none" w:sz="0" w:space="0" w:color="auto"/>
        <w:right w:val="none" w:sz="0" w:space="0" w:color="auto"/>
      </w:divBdr>
    </w:div>
    <w:div w:id="752775405">
      <w:bodyDiv w:val="1"/>
      <w:marLeft w:val="0"/>
      <w:marRight w:val="0"/>
      <w:marTop w:val="0"/>
      <w:marBottom w:val="0"/>
      <w:divBdr>
        <w:top w:val="none" w:sz="0" w:space="0" w:color="auto"/>
        <w:left w:val="none" w:sz="0" w:space="0" w:color="auto"/>
        <w:bottom w:val="none" w:sz="0" w:space="0" w:color="auto"/>
        <w:right w:val="none" w:sz="0" w:space="0" w:color="auto"/>
      </w:divBdr>
    </w:div>
    <w:div w:id="762410167">
      <w:bodyDiv w:val="1"/>
      <w:marLeft w:val="0"/>
      <w:marRight w:val="0"/>
      <w:marTop w:val="0"/>
      <w:marBottom w:val="0"/>
      <w:divBdr>
        <w:top w:val="none" w:sz="0" w:space="0" w:color="auto"/>
        <w:left w:val="none" w:sz="0" w:space="0" w:color="auto"/>
        <w:bottom w:val="none" w:sz="0" w:space="0" w:color="auto"/>
        <w:right w:val="none" w:sz="0" w:space="0" w:color="auto"/>
      </w:divBdr>
    </w:div>
    <w:div w:id="827552143">
      <w:bodyDiv w:val="1"/>
      <w:marLeft w:val="0"/>
      <w:marRight w:val="0"/>
      <w:marTop w:val="0"/>
      <w:marBottom w:val="0"/>
      <w:divBdr>
        <w:top w:val="none" w:sz="0" w:space="0" w:color="auto"/>
        <w:left w:val="none" w:sz="0" w:space="0" w:color="auto"/>
        <w:bottom w:val="none" w:sz="0" w:space="0" w:color="auto"/>
        <w:right w:val="none" w:sz="0" w:space="0" w:color="auto"/>
      </w:divBdr>
    </w:div>
    <w:div w:id="923147903">
      <w:bodyDiv w:val="1"/>
      <w:marLeft w:val="0"/>
      <w:marRight w:val="0"/>
      <w:marTop w:val="0"/>
      <w:marBottom w:val="0"/>
      <w:divBdr>
        <w:top w:val="none" w:sz="0" w:space="0" w:color="auto"/>
        <w:left w:val="none" w:sz="0" w:space="0" w:color="auto"/>
        <w:bottom w:val="none" w:sz="0" w:space="0" w:color="auto"/>
        <w:right w:val="none" w:sz="0" w:space="0" w:color="auto"/>
      </w:divBdr>
    </w:div>
    <w:div w:id="1053650874">
      <w:bodyDiv w:val="1"/>
      <w:marLeft w:val="0"/>
      <w:marRight w:val="0"/>
      <w:marTop w:val="0"/>
      <w:marBottom w:val="0"/>
      <w:divBdr>
        <w:top w:val="none" w:sz="0" w:space="0" w:color="auto"/>
        <w:left w:val="none" w:sz="0" w:space="0" w:color="auto"/>
        <w:bottom w:val="none" w:sz="0" w:space="0" w:color="auto"/>
        <w:right w:val="none" w:sz="0" w:space="0" w:color="auto"/>
      </w:divBdr>
    </w:div>
    <w:div w:id="1071460863">
      <w:bodyDiv w:val="1"/>
      <w:marLeft w:val="0"/>
      <w:marRight w:val="0"/>
      <w:marTop w:val="0"/>
      <w:marBottom w:val="0"/>
      <w:divBdr>
        <w:top w:val="none" w:sz="0" w:space="0" w:color="auto"/>
        <w:left w:val="none" w:sz="0" w:space="0" w:color="auto"/>
        <w:bottom w:val="none" w:sz="0" w:space="0" w:color="auto"/>
        <w:right w:val="none" w:sz="0" w:space="0" w:color="auto"/>
      </w:divBdr>
    </w:div>
    <w:div w:id="1344437672">
      <w:bodyDiv w:val="1"/>
      <w:marLeft w:val="0"/>
      <w:marRight w:val="0"/>
      <w:marTop w:val="0"/>
      <w:marBottom w:val="0"/>
      <w:divBdr>
        <w:top w:val="none" w:sz="0" w:space="0" w:color="auto"/>
        <w:left w:val="none" w:sz="0" w:space="0" w:color="auto"/>
        <w:bottom w:val="none" w:sz="0" w:space="0" w:color="auto"/>
        <w:right w:val="none" w:sz="0" w:space="0" w:color="auto"/>
      </w:divBdr>
    </w:div>
    <w:div w:id="1380205352">
      <w:bodyDiv w:val="1"/>
      <w:marLeft w:val="0"/>
      <w:marRight w:val="0"/>
      <w:marTop w:val="0"/>
      <w:marBottom w:val="0"/>
      <w:divBdr>
        <w:top w:val="none" w:sz="0" w:space="0" w:color="auto"/>
        <w:left w:val="none" w:sz="0" w:space="0" w:color="auto"/>
        <w:bottom w:val="none" w:sz="0" w:space="0" w:color="auto"/>
        <w:right w:val="none" w:sz="0" w:space="0" w:color="auto"/>
      </w:divBdr>
    </w:div>
    <w:div w:id="1490555308">
      <w:bodyDiv w:val="1"/>
      <w:marLeft w:val="0"/>
      <w:marRight w:val="0"/>
      <w:marTop w:val="0"/>
      <w:marBottom w:val="0"/>
      <w:divBdr>
        <w:top w:val="none" w:sz="0" w:space="0" w:color="auto"/>
        <w:left w:val="none" w:sz="0" w:space="0" w:color="auto"/>
        <w:bottom w:val="none" w:sz="0" w:space="0" w:color="auto"/>
        <w:right w:val="none" w:sz="0" w:space="0" w:color="auto"/>
      </w:divBdr>
    </w:div>
    <w:div w:id="1524055923">
      <w:bodyDiv w:val="1"/>
      <w:marLeft w:val="0"/>
      <w:marRight w:val="0"/>
      <w:marTop w:val="0"/>
      <w:marBottom w:val="0"/>
      <w:divBdr>
        <w:top w:val="none" w:sz="0" w:space="0" w:color="auto"/>
        <w:left w:val="none" w:sz="0" w:space="0" w:color="auto"/>
        <w:bottom w:val="none" w:sz="0" w:space="0" w:color="auto"/>
        <w:right w:val="none" w:sz="0" w:space="0" w:color="auto"/>
      </w:divBdr>
    </w:div>
    <w:div w:id="1574310607">
      <w:bodyDiv w:val="1"/>
      <w:marLeft w:val="0"/>
      <w:marRight w:val="0"/>
      <w:marTop w:val="0"/>
      <w:marBottom w:val="0"/>
      <w:divBdr>
        <w:top w:val="none" w:sz="0" w:space="0" w:color="auto"/>
        <w:left w:val="none" w:sz="0" w:space="0" w:color="auto"/>
        <w:bottom w:val="none" w:sz="0" w:space="0" w:color="auto"/>
        <w:right w:val="none" w:sz="0" w:space="0" w:color="auto"/>
      </w:divBdr>
    </w:div>
    <w:div w:id="1575508598">
      <w:bodyDiv w:val="1"/>
      <w:marLeft w:val="0"/>
      <w:marRight w:val="0"/>
      <w:marTop w:val="0"/>
      <w:marBottom w:val="0"/>
      <w:divBdr>
        <w:top w:val="none" w:sz="0" w:space="0" w:color="auto"/>
        <w:left w:val="none" w:sz="0" w:space="0" w:color="auto"/>
        <w:bottom w:val="none" w:sz="0" w:space="0" w:color="auto"/>
        <w:right w:val="none" w:sz="0" w:space="0" w:color="auto"/>
      </w:divBdr>
    </w:div>
    <w:div w:id="1585067948">
      <w:bodyDiv w:val="1"/>
      <w:marLeft w:val="0"/>
      <w:marRight w:val="0"/>
      <w:marTop w:val="0"/>
      <w:marBottom w:val="0"/>
      <w:divBdr>
        <w:top w:val="none" w:sz="0" w:space="0" w:color="auto"/>
        <w:left w:val="none" w:sz="0" w:space="0" w:color="auto"/>
        <w:bottom w:val="none" w:sz="0" w:space="0" w:color="auto"/>
        <w:right w:val="none" w:sz="0" w:space="0" w:color="auto"/>
      </w:divBdr>
    </w:div>
    <w:div w:id="1589540697">
      <w:bodyDiv w:val="1"/>
      <w:marLeft w:val="0"/>
      <w:marRight w:val="0"/>
      <w:marTop w:val="0"/>
      <w:marBottom w:val="0"/>
      <w:divBdr>
        <w:top w:val="none" w:sz="0" w:space="0" w:color="auto"/>
        <w:left w:val="none" w:sz="0" w:space="0" w:color="auto"/>
        <w:bottom w:val="none" w:sz="0" w:space="0" w:color="auto"/>
        <w:right w:val="none" w:sz="0" w:space="0" w:color="auto"/>
      </w:divBdr>
    </w:div>
    <w:div w:id="1715080772">
      <w:bodyDiv w:val="1"/>
      <w:marLeft w:val="0"/>
      <w:marRight w:val="0"/>
      <w:marTop w:val="0"/>
      <w:marBottom w:val="0"/>
      <w:divBdr>
        <w:top w:val="none" w:sz="0" w:space="0" w:color="auto"/>
        <w:left w:val="none" w:sz="0" w:space="0" w:color="auto"/>
        <w:bottom w:val="none" w:sz="0" w:space="0" w:color="auto"/>
        <w:right w:val="none" w:sz="0" w:space="0" w:color="auto"/>
      </w:divBdr>
    </w:div>
    <w:div w:id="1743678363">
      <w:bodyDiv w:val="1"/>
      <w:marLeft w:val="0"/>
      <w:marRight w:val="0"/>
      <w:marTop w:val="0"/>
      <w:marBottom w:val="0"/>
      <w:divBdr>
        <w:top w:val="none" w:sz="0" w:space="0" w:color="auto"/>
        <w:left w:val="none" w:sz="0" w:space="0" w:color="auto"/>
        <w:bottom w:val="none" w:sz="0" w:space="0" w:color="auto"/>
        <w:right w:val="none" w:sz="0" w:space="0" w:color="auto"/>
      </w:divBdr>
    </w:div>
    <w:div w:id="1790395591">
      <w:bodyDiv w:val="1"/>
      <w:marLeft w:val="0"/>
      <w:marRight w:val="0"/>
      <w:marTop w:val="0"/>
      <w:marBottom w:val="0"/>
      <w:divBdr>
        <w:top w:val="none" w:sz="0" w:space="0" w:color="auto"/>
        <w:left w:val="none" w:sz="0" w:space="0" w:color="auto"/>
        <w:bottom w:val="none" w:sz="0" w:space="0" w:color="auto"/>
        <w:right w:val="none" w:sz="0" w:space="0" w:color="auto"/>
      </w:divBdr>
    </w:div>
    <w:div w:id="1807356061">
      <w:bodyDiv w:val="1"/>
      <w:marLeft w:val="0"/>
      <w:marRight w:val="0"/>
      <w:marTop w:val="0"/>
      <w:marBottom w:val="0"/>
      <w:divBdr>
        <w:top w:val="none" w:sz="0" w:space="0" w:color="auto"/>
        <w:left w:val="none" w:sz="0" w:space="0" w:color="auto"/>
        <w:bottom w:val="none" w:sz="0" w:space="0" w:color="auto"/>
        <w:right w:val="none" w:sz="0" w:space="0" w:color="auto"/>
      </w:divBdr>
    </w:div>
    <w:div w:id="1907370561">
      <w:bodyDiv w:val="1"/>
      <w:marLeft w:val="0"/>
      <w:marRight w:val="0"/>
      <w:marTop w:val="0"/>
      <w:marBottom w:val="0"/>
      <w:divBdr>
        <w:top w:val="none" w:sz="0" w:space="0" w:color="auto"/>
        <w:left w:val="none" w:sz="0" w:space="0" w:color="auto"/>
        <w:bottom w:val="none" w:sz="0" w:space="0" w:color="auto"/>
        <w:right w:val="none" w:sz="0" w:space="0" w:color="auto"/>
      </w:divBdr>
    </w:div>
    <w:div w:id="1941520628">
      <w:bodyDiv w:val="1"/>
      <w:marLeft w:val="0"/>
      <w:marRight w:val="0"/>
      <w:marTop w:val="0"/>
      <w:marBottom w:val="0"/>
      <w:divBdr>
        <w:top w:val="none" w:sz="0" w:space="0" w:color="auto"/>
        <w:left w:val="none" w:sz="0" w:space="0" w:color="auto"/>
        <w:bottom w:val="none" w:sz="0" w:space="0" w:color="auto"/>
        <w:right w:val="none" w:sz="0" w:space="0" w:color="auto"/>
      </w:divBdr>
    </w:div>
    <w:div w:id="2042053928">
      <w:bodyDiv w:val="1"/>
      <w:marLeft w:val="0"/>
      <w:marRight w:val="0"/>
      <w:marTop w:val="0"/>
      <w:marBottom w:val="0"/>
      <w:divBdr>
        <w:top w:val="none" w:sz="0" w:space="0" w:color="auto"/>
        <w:left w:val="none" w:sz="0" w:space="0" w:color="auto"/>
        <w:bottom w:val="none" w:sz="0" w:space="0" w:color="auto"/>
        <w:right w:val="none" w:sz="0" w:space="0" w:color="auto"/>
      </w:divBdr>
    </w:div>
    <w:div w:id="2063823881">
      <w:bodyDiv w:val="1"/>
      <w:marLeft w:val="0"/>
      <w:marRight w:val="0"/>
      <w:marTop w:val="0"/>
      <w:marBottom w:val="0"/>
      <w:divBdr>
        <w:top w:val="none" w:sz="0" w:space="0" w:color="auto"/>
        <w:left w:val="none" w:sz="0" w:space="0" w:color="auto"/>
        <w:bottom w:val="none" w:sz="0" w:space="0" w:color="auto"/>
        <w:right w:val="none" w:sz="0" w:space="0" w:color="auto"/>
      </w:divBdr>
    </w:div>
    <w:div w:id="2071658622">
      <w:bodyDiv w:val="1"/>
      <w:marLeft w:val="0"/>
      <w:marRight w:val="0"/>
      <w:marTop w:val="0"/>
      <w:marBottom w:val="0"/>
      <w:divBdr>
        <w:top w:val="none" w:sz="0" w:space="0" w:color="auto"/>
        <w:left w:val="none" w:sz="0" w:space="0" w:color="auto"/>
        <w:bottom w:val="none" w:sz="0" w:space="0" w:color="auto"/>
        <w:right w:val="none" w:sz="0" w:space="0" w:color="auto"/>
      </w:divBdr>
    </w:div>
    <w:div w:id="2098939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Leg22</b:Tag>
    <b:SourceType>InternetSite</b:SourceType>
    <b:Guid>{2E56D13A-9D5A-42F2-8082-3E22F1268F3C}</b:Guid>
    <b:Author>
      <b:Author>
        <b:Corporate>Legislation</b:Corporate>
      </b:Author>
    </b:Author>
    <b:Title>Occupiers’ Liability Act 1957</b:Title>
    <b:Year>2022</b:Year>
    <b:YearAccessed>2022</b:YearAccessed>
    <b:MonthAccessed>July</b:MonthAccessed>
    <b:DayAccessed>18</b:DayAccessed>
    <b:URL>https://www.legislation.gov.uk/ukpga/Eliz2/5-6/31/section/2</b:URL>
    <b:RefOrder>1</b:RefOrder>
  </b:Source>
  <b:Source>
    <b:Tag>UKL22</b:Tag>
    <b:SourceType>InternetSite</b:SourceType>
    <b:Guid>{099CD1B4-C56D-48A5-809D-11BCF45C9408}</b:Guid>
    <b:Author>
      <b:Author>
        <b:Corporate>UK Legislation</b:Corporate>
      </b:Author>
    </b:Author>
    <b:Title>UK Public General Acts</b:Title>
    <b:Year>2022</b:Year>
    <b:YearAccessed>2022</b:YearAccessed>
    <b:MonthAccessed>July</b:MonthAccessed>
    <b:DayAccessed>18</b:DayAccessed>
    <b:URL>https://www.legislation.gov.uk/ukpga/Eliz2/5-6/31</b:URL>
    <b:RefOrder>2</b:RefOrder>
  </b:Source>
  <b:Source>
    <b:Tag>Nic20</b:Tag>
    <b:SourceType>JournalArticle</b:SourceType>
    <b:Guid>{2A4702D7-C270-4CC7-A4CE-50786A47E4D3}</b:Guid>
    <b:Title>Occupier’s Liability – Who Do You Owe a Duty of Care To?</b:Title>
    <b:Year>2020</b:Year>
    <b:Author>
      <b:Author>
        <b:NameList>
          <b:Person>
            <b:Last>Jennings</b:Last>
            <b:First>Nicole</b:First>
          </b:Person>
        </b:NameList>
      </b:Author>
    </b:Author>
    <b:JournalName>Property &amp; Land Law</b:JournalName>
    <b:RefOrder>4</b:RefOrder>
  </b:Source>
  <b:Source>
    <b:Tag>Ali17</b:Tag>
    <b:SourceType>JournalArticle</b:SourceType>
    <b:Guid>{77271AC7-3B94-46FB-8250-C0619E6C8737}</b:Guid>
    <b:Author>
      <b:Author>
        <b:NameList>
          <b:Person>
            <b:Last>Millar</b:Last>
            <b:First>Alistair</b:First>
          </b:Person>
        </b:NameList>
      </b:Author>
    </b:Author>
    <b:Title>Who is an occupier?</b:Title>
    <b:JournalName>AGRICULTURAL LAW</b:JournalName>
    <b:Year>2017</b:Year>
    <b:RefOrder>3</b:RefOrder>
  </b:Source>
  <b:Source>
    <b:Tag>Luc21</b:Tag>
    <b:SourceType>JournalArticle</b:SourceType>
    <b:Guid>{1E4AB6AB-2C49-4677-BA11-33E876A2EA04}</b:Guid>
    <b:Author>
      <b:Author>
        <b:NameList>
          <b:Person>
            <b:Last>LLB</b:Last>
            <b:First>Lucy</b:First>
            <b:Middle>Trevelyan</b:Middle>
          </b:Person>
        </b:NameList>
      </b:Author>
    </b:Author>
    <b:Title>What liability do I have towards other people entering my property?</b:Title>
    <b:JournalName>Law</b:JournalName>
    <b:Year>2021</b:Year>
    <b:RefOrder>9</b:RefOrder>
  </b:Source>
  <b:Source>
    <b:Tag>Luc211</b:Tag>
    <b:SourceType>JournalArticle</b:SourceType>
    <b:Guid>{EF2F3C38-600D-4F69-895A-1E6D57FDDCAF}</b:Guid>
    <b:Author>
      <b:Author>
        <b:NameList>
          <b:Person>
            <b:Last>Trevelyan</b:Last>
            <b:First>Lucy</b:First>
          </b:Person>
        </b:NameList>
      </b:Author>
    </b:Author>
    <b:Title>What liability do I have towards other people entering my property?</b:Title>
    <b:JournalName>Law</b:JournalName>
    <b:Year>2021</b:Year>
    <b:RefOrder>5</b:RefOrder>
  </b:Source>
  <b:Source>
    <b:Tag>Fsm20</b:Tag>
    <b:SourceType>InternetSite</b:SourceType>
    <b:Guid>{55FF4E32-4F5A-484D-8D8C-8DDBF856FF70}</b:Guid>
    <b:Title>Occupier’s liability: what are your duties?</b:Title>
    <b:Year>2020</b:Year>
    <b:Author>
      <b:Author>
        <b:Corporate>Fsm solicitors</b:Corporate>
      </b:Author>
    </b:Author>
    <b:YearAccessed>2022</b:YearAccessed>
    <b:MonthAccessed>July</b:MonthAccessed>
    <b:DayAccessed>18</b:DayAccessed>
    <b:URL>https://fsmsolicitors.co.uk/occupiers-liability-what-are-your-duties/</b:URL>
    <b:RefOrder>8</b:RefOrder>
  </b:Source>
  <b:Source>
    <b:Tag>UKL20</b:Tag>
    <b:SourceType>InternetSite</b:SourceType>
    <b:Guid>{51F0EBB0-A121-4E9C-AEC8-E77E7CACC329}</b:Guid>
    <b:Author>
      <b:Author>
        <b:Corporate>UK Legislation</b:Corporate>
      </b:Author>
    </b:Author>
    <b:Title>Occupiers Liability Act 1984</b:Title>
    <b:Year>2020</b:Year>
    <b:YearAccessed>2022</b:YearAccessed>
    <b:MonthAccessed>July</b:MonthAccessed>
    <b:DayAccessed>18</b:DayAccessed>
    <b:URL>https://www.legislation.gov.uk/ukpga/1984/3/section/1</b:URL>
    <b:RefOrder>7</b:RefOrder>
  </b:Source>
  <b:Source>
    <b:Tag>Tom22</b:Tag>
    <b:SourceType>JournalArticle</b:SourceType>
    <b:Guid>{6D925610-7860-49EA-BF84-9DF7179C4479}</b:Guid>
    <b:Title>Occupiers' Liability</b:Title>
    <b:Year>2022</b:Year>
    <b:Author>
      <b:Author>
        <b:NameList>
          <b:Person>
            <b:Last>Tomlinson</b:Last>
          </b:Person>
        </b:NameList>
      </b:Author>
    </b:Author>
    <b:JournalName>Tort law	 </b:JournalName>
    <b:RefOrder>6</b:RefOrder>
  </b:Source>
</b:Sources>
</file>

<file path=customXml/itemProps1.xml><?xml version="1.0" encoding="utf-8"?>
<ds:datastoreItem xmlns:ds="http://schemas.openxmlformats.org/officeDocument/2006/customXml" ds:itemID="{55C69351-98FE-45C0-8C13-7DDCD27EB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2635</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5</cp:revision>
  <dcterms:created xsi:type="dcterms:W3CDTF">2022-07-20T19:18:00Z</dcterms:created>
  <dcterms:modified xsi:type="dcterms:W3CDTF">2022-07-21T20:51:00Z</dcterms:modified>
</cp:coreProperties>
</file>