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360"/>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2"/>
          <w:shd w:fill="auto" w:val="clear"/>
        </w:rPr>
        <w:t xml:space="preserve">                                                                                                                 </w:t>
      </w:r>
      <w:r>
        <w:object w:dxaOrig="2855" w:dyaOrig="1154">
          <v:rect xmlns:o="urn:schemas-microsoft-com:office:office" xmlns:v="urn:schemas-microsoft-com:vml" id="rectole0000000000" style="width:142.750000pt;height:57.70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r>
        <w:rPr>
          <w:rFonts w:ascii="Calibri" w:hAnsi="Calibri" w:cs="Calibri" w:eastAsia="Calibri"/>
          <w:color w:val="auto"/>
          <w:spacing w:val="0"/>
          <w:position w:val="0"/>
          <w:sz w:val="22"/>
          <w:shd w:fill="auto" w:val="clear"/>
        </w:rPr>
        <w:t xml:space="preserve">                                                           </w:t>
      </w:r>
    </w:p>
    <w:p>
      <w:pPr>
        <w:spacing w:before="0" w:after="160" w:line="360"/>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w:t>
      </w:r>
      <w:r>
        <w:rPr>
          <w:rFonts w:ascii="Calibri" w:hAnsi="Calibri" w:cs="Calibri" w:eastAsia="Calibri"/>
          <w:color w:val="auto"/>
          <w:spacing w:val="0"/>
          <w:position w:val="0"/>
          <w:sz w:val="22"/>
          <w:shd w:fill="auto" w:val="clear"/>
        </w:rPr>
        <w:t xml:space="preserve">               </w:t>
      </w:r>
    </w:p>
    <w:p>
      <w:pPr>
        <w:spacing w:before="100" w:after="100" w:line="360"/>
        <w:ind w:right="0" w:left="0" w:firstLine="0"/>
        <w:jc w:val="left"/>
        <w:rPr>
          <w:rFonts w:ascii="Arial" w:hAnsi="Arial" w:cs="Arial" w:eastAsia="Arial"/>
          <w:b/>
          <w:color w:val="auto"/>
          <w:spacing w:val="0"/>
          <w:position w:val="0"/>
          <w:sz w:val="24"/>
          <w:shd w:fill="auto" w:val="clear"/>
        </w:rPr>
      </w:pPr>
    </w:p>
    <w:p>
      <w:pPr>
        <w:spacing w:before="100" w:after="100" w:line="360"/>
        <w:ind w:right="0" w:left="0" w:firstLine="0"/>
        <w:jc w:val="left"/>
        <w:rPr>
          <w:rFonts w:ascii="Arial" w:hAnsi="Arial" w:cs="Arial" w:eastAsia="Arial"/>
          <w:b/>
          <w:color w:val="auto"/>
          <w:spacing w:val="0"/>
          <w:position w:val="0"/>
          <w:sz w:val="24"/>
          <w:shd w:fill="auto" w:val="clear"/>
        </w:rPr>
      </w:pPr>
    </w:p>
    <w:p>
      <w:pPr>
        <w:spacing w:before="100" w:after="100" w:line="360"/>
        <w:ind w:right="0" w:left="0" w:firstLine="0"/>
        <w:jc w:val="left"/>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Student name:Nedelin Hristov Mihalev</w:t>
      </w:r>
    </w:p>
    <w:p>
      <w:pPr>
        <w:spacing w:before="100" w:after="100" w:line="360"/>
        <w:ind w:right="0" w:left="0" w:firstLine="0"/>
        <w:jc w:val="left"/>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Student ID number:2029603</w:t>
      </w:r>
    </w:p>
    <w:p>
      <w:pPr>
        <w:spacing w:before="6" w:after="0" w:line="240"/>
        <w:ind w:right="0" w:left="0" w:firstLine="0"/>
        <w:jc w:val="left"/>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Programme:BA Business Management</w:t>
      </w:r>
    </w:p>
    <w:p>
      <w:pPr>
        <w:spacing w:before="6" w:after="0" w:line="240"/>
        <w:ind w:right="0" w:left="0" w:firstLine="0"/>
        <w:jc w:val="left"/>
        <w:rPr>
          <w:rFonts w:ascii="Arial" w:hAnsi="Arial" w:cs="Arial" w:eastAsia="Arial"/>
          <w:b/>
          <w:color w:val="auto"/>
          <w:spacing w:val="0"/>
          <w:position w:val="0"/>
          <w:sz w:val="24"/>
          <w:shd w:fill="auto" w:val="clear"/>
        </w:rPr>
      </w:pPr>
    </w:p>
    <w:p>
      <w:pPr>
        <w:spacing w:before="6" w:after="0" w:line="240"/>
        <w:ind w:right="0" w:left="0" w:firstLine="0"/>
        <w:jc w:val="left"/>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Module:Comunity Engagement</w:t>
      </w:r>
    </w:p>
    <w:p>
      <w:pPr>
        <w:spacing w:before="6" w:after="0" w:line="240"/>
        <w:ind w:right="0" w:left="0" w:firstLine="0"/>
        <w:jc w:val="left"/>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 </w:t>
      </w:r>
    </w:p>
    <w:p>
      <w:pPr>
        <w:spacing w:before="6" w:after="0" w:line="240"/>
        <w:ind w:right="0" w:left="0" w:firstLine="0"/>
        <w:jc w:val="left"/>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Module code:LCBB4002</w:t>
      </w:r>
    </w:p>
    <w:p>
      <w:pPr>
        <w:spacing w:before="6" w:after="0" w:line="240"/>
        <w:ind w:right="0" w:left="0" w:firstLine="0"/>
        <w:jc w:val="left"/>
        <w:rPr>
          <w:rFonts w:ascii="Arial" w:hAnsi="Arial" w:cs="Arial" w:eastAsia="Arial"/>
          <w:b/>
          <w:color w:val="auto"/>
          <w:spacing w:val="0"/>
          <w:position w:val="0"/>
          <w:sz w:val="24"/>
          <w:shd w:fill="auto" w:val="clear"/>
        </w:rPr>
      </w:pPr>
    </w:p>
    <w:p>
      <w:pPr>
        <w:spacing w:before="6" w:after="0" w:line="240"/>
        <w:ind w:right="0" w:left="0" w:firstLine="0"/>
        <w:jc w:val="left"/>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Module Coordinator:Dr Olu Adegbite</w:t>
      </w:r>
    </w:p>
    <w:p>
      <w:pPr>
        <w:spacing w:before="6" w:after="0" w:line="240"/>
        <w:ind w:right="0" w:left="0" w:firstLine="0"/>
        <w:jc w:val="left"/>
        <w:rPr>
          <w:rFonts w:ascii="Arial" w:hAnsi="Arial" w:cs="Arial" w:eastAsia="Arial"/>
          <w:b/>
          <w:color w:val="auto"/>
          <w:spacing w:val="0"/>
          <w:position w:val="0"/>
          <w:sz w:val="24"/>
          <w:shd w:fill="auto" w:val="clear"/>
        </w:rPr>
      </w:pPr>
    </w:p>
    <w:p>
      <w:pPr>
        <w:spacing w:before="6" w:after="0" w:line="240"/>
        <w:ind w:right="0" w:left="0" w:firstLine="0"/>
        <w:jc w:val="both"/>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Assignment Title:Comunity Engagement</w:t>
      </w: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Calibri" w:hAnsi="Calibri" w:cs="Calibri" w:eastAsia="Calibri"/>
          <w:color w:val="auto"/>
          <w:spacing w:val="0"/>
          <w:position w:val="0"/>
          <w:sz w:val="24"/>
          <w:shd w:fill="auto" w:val="clear"/>
        </w:rPr>
      </w:pPr>
    </w:p>
    <w:p>
      <w:pPr>
        <w:spacing w:before="0" w:after="160" w:line="360"/>
        <w:ind w:right="0" w:left="0" w:firstLine="0"/>
        <w:jc w:val="both"/>
        <w:rPr>
          <w:rFonts w:ascii="Calibri" w:hAnsi="Calibri" w:cs="Calibri" w:eastAsia="Calibri"/>
          <w:color w:val="auto"/>
          <w:spacing w:val="0"/>
          <w:position w:val="0"/>
          <w:sz w:val="24"/>
          <w:shd w:fill="auto" w:val="clear"/>
        </w:rPr>
      </w:pPr>
    </w:p>
    <w:p>
      <w:pPr>
        <w:spacing w:before="0" w:after="160" w:line="360"/>
        <w:ind w:right="0" w:left="0" w:firstLine="0"/>
        <w:jc w:val="both"/>
        <w:rPr>
          <w:rFonts w:ascii="Calibri" w:hAnsi="Calibri" w:cs="Calibri" w:eastAsia="Calibri"/>
          <w:color w:val="auto"/>
          <w:spacing w:val="0"/>
          <w:position w:val="0"/>
          <w:sz w:val="24"/>
          <w:shd w:fill="auto" w:val="clear"/>
        </w:rPr>
      </w:pPr>
    </w:p>
    <w:p>
      <w:pPr>
        <w:spacing w:before="0" w:after="160" w:line="360"/>
        <w:ind w:right="0" w:left="0" w:firstLine="0"/>
        <w:jc w:val="both"/>
        <w:rPr>
          <w:rFonts w:ascii="Calibri" w:hAnsi="Calibri" w:cs="Calibri" w:eastAsia="Calibri"/>
          <w:color w:val="auto"/>
          <w:spacing w:val="0"/>
          <w:position w:val="0"/>
          <w:sz w:val="24"/>
          <w:shd w:fill="auto" w:val="clear"/>
        </w:rPr>
      </w:pPr>
    </w:p>
    <w:p>
      <w:pPr>
        <w:spacing w:before="0" w:after="160" w:line="360"/>
        <w:ind w:right="0" w:left="0" w:firstLine="0"/>
        <w:jc w:val="both"/>
        <w:rPr>
          <w:rFonts w:ascii="Calibri" w:hAnsi="Calibri" w:cs="Calibri" w:eastAsia="Calibri"/>
          <w:color w:val="auto"/>
          <w:spacing w:val="0"/>
          <w:position w:val="0"/>
          <w:sz w:val="24"/>
          <w:shd w:fill="auto" w:val="clear"/>
        </w:rPr>
      </w:pPr>
    </w:p>
    <w:p>
      <w:pPr>
        <w:spacing w:before="0" w:after="160" w:line="360"/>
        <w:ind w:right="0" w:left="0" w:firstLine="0"/>
        <w:jc w:val="both"/>
        <w:rPr>
          <w:rFonts w:ascii="Calibri" w:hAnsi="Calibri" w:cs="Calibri" w:eastAsia="Calibri"/>
          <w:color w:val="auto"/>
          <w:spacing w:val="0"/>
          <w:position w:val="0"/>
          <w:sz w:val="24"/>
          <w:shd w:fill="auto" w:val="clear"/>
        </w:rPr>
      </w:pPr>
    </w:p>
    <w:p>
      <w:pPr>
        <w:spacing w:before="0" w:after="160" w:line="360"/>
        <w:ind w:right="0" w:left="0" w:firstLine="0"/>
        <w:jc w:val="both"/>
        <w:rPr>
          <w:rFonts w:ascii="Calibri" w:hAnsi="Calibri" w:cs="Calibri" w:eastAsia="Calibri"/>
          <w:color w:val="auto"/>
          <w:spacing w:val="0"/>
          <w:position w:val="0"/>
          <w:sz w:val="24"/>
          <w:shd w:fill="auto" w:val="clear"/>
        </w:rPr>
      </w:pPr>
    </w:p>
    <w:p>
      <w:pPr>
        <w:spacing w:before="0" w:after="160" w:line="360"/>
        <w:ind w:right="0" w:left="0" w:firstLine="0"/>
        <w:jc w:val="both"/>
        <w:rPr>
          <w:rFonts w:ascii="Calibri" w:hAnsi="Calibri" w:cs="Calibri" w:eastAsia="Calibri"/>
          <w:color w:val="auto"/>
          <w:spacing w:val="0"/>
          <w:position w:val="0"/>
          <w:sz w:val="24"/>
          <w:shd w:fill="auto" w:val="clear"/>
        </w:rPr>
      </w:pPr>
    </w:p>
    <w:p>
      <w:pPr>
        <w:spacing w:before="0" w:after="160" w:line="360"/>
        <w:ind w:right="0" w:left="0" w:firstLine="0"/>
        <w:jc w:val="both"/>
        <w:rPr>
          <w:rFonts w:ascii="Calibri" w:hAnsi="Calibri" w:cs="Calibri" w:eastAsia="Calibri"/>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b/>
          <w:color w:val="4472C4"/>
          <w:spacing w:val="0"/>
          <w:position w:val="0"/>
          <w:sz w:val="48"/>
          <w:shd w:fill="auto" w:val="clear"/>
        </w:rPr>
        <w:t xml:space="preserve">          Community Engagement </w:t>
      </w: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righ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 </w:t>
      </w:r>
    </w:p>
    <w:p>
      <w:pPr>
        <w:spacing w:before="0" w:after="160" w:line="360"/>
        <w:ind w:right="0" w:left="0" w:firstLine="0"/>
        <w:jc w:val="left"/>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Democratic society represents people’s opinions, values and visions because the sole purpose of an elected government is to serve the people who chose them at the first place. Although giving the best services is what being expected from a community, it is not often the real scenarios. A large system may sometime fail and unable to give the best facilities to its publics due to lack of planning, monitoring or dedication. And for this reason “community engagement” comes into the picture. Community engagement or involvement of common people into the local service is an extra ordinary outcome of modern democratic society. Community engagement refers to the activities of people by willingly for the shear improvement of local community by providing their opinions into discussions, participating in volunteer services, giving fast-response services during emergency (Inman and Schütze, 2010). Government or other organizations bring people together for building several community services such as community education, planned dialogue, direct service, deliberate research, institutional engagement etc. (McReynolds and Shields, 2015). These types of activities help a society to grow and develop further and function as a unit. People from different backgrounds come into a nest which helps policy makers to understand and decide the appropriate activities for their municipal. Efficient solution of any society related problem can be achieved through community engagement because common people’s point of view is involved in this program. </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Public programs not only help the government or decision making organization but also help the communities’ people individually. For example, development project which involve people has a primary objective of strengthening their workers’ skills and knowledge through the process. People who are being discriminated in the society by any means have many options to involve in important work through community engagement which will help them feel empowered and valuable by the system. Community engagement also creates a strong network among local community which is helpful for an efficient society. So, it can be said that ordinary people of a society are the direct beneficiaries of community engagement. By calling out for people’s help, government also give an impression that they feel that their citizens are the part and parcel of the system and. This is a method of getting people’s trust which can eventually be a factor for convincing people that government are doing great impactful work for strengthening the community. Another necessity of community engagement is keeping the society updated about best technological practices around the world. Both people and government can push themselves to reach the best standard of lifestyle by engaging in community development programs.</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Transferable skills are basic skills which can be performed by common people without stressing much training or instructions. Generally, these skills are easy to achieve and people of all professions can perform the task almost equivalently. Transferable skills may be useful in case switching jobs or fields of expertise because people expect that one candidate should do minimum task no matter what professions they come from. So, honing one’s transferable skills is quite important for staying ahead of the race. Generally, some basic skills like leadership, teamwork, communication, problem solving, adaptability, writing, listening, project management are considered as common transferable abilities (Denicolo and Reeves, 2013). Most of the transferable skills are connected with management such as directing a group of people efficiently would be logical expectation from any organizations.</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Control of any project is another skill which recruiters look for into the participants. Problem solving, writing, listening, critical thinking these are technical skills which can be useful in terms of strategic advancements. Another important skill which needs to be mastered in 21</w:t>
      </w:r>
      <w:r>
        <w:rPr>
          <w:rFonts w:ascii="Arial" w:hAnsi="Arial" w:cs="Arial" w:eastAsia="Arial"/>
          <w:color w:val="auto"/>
          <w:spacing w:val="0"/>
          <w:position w:val="0"/>
          <w:sz w:val="24"/>
          <w:shd w:fill="auto" w:val="clear"/>
          <w:vertAlign w:val="superscript"/>
        </w:rPr>
        <w:t xml:space="preserve">st</w:t>
      </w:r>
      <w:r>
        <w:rPr>
          <w:rFonts w:ascii="Arial" w:hAnsi="Arial" w:cs="Arial" w:eastAsia="Arial"/>
          <w:color w:val="auto"/>
          <w:spacing w:val="0"/>
          <w:position w:val="0"/>
          <w:sz w:val="24"/>
          <w:shd w:fill="auto" w:val="clear"/>
        </w:rPr>
        <w:t xml:space="preserve"> century is computer skill. Basic knowledge on operating electronic devices is considered as necessity in completing any kind of task. Creativity and attention of detail are required when people face challenging tasks (Assiter, 2017). In community engagement, transferable skills are one of the key factors to make the program successful. Government or institutions who design the social service programs keep in mind about the basic skills required for those particular programs. If the participants do not have sufficient common skills, then the engagement can eventually fail. Furthermore, lack of acquiring common skills among the people indicate that the community is unable to keep up with the rest of the world. There are some community engagements which require a team approach so eventually there should be a leader to guide the team into the expected outcome (Andersen, 2018). Skilled individuals who can operate computer, have analytical reasoning, problem solving abilities are required in community engagements like discussion program, policy making projects, municipal developments. Team works, adaptability, listening and communications are necessary attributes for establishing a welcoming environment in institutional community activities where networking will be developed. Community engagement requires self-motivation which is another must transferable skill to be considered. So, sufficient transferable skills are highly essential for successful community engagement of people. Several Governments encourage and take efficient steps to train people from every region for achieving minimum transferable skills and inspire them to implement these skills into real lives (Fink, 2013).</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given case is about Mr. Clark who has a fire-fighter group for providing service to people in need. They have saved 60 lives and attended around 2500 calls which is astonishing. Mr. Clark had taken initiative 10 years ago to form a group of fire-fighter in his community for ensuring the safety of the locality. Their engagement with community is through social services which is an on-call scheme and quick-response based program. Not only have they provided fire crisis solution but also medical assistances to the local authorities. They often get help from Yorkshire ambulance service for their swift response. During the covid-19 pandemic, they delivered almost four million PPE and Covid-test in east Yorkshire region. All of their social activities are associated with transferable skills. Mr. Clark has a leadership skill which is the key factor for performing so efficiently at Howdens Joinery. Mr. Clark’s leadership instinct took a decision in 10 years ago to form a group of firefighter for develops an on-call response team. The decision was inspired from an incident happened at Mr. Clark’s work place. And it is his leading skill that convinced others to work as a team. Another transferable skill has been noticed in this case is team work. In order to become a fast response team, the whole team need to be in sync or else it would not be so successful (Andrews, 2012). As they rescue people who are in danger, they need to be able to make quick decision with proper reasoning. So, they need good critical thinking abilities and decision-making skill as well. </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Rescuing people form dangerous situation requires great teamwork as well as dependency to each other. So they have belief each of the team member. Firefighters often deal with confused and scared people so they need a good command over communication and listening skills (Rowan, et al 2020). This team has saved many lives so it is safe to address that they are good in these skills. Their service is on-call basis so they need to use electronic devices efficiently. Motivation was another quality which can be considered in this case. They have worked over 10 years voluntarily by maintaining their professional life in balance which give a clear picture of dedication. They have also tried to influence people of other industry to form this kind of group so that people get more helps.</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Mr. Clark and his group have done inspiring services to the community. But there is still room for improvement. For example, they can form an official awareness group for letting people know about their system and influencing common public to form this kind of groups in their own locality. They have command over skills which are linked directly with people but they can build their technical transferable skills such as operating computers, writing, and technology literacy for more efficient outcomes. They have access to transportation by which they can deliver donated goods to the poor which will show their empathetic skill as well. They can work on their organizational skills in order to provide assistance to other groups of same vision (LaCount, Hartung, Shelton and Stevens, 2018). They can also involve with other community engagement programs for contributing more into the society.</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Community engagements are one of the key factors to judge the quality of citizens in a country. Citizens who involve in social programs are innovative and have transferable skills which are the poofs of their competence as a society. Transferable skills in not only required for community activities but also in professional life. Mr. Clark and his team of firefighters have accomplished inspirational examples by doing selfless community engagements. To function as a rescue unit, they have demonstrated lot of transferable skills such as leadership, teamwork, communication, decision-making, critical thinking, listening etc. But they can improve their work by doing some organizational activities. Achieving transferable skills like awareness, organizations, writing can help them grow more as a community program. Public expects to function their government to run properly and give their utmost effort for the community which can ensured by community engagement. Because community engagement gives a platform to people for speak up and it also works as a bridge between Government and civilians. People can be more involved in a community by doing social activities and they can raise their voice for the improvement of the community through community engagement.</w:t>
      </w:r>
    </w:p>
    <w:p>
      <w:pPr>
        <w:keepNext w:val="true"/>
        <w:keepLines w:val="true"/>
        <w:spacing w:before="240" w:after="0" w:line="360"/>
        <w:ind w:right="0" w:left="0" w:firstLine="0"/>
        <w:jc w:val="both"/>
        <w:rPr>
          <w:rFonts w:ascii="Arial" w:hAnsi="Arial" w:cs="Arial" w:eastAsia="Arial"/>
          <w:b/>
          <w:color w:val="auto"/>
          <w:spacing w:val="0"/>
          <w:position w:val="0"/>
          <w:sz w:val="24"/>
          <w:shd w:fill="auto" w:val="clear"/>
        </w:rPr>
      </w:pPr>
    </w:p>
    <w:p>
      <w:pPr>
        <w:spacing w:before="0" w:after="160" w:line="360"/>
        <w:ind w:right="0" w:left="0" w:firstLine="0"/>
        <w:jc w:val="left"/>
        <w:rPr>
          <w:rFonts w:ascii="Arial" w:hAnsi="Arial" w:cs="Arial" w:eastAsia="Arial"/>
          <w:color w:val="auto"/>
          <w:spacing w:val="0"/>
          <w:position w:val="0"/>
          <w:sz w:val="24"/>
          <w:shd w:fill="auto" w:val="clear"/>
        </w:rPr>
      </w:pPr>
    </w:p>
    <w:p>
      <w:pPr>
        <w:spacing w:before="0" w:after="160" w:line="360"/>
        <w:ind w:right="0" w:left="0" w:firstLine="0"/>
        <w:jc w:val="left"/>
        <w:rPr>
          <w:rFonts w:ascii="Arial" w:hAnsi="Arial" w:cs="Arial" w:eastAsia="Arial"/>
          <w:color w:val="auto"/>
          <w:spacing w:val="0"/>
          <w:position w:val="0"/>
          <w:sz w:val="24"/>
          <w:shd w:fill="auto" w:val="clear"/>
        </w:rPr>
      </w:pPr>
    </w:p>
    <w:p>
      <w:pPr>
        <w:spacing w:before="0" w:after="160" w:line="360"/>
        <w:ind w:right="0" w:left="0" w:firstLine="0"/>
        <w:jc w:val="left"/>
        <w:rPr>
          <w:rFonts w:ascii="Arial" w:hAnsi="Arial" w:cs="Arial" w:eastAsia="Arial"/>
          <w:color w:val="auto"/>
          <w:spacing w:val="0"/>
          <w:position w:val="0"/>
          <w:sz w:val="24"/>
          <w:shd w:fill="auto" w:val="clear"/>
        </w:rPr>
      </w:pPr>
    </w:p>
    <w:p>
      <w:pPr>
        <w:keepNext w:val="true"/>
        <w:keepLines w:val="true"/>
        <w:spacing w:before="240" w:after="0" w:line="360"/>
        <w:ind w:right="0" w:left="0" w:firstLine="0"/>
        <w:jc w:val="both"/>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References</w:t>
      </w:r>
    </w:p>
    <w:p>
      <w:pPr>
        <w:spacing w:before="0" w:after="160" w:line="360"/>
        <w:ind w:right="0" w:left="720" w:hanging="72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Andersen, J., (2018). Transferable Skills. In </w:t>
      </w:r>
      <w:r>
        <w:rPr>
          <w:rFonts w:ascii="Arial" w:hAnsi="Arial" w:cs="Arial" w:eastAsia="Arial"/>
          <w:i/>
          <w:color w:val="auto"/>
          <w:spacing w:val="0"/>
          <w:position w:val="0"/>
          <w:sz w:val="24"/>
          <w:shd w:fill="auto" w:val="clear"/>
        </w:rPr>
        <w:t xml:space="preserve">Research Management: Europe and Beyond</w:t>
      </w:r>
      <w:r>
        <w:rPr>
          <w:rFonts w:ascii="Arial" w:hAnsi="Arial" w:cs="Arial" w:eastAsia="Arial"/>
          <w:color w:val="auto"/>
          <w:spacing w:val="0"/>
          <w:position w:val="0"/>
          <w:sz w:val="24"/>
          <w:shd w:fill="auto" w:val="clear"/>
        </w:rPr>
        <w:t xml:space="preserve"> (pp. 319-332). Elsevier.</w:t>
      </w:r>
    </w:p>
    <w:p>
      <w:pPr>
        <w:spacing w:before="0" w:after="160" w:line="360"/>
        <w:ind w:right="0" w:left="720" w:hanging="72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Andrews, D.S., (2012). Leadership and team effectiveness.</w:t>
      </w:r>
    </w:p>
    <w:p>
      <w:pPr>
        <w:spacing w:before="0" w:after="160" w:line="360"/>
        <w:ind w:right="0" w:left="720" w:hanging="72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Assiter, A., (2017). </w:t>
      </w:r>
      <w:r>
        <w:rPr>
          <w:rFonts w:ascii="Arial" w:hAnsi="Arial" w:cs="Arial" w:eastAsia="Arial"/>
          <w:i/>
          <w:color w:val="auto"/>
          <w:spacing w:val="0"/>
          <w:position w:val="0"/>
          <w:sz w:val="24"/>
          <w:shd w:fill="auto" w:val="clear"/>
        </w:rPr>
        <w:t xml:space="preserve">Transferable skills in higher education</w:t>
      </w:r>
      <w:r>
        <w:rPr>
          <w:rFonts w:ascii="Arial" w:hAnsi="Arial" w:cs="Arial" w:eastAsia="Arial"/>
          <w:color w:val="auto"/>
          <w:spacing w:val="0"/>
          <w:position w:val="0"/>
          <w:sz w:val="24"/>
          <w:shd w:fill="auto" w:val="clear"/>
        </w:rPr>
        <w:t xml:space="preserve">. Routledge.</w:t>
      </w:r>
    </w:p>
    <w:p>
      <w:pPr>
        <w:spacing w:before="0" w:after="160" w:line="360"/>
        <w:ind w:right="0" w:left="720" w:hanging="72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Denicolo, P. and Reeves, J., (2013). </w:t>
      </w:r>
      <w:r>
        <w:rPr>
          <w:rFonts w:ascii="Arial" w:hAnsi="Arial" w:cs="Arial" w:eastAsia="Arial"/>
          <w:i/>
          <w:color w:val="auto"/>
          <w:spacing w:val="0"/>
          <w:position w:val="0"/>
          <w:sz w:val="24"/>
          <w:shd w:fill="auto" w:val="clear"/>
        </w:rPr>
        <w:t xml:space="preserve">Developing transferable skills: enhancing your research and employment potential</w:t>
      </w:r>
      <w:r>
        <w:rPr>
          <w:rFonts w:ascii="Arial" w:hAnsi="Arial" w:cs="Arial" w:eastAsia="Arial"/>
          <w:color w:val="auto"/>
          <w:spacing w:val="0"/>
          <w:position w:val="0"/>
          <w:sz w:val="24"/>
          <w:shd w:fill="auto" w:val="clear"/>
        </w:rPr>
        <w:t xml:space="preserve">. Sage.</w:t>
      </w:r>
    </w:p>
    <w:p>
      <w:pPr>
        <w:spacing w:before="0" w:after="160" w:line="360"/>
        <w:ind w:right="0" w:left="720" w:hanging="72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Fink, L.D., (2013). </w:t>
      </w:r>
      <w:r>
        <w:rPr>
          <w:rFonts w:ascii="Arial" w:hAnsi="Arial" w:cs="Arial" w:eastAsia="Arial"/>
          <w:i/>
          <w:color w:val="auto"/>
          <w:spacing w:val="0"/>
          <w:position w:val="0"/>
          <w:sz w:val="24"/>
          <w:shd w:fill="auto" w:val="clear"/>
        </w:rPr>
        <w:t xml:space="preserve">Creating significant learning experiences: An integrated approach to designing college courses</w:t>
      </w:r>
      <w:r>
        <w:rPr>
          <w:rFonts w:ascii="Arial" w:hAnsi="Arial" w:cs="Arial" w:eastAsia="Arial"/>
          <w:color w:val="auto"/>
          <w:spacing w:val="0"/>
          <w:position w:val="0"/>
          <w:sz w:val="24"/>
          <w:shd w:fill="auto" w:val="clear"/>
        </w:rPr>
        <w:t xml:space="preserve">. John Wiley &amp; Sons.</w:t>
      </w:r>
    </w:p>
    <w:p>
      <w:pPr>
        <w:spacing w:before="0" w:after="160" w:line="360"/>
        <w:ind w:right="0" w:left="720" w:hanging="72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Inman, P. and Schütze, H.G. eds., (2010). </w:t>
      </w:r>
      <w:r>
        <w:rPr>
          <w:rFonts w:ascii="Arial" w:hAnsi="Arial" w:cs="Arial" w:eastAsia="Arial"/>
          <w:i/>
          <w:color w:val="auto"/>
          <w:spacing w:val="0"/>
          <w:position w:val="0"/>
          <w:sz w:val="24"/>
          <w:shd w:fill="auto" w:val="clear"/>
        </w:rPr>
        <w:t xml:space="preserve">The community engagement and service mission of universities</w:t>
      </w:r>
      <w:r>
        <w:rPr>
          <w:rFonts w:ascii="Arial" w:hAnsi="Arial" w:cs="Arial" w:eastAsia="Arial"/>
          <w:color w:val="auto"/>
          <w:spacing w:val="0"/>
          <w:position w:val="0"/>
          <w:sz w:val="24"/>
          <w:shd w:fill="auto" w:val="clear"/>
        </w:rPr>
        <w:t xml:space="preserve">. Leicester: NIACE.</w:t>
      </w:r>
    </w:p>
    <w:p>
      <w:pPr>
        <w:spacing w:before="0" w:after="160" w:line="360"/>
        <w:ind w:right="0" w:left="720" w:hanging="72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LaCount, P.A., Hartung, C.M., Shelton, C.R. and Stevens, A.E., (2018). Efficacy of an organizational skills intervention for college students with ADHD symptomatology and academic difficulties. </w:t>
      </w:r>
      <w:r>
        <w:rPr>
          <w:rFonts w:ascii="Arial" w:hAnsi="Arial" w:cs="Arial" w:eastAsia="Arial"/>
          <w:i/>
          <w:color w:val="auto"/>
          <w:spacing w:val="0"/>
          <w:position w:val="0"/>
          <w:sz w:val="24"/>
          <w:shd w:fill="auto" w:val="clear"/>
        </w:rPr>
        <w:t xml:space="preserve">Journal of attention disorders</w:t>
      </w:r>
      <w:r>
        <w:rPr>
          <w:rFonts w:ascii="Arial" w:hAnsi="Arial" w:cs="Arial" w:eastAsia="Arial"/>
          <w:color w:val="auto"/>
          <w:spacing w:val="0"/>
          <w:position w:val="0"/>
          <w:sz w:val="24"/>
          <w:shd w:fill="auto" w:val="clear"/>
        </w:rPr>
        <w:t xml:space="preserve">, </w:t>
      </w:r>
      <w:r>
        <w:rPr>
          <w:rFonts w:ascii="Arial" w:hAnsi="Arial" w:cs="Arial" w:eastAsia="Arial"/>
          <w:i/>
          <w:color w:val="auto"/>
          <w:spacing w:val="0"/>
          <w:position w:val="0"/>
          <w:sz w:val="24"/>
          <w:shd w:fill="auto" w:val="clear"/>
        </w:rPr>
        <w:t xml:space="preserve">22</w:t>
      </w:r>
      <w:r>
        <w:rPr>
          <w:rFonts w:ascii="Arial" w:hAnsi="Arial" w:cs="Arial" w:eastAsia="Arial"/>
          <w:color w:val="auto"/>
          <w:spacing w:val="0"/>
          <w:position w:val="0"/>
          <w:sz w:val="24"/>
          <w:shd w:fill="auto" w:val="clear"/>
        </w:rPr>
        <w:t xml:space="preserve">(4), pp.356-367.</w:t>
      </w:r>
    </w:p>
    <w:p>
      <w:pPr>
        <w:spacing w:before="0" w:after="160" w:line="360"/>
        <w:ind w:right="0" w:left="720" w:hanging="72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McReynolds, M. and Shields, E., (2015). </w:t>
      </w:r>
      <w:r>
        <w:rPr>
          <w:rFonts w:ascii="Arial" w:hAnsi="Arial" w:cs="Arial" w:eastAsia="Arial"/>
          <w:i/>
          <w:color w:val="auto"/>
          <w:spacing w:val="0"/>
          <w:position w:val="0"/>
          <w:sz w:val="24"/>
          <w:shd w:fill="auto" w:val="clear"/>
        </w:rPr>
        <w:t xml:space="preserve">Diving deep in community engagement: A model for professional development</w:t>
      </w:r>
      <w:r>
        <w:rPr>
          <w:rFonts w:ascii="Arial" w:hAnsi="Arial" w:cs="Arial" w:eastAsia="Arial"/>
          <w:color w:val="auto"/>
          <w:spacing w:val="0"/>
          <w:position w:val="0"/>
          <w:sz w:val="24"/>
          <w:shd w:fill="auto" w:val="clear"/>
        </w:rPr>
        <w:t xml:space="preserve">. Lulu. com.</w:t>
      </w:r>
    </w:p>
    <w:p>
      <w:pPr>
        <w:spacing w:before="0" w:after="160" w:line="360"/>
        <w:ind w:right="0" w:left="720" w:hanging="72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Rowan, K.E., Botan, C.H., Kreps, G.L., Samoilenko, S. and Farnsworth, K., (2020). Risk communication education for local emergency managers: Using the CAUSE model for research, education, and outreach. In </w:t>
      </w:r>
      <w:r>
        <w:rPr>
          <w:rFonts w:ascii="Arial" w:hAnsi="Arial" w:cs="Arial" w:eastAsia="Arial"/>
          <w:i/>
          <w:color w:val="auto"/>
          <w:spacing w:val="0"/>
          <w:position w:val="0"/>
          <w:sz w:val="24"/>
          <w:shd w:fill="auto" w:val="clear"/>
        </w:rPr>
        <w:t xml:space="preserve">Handbook of risk and crisis communication</w:t>
      </w:r>
      <w:r>
        <w:rPr>
          <w:rFonts w:ascii="Arial" w:hAnsi="Arial" w:cs="Arial" w:eastAsia="Arial"/>
          <w:color w:val="auto"/>
          <w:spacing w:val="0"/>
          <w:position w:val="0"/>
          <w:sz w:val="24"/>
          <w:shd w:fill="auto" w:val="clear"/>
        </w:rPr>
        <w:t xml:space="preserve"> (pp. 168-191). Routledge.</w:t>
      </w: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embeddings/oleObject0.bin" Id="docRId0" Type="http://schemas.openxmlformats.org/officeDocument/2006/relationships/oleObject" /><Relationship Target="media/image0.wmf" Id="docRId1" Type="http://schemas.openxmlformats.org/officeDocument/2006/relationships/image" /><Relationship Target="numbering.xml" Id="docRId2" Type="http://schemas.openxmlformats.org/officeDocument/2006/relationships/numbering" /><Relationship Target="styles.xml" Id="docRId3" Type="http://schemas.openxmlformats.org/officeDocument/2006/relationships/styles" /></Relationships>
</file>