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18021D91" w14:textId="77777777" w:rsidR="009E19AB" w:rsidRPr="00AD25EE" w:rsidRDefault="009E19AB" w:rsidP="009E19AB">
      <w:pPr>
        <w:rPr>
          <w:rFonts w:ascii="Arial" w:hAnsi="Arial" w:cs="Arial"/>
          <w:b/>
          <w:bCs/>
          <w:sz w:val="24"/>
          <w:szCs w:val="24"/>
        </w:rPr>
      </w:pPr>
      <w:r w:rsidRPr="00AD25EE">
        <w:rPr>
          <w:rFonts w:ascii="Arial" w:hAnsi="Arial" w:cs="Arial"/>
          <w:b/>
          <w:bCs/>
          <w:sz w:val="24"/>
          <w:szCs w:val="24"/>
        </w:rPr>
        <w:t>ACCA5034</w:t>
      </w:r>
    </w:p>
    <w:p w14:paraId="243503F7" w14:textId="77777777" w:rsidR="009E19AB" w:rsidRPr="00AD25EE" w:rsidRDefault="009E19AB" w:rsidP="009E19AB">
      <w:pPr>
        <w:rPr>
          <w:rFonts w:ascii="Arial" w:hAnsi="Arial" w:cs="Arial"/>
          <w:b/>
          <w:bCs/>
          <w:sz w:val="24"/>
          <w:szCs w:val="24"/>
        </w:rPr>
      </w:pPr>
    </w:p>
    <w:p w14:paraId="20E5EEBA" w14:textId="77777777" w:rsidR="009E19AB" w:rsidRPr="00AD25EE" w:rsidRDefault="009E19AB" w:rsidP="009E19AB">
      <w:pPr>
        <w:spacing w:before="6pt" w:after="6pt"/>
        <w:rPr>
          <w:rFonts w:ascii="Arial" w:hAnsi="Arial" w:cs="Arial"/>
          <w:b/>
          <w:sz w:val="24"/>
          <w:szCs w:val="24"/>
        </w:rPr>
      </w:pPr>
      <w:r w:rsidRPr="00AD25EE">
        <w:rPr>
          <w:rFonts w:ascii="Arial" w:hAnsi="Arial" w:cs="Arial"/>
          <w:b/>
          <w:sz w:val="24"/>
          <w:szCs w:val="24"/>
        </w:rPr>
        <w:t>Data Security and Compliance</w:t>
      </w:r>
    </w:p>
    <w:p w14:paraId="300420CD" w14:textId="77777777" w:rsidR="009E19AB" w:rsidRPr="00AD25EE" w:rsidRDefault="009E19AB" w:rsidP="009E19AB">
      <w:pPr>
        <w:spacing w:before="6pt" w:after="6pt"/>
        <w:rPr>
          <w:rFonts w:ascii="Arial" w:hAnsi="Arial" w:cs="Arial"/>
          <w:b/>
          <w:sz w:val="24"/>
          <w:szCs w:val="24"/>
        </w:rPr>
      </w:pPr>
    </w:p>
    <w:p w14:paraId="296B1A09" w14:textId="77777777" w:rsidR="009E19AB" w:rsidRPr="00AD25EE" w:rsidRDefault="009E19AB" w:rsidP="009E19AB">
      <w:pPr>
        <w:spacing w:before="6pt" w:after="6pt"/>
        <w:rPr>
          <w:rFonts w:ascii="Arial" w:hAnsi="Arial" w:cs="Arial"/>
          <w:b/>
          <w:sz w:val="24"/>
          <w:szCs w:val="24"/>
        </w:rPr>
      </w:pPr>
      <w:r w:rsidRPr="00AD25EE">
        <w:rPr>
          <w:rFonts w:ascii="Arial" w:hAnsi="Arial" w:cs="Arial"/>
          <w:b/>
          <w:sz w:val="24"/>
          <w:szCs w:val="24"/>
        </w:rPr>
        <w:t>Research and case scenario in Data Security and Compliance</w:t>
      </w:r>
    </w:p>
    <w:p w14:paraId="0CD2A2A4" w14:textId="77777777" w:rsidR="009E19AB" w:rsidRPr="00AD25EE" w:rsidRDefault="009E19AB" w:rsidP="009E19AB">
      <w:pPr>
        <w:rPr>
          <w:rFonts w:ascii="Arial" w:hAnsi="Arial" w:cs="Arial"/>
          <w:b/>
          <w:bCs/>
          <w:sz w:val="24"/>
          <w:szCs w:val="24"/>
        </w:rPr>
      </w:pPr>
    </w:p>
    <w:p w14:paraId="07B6191D" w14:textId="77777777" w:rsidR="009E19AB" w:rsidRPr="00AD25EE" w:rsidRDefault="009E19AB" w:rsidP="009E19AB">
      <w:pPr>
        <w:rPr>
          <w:rFonts w:ascii="Arial" w:hAnsi="Arial" w:cs="Arial"/>
          <w:b/>
          <w:bCs/>
          <w:sz w:val="24"/>
          <w:szCs w:val="24"/>
        </w:rPr>
      </w:pPr>
    </w:p>
    <w:p w14:paraId="6FEE3577" w14:textId="77777777" w:rsidR="009E19AB" w:rsidRPr="00AD25EE" w:rsidRDefault="009E19AB" w:rsidP="009E19AB">
      <w:pPr>
        <w:rPr>
          <w:rFonts w:ascii="Arial" w:hAnsi="Arial" w:cs="Arial"/>
          <w:b/>
          <w:bCs/>
          <w:sz w:val="24"/>
          <w:szCs w:val="24"/>
        </w:rPr>
      </w:pPr>
      <w:r w:rsidRPr="00AD25EE">
        <w:rPr>
          <w:rFonts w:ascii="Arial" w:hAnsi="Arial" w:cs="Arial"/>
          <w:b/>
          <w:bCs/>
          <w:sz w:val="24"/>
          <w:szCs w:val="24"/>
        </w:rPr>
        <w:t xml:space="preserve">Name: </w:t>
      </w:r>
    </w:p>
    <w:p w14:paraId="2085FE75" w14:textId="77777777" w:rsidR="009E19AB" w:rsidRPr="00AD25EE" w:rsidRDefault="009E19AB" w:rsidP="009E19AB">
      <w:pPr>
        <w:rPr>
          <w:rFonts w:ascii="Arial" w:hAnsi="Arial" w:cs="Arial"/>
          <w:b/>
          <w:bCs/>
          <w:sz w:val="24"/>
          <w:szCs w:val="24"/>
        </w:rPr>
      </w:pPr>
      <w:r w:rsidRPr="00AD25EE">
        <w:rPr>
          <w:rFonts w:ascii="Arial" w:hAnsi="Arial" w:cs="Arial"/>
          <w:b/>
          <w:bCs/>
          <w:sz w:val="24"/>
          <w:szCs w:val="24"/>
        </w:rPr>
        <w:t>Radu Cristian Boros</w:t>
      </w:r>
    </w:p>
    <w:p w14:paraId="4F7F9B74" w14:textId="77777777" w:rsidR="009E19AB" w:rsidRPr="00AD25EE" w:rsidRDefault="009E19AB" w:rsidP="009E19AB">
      <w:pPr>
        <w:rPr>
          <w:rFonts w:ascii="Arial" w:hAnsi="Arial" w:cs="Arial"/>
          <w:b/>
          <w:bCs/>
          <w:sz w:val="24"/>
          <w:szCs w:val="24"/>
        </w:rPr>
      </w:pPr>
    </w:p>
    <w:p w14:paraId="6D7B9FE2" w14:textId="77777777" w:rsidR="009E19AB" w:rsidRPr="00AD25EE" w:rsidRDefault="009E19AB" w:rsidP="009E19AB">
      <w:pPr>
        <w:rPr>
          <w:rFonts w:ascii="Arial" w:hAnsi="Arial" w:cs="Arial"/>
          <w:b/>
          <w:bCs/>
          <w:sz w:val="24"/>
          <w:szCs w:val="24"/>
        </w:rPr>
      </w:pPr>
      <w:r w:rsidRPr="00AD25EE">
        <w:rPr>
          <w:rFonts w:ascii="Arial" w:hAnsi="Arial" w:cs="Arial"/>
          <w:b/>
          <w:bCs/>
          <w:sz w:val="24"/>
          <w:szCs w:val="24"/>
        </w:rPr>
        <w:t>ID:</w:t>
      </w:r>
    </w:p>
    <w:p w14:paraId="3AB18CC6" w14:textId="77777777" w:rsidR="009E19AB" w:rsidRPr="00AD25EE" w:rsidRDefault="009E19AB" w:rsidP="009E19AB">
      <w:pPr>
        <w:rPr>
          <w:rFonts w:ascii="Arial" w:hAnsi="Arial" w:cs="Arial"/>
          <w:b/>
          <w:bCs/>
          <w:sz w:val="24"/>
          <w:szCs w:val="24"/>
        </w:rPr>
      </w:pPr>
      <w:r w:rsidRPr="00AD25EE">
        <w:rPr>
          <w:rFonts w:ascii="Arial" w:hAnsi="Arial" w:cs="Arial"/>
          <w:b/>
          <w:bCs/>
          <w:sz w:val="24"/>
          <w:szCs w:val="24"/>
        </w:rPr>
        <w:t>2319948</w:t>
      </w:r>
    </w:p>
    <w:p w14:paraId="48726285" w14:textId="77777777" w:rsidR="009E19AB" w:rsidRPr="00AD25EE" w:rsidRDefault="009E19AB" w:rsidP="009E19AB">
      <w:pPr>
        <w:rPr>
          <w:rFonts w:ascii="Arial" w:hAnsi="Arial" w:cs="Arial"/>
          <w:b/>
          <w:bCs/>
          <w:sz w:val="24"/>
          <w:szCs w:val="24"/>
        </w:rPr>
      </w:pPr>
    </w:p>
    <w:p w14:paraId="673A52F1" w14:textId="77777777" w:rsidR="009E19AB" w:rsidRPr="00AD25EE" w:rsidRDefault="009E19AB" w:rsidP="009E19AB">
      <w:pPr>
        <w:spacing w:before="6pt" w:after="6pt"/>
        <w:rPr>
          <w:rFonts w:ascii="Arial" w:hAnsi="Arial" w:cs="Arial"/>
          <w:sz w:val="24"/>
          <w:szCs w:val="24"/>
        </w:rPr>
      </w:pPr>
      <w:r w:rsidRPr="00AD25EE">
        <w:rPr>
          <w:rFonts w:ascii="Arial" w:hAnsi="Arial" w:cs="Arial"/>
          <w:b/>
          <w:bCs/>
          <w:sz w:val="24"/>
          <w:szCs w:val="24"/>
        </w:rPr>
        <w:t xml:space="preserve">Module Tutor: Dr Mohamed Ben Farah </w:t>
      </w:r>
    </w:p>
    <w:p w14:paraId="57F5FD49" w14:textId="77777777" w:rsidR="009E19AB" w:rsidRPr="00AD25EE" w:rsidRDefault="009E19AB">
      <w:pPr>
        <w:pStyle w:val="Heading1"/>
        <w:rPr>
          <w:rFonts w:ascii="Arial" w:hAnsi="Arial" w:cs="Arial"/>
          <w:sz w:val="24"/>
          <w:szCs w:val="24"/>
        </w:rPr>
      </w:pPr>
    </w:p>
    <w:p w14:paraId="725B9619" w14:textId="1D5090D9" w:rsidR="009E19AB" w:rsidRPr="00AD25EE" w:rsidRDefault="009E19AB" w:rsidP="009E19AB">
      <w:pPr>
        <w:pStyle w:val="Heading1"/>
        <w:rPr>
          <w:rFonts w:ascii="Arial" w:hAnsi="Arial" w:cs="Arial"/>
          <w:b/>
          <w:bCs/>
          <w:sz w:val="24"/>
          <w:szCs w:val="24"/>
        </w:rPr>
      </w:pPr>
      <w:r w:rsidRPr="00AD25EE">
        <w:rPr>
          <w:rFonts w:ascii="Arial" w:hAnsi="Arial" w:cs="Arial"/>
          <w:b/>
          <w:bCs/>
          <w:sz w:val="24"/>
          <w:szCs w:val="24"/>
        </w:rPr>
        <w:t>TASK 1</w:t>
      </w:r>
    </w:p>
    <w:p w14:paraId="3C00445B" w14:textId="77777777" w:rsidR="009E19AB" w:rsidRPr="00AD25EE" w:rsidRDefault="009E19AB" w:rsidP="009E19AB">
      <w:pPr>
        <w:rPr>
          <w:rFonts w:ascii="Arial" w:hAnsi="Arial" w:cs="Arial"/>
          <w:b/>
          <w:bCs/>
          <w:sz w:val="24"/>
          <w:szCs w:val="24"/>
        </w:rPr>
      </w:pPr>
      <w:r w:rsidRPr="00AD25EE">
        <w:rPr>
          <w:rFonts w:ascii="Arial" w:hAnsi="Arial" w:cs="Arial"/>
          <w:b/>
          <w:bCs/>
          <w:sz w:val="24"/>
          <w:szCs w:val="24"/>
        </w:rPr>
        <w:t>Zero Trust Architecture: Principles, Implementation Challenges, and Comparative Security Effectiveness</w:t>
      </w:r>
    </w:p>
    <w:p w14:paraId="7AFAA25F" w14:textId="77777777" w:rsidR="00D7522C" w:rsidRPr="00AD25EE" w:rsidRDefault="00D7522C" w:rsidP="009E19AB">
      <w:pPr>
        <w:pStyle w:val="Heading1"/>
        <w:jc w:val="both"/>
        <w:rPr>
          <w:rFonts w:ascii="Arial" w:hAnsi="Arial" w:cs="Arial"/>
          <w:sz w:val="24"/>
          <w:szCs w:val="24"/>
        </w:rPr>
      </w:pPr>
    </w:p>
    <w:p w14:paraId="1F960E65" w14:textId="75CA0A81" w:rsidR="009E19AB" w:rsidRPr="00AD25EE" w:rsidRDefault="009E19AB" w:rsidP="009E19AB">
      <w:pPr>
        <w:rPr>
          <w:rFonts w:ascii="Arial" w:hAnsi="Arial" w:cs="Arial"/>
          <w:sz w:val="24"/>
          <w:szCs w:val="24"/>
        </w:rPr>
        <w:sectPr w:rsidR="009E19AB" w:rsidRPr="00AD25EE" w:rsidSect="003B4E04">
          <w:footerReference w:type="first" r:id="rId8"/>
          <w:pgSz w:w="595.30pt" w:h="841.90pt" w:code="9"/>
          <w:pgMar w:top="27pt" w:right="44.65pt" w:bottom="72pt" w:left="44.65pt" w:header="36pt" w:footer="36pt" w:gutter="0pt"/>
          <w:cols w:space="36pt"/>
          <w:titlePg/>
          <w:docGrid w:linePitch="360"/>
        </w:sectPr>
      </w:pPr>
    </w:p>
    <w:p w14:paraId="0316535E" w14:textId="77777777" w:rsidR="009F1D79" w:rsidRPr="00AD25EE" w:rsidRDefault="009F1D79" w:rsidP="009E19AB">
      <w:pPr>
        <w:jc w:val="both"/>
        <w:rPr>
          <w:rFonts w:ascii="Arial" w:hAnsi="Arial" w:cs="Arial"/>
          <w:sz w:val="24"/>
          <w:szCs w:val="24"/>
        </w:rPr>
        <w:sectPr w:rsidR="009F1D79" w:rsidRPr="00AD25EE" w:rsidSect="003B4E04">
          <w:type w:val="continuous"/>
          <w:pgSz w:w="595.30pt" w:h="841.90pt" w:code="9"/>
          <w:pgMar w:top="22.50pt" w:right="44.65pt" w:bottom="72pt" w:left="44.65pt" w:header="36pt" w:footer="36pt" w:gutter="0pt"/>
          <w:cols w:num="3" w:space="36pt"/>
          <w:docGrid w:linePitch="360"/>
        </w:sectPr>
      </w:pPr>
    </w:p>
    <w:p w14:paraId="0A88E65D" w14:textId="36D192F3" w:rsidR="009303D9" w:rsidRPr="00AD25EE" w:rsidRDefault="009303D9" w:rsidP="009E19AB">
      <w:pPr>
        <w:jc w:val="both"/>
        <w:rPr>
          <w:rFonts w:ascii="Arial" w:hAnsi="Arial" w:cs="Arial"/>
          <w:sz w:val="24"/>
          <w:szCs w:val="24"/>
        </w:rPr>
        <w:sectPr w:rsidR="009303D9" w:rsidRPr="00AD25EE" w:rsidSect="003B4E04">
          <w:type w:val="continuous"/>
          <w:pgSz w:w="595.30pt" w:h="841.90pt" w:code="9"/>
          <w:pgMar w:top="22.50pt" w:right="44.65pt" w:bottom="72pt" w:left="44.65pt" w:header="36pt" w:footer="36pt" w:gutter="0pt"/>
          <w:cols w:num="3" w:space="36pt"/>
          <w:docGrid w:linePitch="360"/>
        </w:sectPr>
      </w:pPr>
    </w:p>
    <w:p w14:paraId="55492553" w14:textId="77777777" w:rsidR="009E19AB" w:rsidRPr="00AD25EE" w:rsidRDefault="009E19AB" w:rsidP="009E19AB">
      <w:pPr>
        <w:jc w:val="both"/>
        <w:rPr>
          <w:rFonts w:ascii="Arial" w:hAnsi="Arial" w:cs="Arial"/>
          <w:sz w:val="24"/>
          <w:szCs w:val="24"/>
        </w:rPr>
      </w:pPr>
    </w:p>
    <w:p w14:paraId="1284A970" w14:textId="547EFB3E" w:rsidR="009E19AB" w:rsidRPr="00AD25EE" w:rsidRDefault="009E19AB" w:rsidP="009E19AB">
      <w:pPr>
        <w:pStyle w:val="Heading1"/>
        <w:jc w:val="both"/>
        <w:rPr>
          <w:rFonts w:ascii="Arial" w:hAnsi="Arial" w:cs="Arial"/>
          <w:b/>
          <w:bCs/>
          <w:sz w:val="24"/>
          <w:szCs w:val="24"/>
        </w:rPr>
      </w:pPr>
      <w:r w:rsidRPr="00AD25EE">
        <w:rPr>
          <w:rFonts w:ascii="Arial" w:hAnsi="Arial" w:cs="Arial"/>
          <w:b/>
          <w:bCs/>
          <w:sz w:val="24"/>
          <w:szCs w:val="24"/>
        </w:rPr>
        <w:t>Abstract</w:t>
      </w:r>
    </w:p>
    <w:p w14:paraId="3FD2F566" w14:textId="77777777" w:rsidR="009E19AB" w:rsidRPr="00AD25EE" w:rsidRDefault="009E19AB" w:rsidP="009E19AB">
      <w:pPr>
        <w:jc w:val="both"/>
        <w:rPr>
          <w:rFonts w:ascii="Arial" w:hAnsi="Arial" w:cs="Arial"/>
          <w:sz w:val="24"/>
          <w:szCs w:val="24"/>
        </w:rPr>
      </w:pPr>
      <w:r w:rsidRPr="00AD25EE">
        <w:rPr>
          <w:rFonts w:ascii="Arial" w:hAnsi="Arial" w:cs="Arial"/>
          <w:sz w:val="24"/>
          <w:szCs w:val="24"/>
        </w:rPr>
        <w:t>Cloud adoption, mobile computing, and hybrid work have reshaped enterprise IT and expanded the cybersecurity threat landscape. Conventional perimeter-based security assumes that users and devices are trustworthy once they enter the internal network, an assumption that is increasingly unsafe in distributed environments. Zero Trust Architecture (ZTA), defined by the National Institute of Standards and Technology (NIST), removes implicit trust and requires continuous verification for every access request, regardless of where it originates [1]. This report traces the shift from perimeter-focused models to Zero Trust, reviews contemporary threats such as malware, ransomware, and credential-based attacks, and evaluates the principles, components, and strategic implications of ZTA. Overall, the analysis indicates that Zero Trust can strengthen containment and resilience, but it also introduces notable operational complexity and governance demands.</w:t>
      </w:r>
    </w:p>
    <w:p w14:paraId="25BF880C" w14:textId="77777777" w:rsidR="009E19AB" w:rsidRPr="00AD25EE" w:rsidRDefault="009E19AB" w:rsidP="009E19AB">
      <w:pPr>
        <w:jc w:val="both"/>
        <w:rPr>
          <w:rFonts w:ascii="Arial" w:hAnsi="Arial" w:cs="Arial"/>
          <w:sz w:val="24"/>
          <w:szCs w:val="24"/>
        </w:rPr>
      </w:pPr>
    </w:p>
    <w:p w14:paraId="527A136F" w14:textId="1194C9F5" w:rsidR="00C12482" w:rsidRPr="00AD25EE" w:rsidRDefault="00C12482" w:rsidP="009E19AB">
      <w:pPr>
        <w:pStyle w:val="Heading1"/>
        <w:numPr>
          <w:ilvl w:val="0"/>
          <w:numId w:val="4"/>
        </w:numPr>
        <w:jc w:val="both"/>
        <w:rPr>
          <w:rFonts w:ascii="Arial" w:hAnsi="Arial" w:cs="Arial"/>
          <w:b/>
          <w:bCs/>
          <w:sz w:val="24"/>
          <w:szCs w:val="24"/>
        </w:rPr>
      </w:pPr>
      <w:r w:rsidRPr="00AD25EE">
        <w:rPr>
          <w:rFonts w:ascii="Arial" w:hAnsi="Arial" w:cs="Arial"/>
          <w:b/>
          <w:bCs/>
          <w:sz w:val="24"/>
          <w:szCs w:val="24"/>
        </w:rPr>
        <w:t>Introduction</w:t>
      </w:r>
    </w:p>
    <w:p w14:paraId="2BE90F9D" w14:textId="77777777" w:rsidR="00C12482" w:rsidRPr="00AD25EE" w:rsidRDefault="00C12482" w:rsidP="009E19AB">
      <w:pPr>
        <w:jc w:val="both"/>
        <w:rPr>
          <w:rFonts w:ascii="Arial" w:hAnsi="Arial" w:cs="Arial"/>
          <w:sz w:val="24"/>
          <w:szCs w:val="24"/>
        </w:rPr>
      </w:pPr>
      <w:r w:rsidRPr="00AD25EE">
        <w:rPr>
          <w:rFonts w:ascii="Arial" w:hAnsi="Arial" w:cs="Arial"/>
          <w:sz w:val="24"/>
          <w:szCs w:val="24"/>
        </w:rPr>
        <w:t>Enterprise environments have become more distributed due to cloud services, mobile access, and hybrid working patterns. Security models designed for centralized infrastructures are therefore less effective, as the network boundary is no longer a reliable control point. NIST defines Zero Trust Architecture as a model that eliminates implicit trust and enforces continuous authentication and authorization for each access request, irrespective of network location [1].</w:t>
      </w:r>
    </w:p>
    <w:p w14:paraId="2708CD48" w14:textId="77777777" w:rsidR="00C12482" w:rsidRPr="00AD25EE" w:rsidRDefault="00C12482" w:rsidP="009E19AB">
      <w:pPr>
        <w:jc w:val="both"/>
        <w:rPr>
          <w:rFonts w:ascii="Arial" w:hAnsi="Arial" w:cs="Arial"/>
          <w:sz w:val="24"/>
          <w:szCs w:val="24"/>
        </w:rPr>
      </w:pPr>
      <w:r w:rsidRPr="00AD25EE">
        <w:rPr>
          <w:rFonts w:ascii="Arial" w:hAnsi="Arial" w:cs="Arial"/>
          <w:sz w:val="24"/>
          <w:szCs w:val="24"/>
        </w:rPr>
        <w:t>Unlike legacy approaches that treat internal networks as “trusted,” Zero Trust is grounded in the principle of “never trust, always verify.” As organizational boundaries blur and threats such as credential theft and insider misuse become more prominent, security architectures increasingly depend on identity, context, and ongoing monitoring. NIST’s Digital Identity Guidelines reinforce that robust identity assurance is a foundational requirement for modern access control [2].</w:t>
      </w:r>
    </w:p>
    <w:p w14:paraId="71783729" w14:textId="17B8156E" w:rsidR="00C12482" w:rsidRPr="00AD25EE" w:rsidRDefault="00C12482" w:rsidP="009E19AB">
      <w:pPr>
        <w:jc w:val="both"/>
        <w:rPr>
          <w:rFonts w:ascii="Arial" w:hAnsi="Arial" w:cs="Arial"/>
          <w:sz w:val="24"/>
          <w:szCs w:val="24"/>
        </w:rPr>
      </w:pPr>
      <w:r w:rsidRPr="00AD25EE">
        <w:rPr>
          <w:rFonts w:ascii="Arial" w:hAnsi="Arial" w:cs="Arial"/>
          <w:sz w:val="24"/>
          <w:szCs w:val="24"/>
        </w:rPr>
        <w:t>This report evaluates the evolution of security architectures, explains the drivers behind Zero Trust adoption,</w:t>
      </w:r>
    </w:p>
    <w:p w14:paraId="01965B66" w14:textId="77777777" w:rsidR="00666374" w:rsidRPr="00AD25EE" w:rsidRDefault="00666374" w:rsidP="009E19AB">
      <w:pPr>
        <w:jc w:val="both"/>
        <w:rPr>
          <w:rFonts w:ascii="Arial" w:hAnsi="Arial" w:cs="Arial"/>
          <w:sz w:val="24"/>
          <w:szCs w:val="24"/>
        </w:rPr>
      </w:pPr>
    </w:p>
    <w:p w14:paraId="3F8042A2" w14:textId="77777777" w:rsidR="00666374" w:rsidRPr="00AD25EE" w:rsidRDefault="00666374" w:rsidP="009E19AB">
      <w:pPr>
        <w:jc w:val="both"/>
        <w:rPr>
          <w:rFonts w:ascii="Arial" w:hAnsi="Arial" w:cs="Arial"/>
          <w:sz w:val="24"/>
          <w:szCs w:val="24"/>
        </w:rPr>
      </w:pPr>
    </w:p>
    <w:p w14:paraId="52165BA7" w14:textId="3CBA5D51" w:rsidR="00C12482" w:rsidRPr="00AD25EE" w:rsidRDefault="00C12482" w:rsidP="009E19AB">
      <w:pPr>
        <w:jc w:val="both"/>
        <w:rPr>
          <w:rFonts w:ascii="Arial" w:hAnsi="Arial" w:cs="Arial"/>
          <w:b/>
          <w:bCs/>
          <w:sz w:val="24"/>
          <w:szCs w:val="24"/>
        </w:rPr>
      </w:pPr>
    </w:p>
    <w:p w14:paraId="6B79EE5A" w14:textId="381383A8" w:rsidR="00666374" w:rsidRPr="00AD25EE" w:rsidRDefault="00C12482" w:rsidP="009E19AB">
      <w:pPr>
        <w:pStyle w:val="Heading1"/>
        <w:numPr>
          <w:ilvl w:val="0"/>
          <w:numId w:val="4"/>
        </w:numPr>
        <w:jc w:val="both"/>
        <w:rPr>
          <w:rFonts w:ascii="Arial" w:hAnsi="Arial" w:cs="Arial"/>
          <w:b/>
          <w:bCs/>
          <w:sz w:val="24"/>
          <w:szCs w:val="24"/>
        </w:rPr>
      </w:pPr>
      <w:r w:rsidRPr="00AD25EE">
        <w:rPr>
          <w:rFonts w:ascii="Arial" w:hAnsi="Arial" w:cs="Arial"/>
          <w:b/>
          <w:bCs/>
          <w:sz w:val="24"/>
          <w:szCs w:val="24"/>
        </w:rPr>
        <w:t xml:space="preserve"> Evolution of Security Models</w:t>
      </w:r>
    </w:p>
    <w:p w14:paraId="2CADBCB0" w14:textId="77777777" w:rsidR="00666374" w:rsidRPr="00AD25EE" w:rsidRDefault="00666374" w:rsidP="009E19AB">
      <w:pPr>
        <w:jc w:val="both"/>
        <w:rPr>
          <w:rFonts w:ascii="Arial" w:hAnsi="Arial" w:cs="Arial"/>
          <w:sz w:val="24"/>
          <w:szCs w:val="24"/>
        </w:rPr>
      </w:pPr>
    </w:p>
    <w:p w14:paraId="40E50254" w14:textId="12B144D1" w:rsidR="00666374" w:rsidRPr="00AD25EE" w:rsidRDefault="00666374" w:rsidP="009E19AB">
      <w:pPr>
        <w:pStyle w:val="Heading2"/>
        <w:jc w:val="both"/>
        <w:rPr>
          <w:rFonts w:ascii="Arial" w:hAnsi="Arial" w:cs="Arial"/>
          <w:sz w:val="24"/>
          <w:szCs w:val="24"/>
        </w:rPr>
      </w:pPr>
      <w:r w:rsidRPr="00AD25EE">
        <w:rPr>
          <w:rFonts w:ascii="Arial" w:hAnsi="Arial" w:cs="Arial"/>
          <w:sz w:val="24"/>
          <w:szCs w:val="24"/>
        </w:rPr>
        <w:t>Traditional Perimeter-Based Security</w:t>
      </w:r>
    </w:p>
    <w:p w14:paraId="6073F592" w14:textId="77777777" w:rsidR="00666374" w:rsidRPr="00AD25EE" w:rsidRDefault="00666374" w:rsidP="009E19AB">
      <w:pPr>
        <w:jc w:val="both"/>
        <w:rPr>
          <w:rFonts w:ascii="Arial" w:hAnsi="Arial" w:cs="Arial"/>
          <w:sz w:val="24"/>
          <w:szCs w:val="24"/>
        </w:rPr>
      </w:pPr>
    </w:p>
    <w:p w14:paraId="7446C7D1" w14:textId="77777777" w:rsidR="00666374" w:rsidRPr="00AD25EE" w:rsidRDefault="00666374" w:rsidP="009E19AB">
      <w:pPr>
        <w:jc w:val="both"/>
        <w:rPr>
          <w:rFonts w:ascii="Arial" w:hAnsi="Arial" w:cs="Arial"/>
          <w:sz w:val="24"/>
          <w:szCs w:val="24"/>
        </w:rPr>
      </w:pPr>
      <w:r w:rsidRPr="00AD25EE">
        <w:rPr>
          <w:rFonts w:ascii="Arial" w:hAnsi="Arial" w:cs="Arial"/>
          <w:sz w:val="24"/>
          <w:szCs w:val="24"/>
        </w:rPr>
        <w:t>Historically, enterprise security followed a “castle-and-moat” model, using firewalls and intrusion detection systems to protect the network edge. Once users authenticated—often through a VPN or internal credentials—they typically received broad access to internal systems. This approach is rooted in the assumption that internal network traffic is inherently trustworthy.</w:t>
      </w:r>
    </w:p>
    <w:p w14:paraId="5A6C9064" w14:textId="77777777" w:rsidR="00666374" w:rsidRPr="00AD25EE" w:rsidRDefault="00666374" w:rsidP="009E19AB">
      <w:pPr>
        <w:jc w:val="both"/>
        <w:rPr>
          <w:rFonts w:ascii="Arial" w:hAnsi="Arial" w:cs="Arial"/>
          <w:sz w:val="24"/>
          <w:szCs w:val="24"/>
        </w:rPr>
      </w:pPr>
      <w:r w:rsidRPr="00AD25EE">
        <w:rPr>
          <w:rFonts w:ascii="Arial" w:hAnsi="Arial" w:cs="Arial"/>
          <w:sz w:val="24"/>
          <w:szCs w:val="24"/>
        </w:rPr>
        <w:t>Security literature notes that these models were developed for centralized environments with predictable traffic flows and limited remote access [3]. However, as organizations introduced internet-facing services and remote connectivity, the assumption of internal trust became increasingly fragile. Research on trust in distributed and cloud-integrated environments further shows that location-based trust is particularly weak when workloads and services are dispersed across multiple platforms [4]. When attackers bypass perimeter defenses, they commonly exploit flat internal networks and excessive permissions to move laterally.</w:t>
      </w:r>
    </w:p>
    <w:p w14:paraId="51173FB4" w14:textId="77777777" w:rsidR="00666374" w:rsidRPr="00AD25EE" w:rsidRDefault="00666374" w:rsidP="009E19AB">
      <w:pPr>
        <w:jc w:val="both"/>
        <w:rPr>
          <w:rFonts w:ascii="Arial" w:hAnsi="Arial" w:cs="Arial"/>
          <w:sz w:val="24"/>
          <w:szCs w:val="24"/>
        </w:rPr>
      </w:pPr>
    </w:p>
    <w:p w14:paraId="4EFF3820" w14:textId="3D8F67CC" w:rsidR="00666374" w:rsidRPr="00AD25EE" w:rsidRDefault="00666374" w:rsidP="009E19AB">
      <w:pPr>
        <w:pStyle w:val="Heading2"/>
        <w:jc w:val="both"/>
        <w:rPr>
          <w:rFonts w:ascii="Arial" w:hAnsi="Arial" w:cs="Arial"/>
          <w:sz w:val="24"/>
          <w:szCs w:val="24"/>
        </w:rPr>
      </w:pPr>
      <w:r w:rsidRPr="00AD25EE">
        <w:rPr>
          <w:rFonts w:ascii="Arial" w:hAnsi="Arial" w:cs="Arial"/>
          <w:sz w:val="24"/>
          <w:szCs w:val="24"/>
        </w:rPr>
        <w:t>Drivers for Zero Trust Adoption</w:t>
      </w:r>
    </w:p>
    <w:p w14:paraId="45ADE917" w14:textId="77777777" w:rsidR="00666374" w:rsidRPr="00AD25EE" w:rsidRDefault="00666374" w:rsidP="009E19AB">
      <w:pPr>
        <w:jc w:val="both"/>
        <w:rPr>
          <w:rFonts w:ascii="Arial" w:hAnsi="Arial" w:cs="Arial"/>
          <w:sz w:val="24"/>
          <w:szCs w:val="24"/>
        </w:rPr>
      </w:pPr>
      <w:r w:rsidRPr="00AD25EE">
        <w:rPr>
          <w:rFonts w:ascii="Arial" w:hAnsi="Arial" w:cs="Arial"/>
          <w:sz w:val="24"/>
          <w:szCs w:val="24"/>
        </w:rPr>
        <w:t>Several converging trends have accelerated the move toward Zero Trust:</w:t>
      </w:r>
    </w:p>
    <w:p w14:paraId="3BD40354" w14:textId="77777777" w:rsidR="00666374" w:rsidRPr="00AD25EE" w:rsidRDefault="00666374" w:rsidP="009E19AB">
      <w:pPr>
        <w:numPr>
          <w:ilvl w:val="0"/>
          <w:numId w:val="25"/>
        </w:numPr>
        <w:spacing w:after="8pt" w:line="13.90pt" w:lineRule="auto"/>
        <w:jc w:val="both"/>
        <w:rPr>
          <w:rFonts w:ascii="Arial" w:hAnsi="Arial" w:cs="Arial"/>
          <w:sz w:val="24"/>
          <w:szCs w:val="24"/>
        </w:rPr>
      </w:pPr>
      <w:r w:rsidRPr="00AD25EE">
        <w:rPr>
          <w:rFonts w:ascii="Arial" w:hAnsi="Arial" w:cs="Arial"/>
          <w:sz w:val="24"/>
          <w:szCs w:val="24"/>
        </w:rPr>
        <w:t>Cloud computing and geographically distributed workloads</w:t>
      </w:r>
    </w:p>
    <w:p w14:paraId="4F907D8A" w14:textId="77777777" w:rsidR="00666374" w:rsidRPr="00AD25EE" w:rsidRDefault="00666374" w:rsidP="009E19AB">
      <w:pPr>
        <w:numPr>
          <w:ilvl w:val="0"/>
          <w:numId w:val="25"/>
        </w:numPr>
        <w:spacing w:after="8pt" w:line="13.90pt" w:lineRule="auto"/>
        <w:jc w:val="both"/>
        <w:rPr>
          <w:rFonts w:ascii="Arial" w:hAnsi="Arial" w:cs="Arial"/>
          <w:sz w:val="24"/>
          <w:szCs w:val="24"/>
        </w:rPr>
      </w:pPr>
      <w:r w:rsidRPr="00AD25EE">
        <w:rPr>
          <w:rFonts w:ascii="Arial" w:hAnsi="Arial" w:cs="Arial"/>
          <w:sz w:val="24"/>
          <w:szCs w:val="24"/>
        </w:rPr>
        <w:t>Expansion of remote and hybrid workforces</w:t>
      </w:r>
    </w:p>
    <w:p w14:paraId="752CF0AB" w14:textId="77777777" w:rsidR="00666374" w:rsidRPr="00AD25EE" w:rsidRDefault="00666374" w:rsidP="009E19AB">
      <w:pPr>
        <w:numPr>
          <w:ilvl w:val="0"/>
          <w:numId w:val="25"/>
        </w:numPr>
        <w:spacing w:after="8pt" w:line="13.90pt" w:lineRule="auto"/>
        <w:jc w:val="both"/>
        <w:rPr>
          <w:rFonts w:ascii="Arial" w:hAnsi="Arial" w:cs="Arial"/>
          <w:sz w:val="24"/>
          <w:szCs w:val="24"/>
        </w:rPr>
      </w:pPr>
      <w:r w:rsidRPr="00AD25EE">
        <w:rPr>
          <w:rFonts w:ascii="Arial" w:hAnsi="Arial" w:cs="Arial"/>
          <w:sz w:val="24"/>
          <w:szCs w:val="24"/>
        </w:rPr>
        <w:t>Growth in credential theft and identity-based attacks</w:t>
      </w:r>
    </w:p>
    <w:p w14:paraId="5819D2A5" w14:textId="77777777" w:rsidR="00666374" w:rsidRPr="00AD25EE" w:rsidRDefault="00666374" w:rsidP="009E19AB">
      <w:pPr>
        <w:numPr>
          <w:ilvl w:val="0"/>
          <w:numId w:val="25"/>
        </w:numPr>
        <w:spacing w:after="8pt" w:line="13.90pt" w:lineRule="auto"/>
        <w:jc w:val="both"/>
        <w:rPr>
          <w:rFonts w:ascii="Arial" w:hAnsi="Arial" w:cs="Arial"/>
          <w:sz w:val="24"/>
          <w:szCs w:val="24"/>
        </w:rPr>
      </w:pPr>
      <w:r w:rsidRPr="00AD25EE">
        <w:rPr>
          <w:rFonts w:ascii="Arial" w:hAnsi="Arial" w:cs="Arial"/>
          <w:sz w:val="24"/>
          <w:szCs w:val="24"/>
        </w:rPr>
        <w:t>Regulatory pressure for stronger identity governance and access control</w:t>
      </w:r>
    </w:p>
    <w:p w14:paraId="71B2EDF6" w14:textId="77777777" w:rsidR="00666374" w:rsidRPr="00AD25EE" w:rsidRDefault="00666374" w:rsidP="009E19AB">
      <w:pPr>
        <w:jc w:val="both"/>
        <w:rPr>
          <w:rFonts w:ascii="Arial" w:hAnsi="Arial" w:cs="Arial"/>
          <w:sz w:val="24"/>
          <w:szCs w:val="24"/>
        </w:rPr>
      </w:pPr>
      <w:proofErr w:type="spellStart"/>
      <w:r w:rsidRPr="00AD25EE">
        <w:rPr>
          <w:rFonts w:ascii="Arial" w:hAnsi="Arial" w:cs="Arial"/>
          <w:sz w:val="24"/>
          <w:szCs w:val="24"/>
        </w:rPr>
        <w:t>Kindervag’s</w:t>
      </w:r>
      <w:proofErr w:type="spellEnd"/>
      <w:r w:rsidRPr="00AD25EE">
        <w:rPr>
          <w:rFonts w:ascii="Arial" w:hAnsi="Arial" w:cs="Arial"/>
          <w:sz w:val="24"/>
          <w:szCs w:val="24"/>
        </w:rPr>
        <w:t xml:space="preserve"> early articulation of the Zero Trust model argued that security should be integrated into network design rather than layered primarily at the perimeter [5]. In </w:t>
      </w:r>
      <w:r w:rsidRPr="00AD25EE">
        <w:rPr>
          <w:rFonts w:ascii="Arial" w:hAnsi="Arial" w:cs="Arial"/>
          <w:sz w:val="24"/>
          <w:szCs w:val="24"/>
        </w:rPr>
        <w:t>practice, Zero Trust shifts decision-making from “where a request originates” to “who is requesting, from what device, under what conditions, and with what risk.”</w:t>
      </w:r>
    </w:p>
    <w:p w14:paraId="7A5F0FBB" w14:textId="77777777" w:rsidR="00666374" w:rsidRPr="00AD25EE" w:rsidRDefault="00666374" w:rsidP="009E19AB">
      <w:pPr>
        <w:jc w:val="both"/>
        <w:rPr>
          <w:rFonts w:ascii="Arial" w:hAnsi="Arial" w:cs="Arial"/>
          <w:sz w:val="24"/>
          <w:szCs w:val="24"/>
        </w:rPr>
      </w:pPr>
    </w:p>
    <w:p w14:paraId="61AD3E8C" w14:textId="77777777" w:rsidR="00666374" w:rsidRPr="00AD25EE" w:rsidRDefault="00666374" w:rsidP="009E19AB">
      <w:pPr>
        <w:jc w:val="both"/>
        <w:rPr>
          <w:rFonts w:ascii="Arial" w:hAnsi="Arial" w:cs="Arial"/>
          <w:sz w:val="24"/>
          <w:szCs w:val="24"/>
        </w:rPr>
      </w:pPr>
    </w:p>
    <w:p w14:paraId="319667C5" w14:textId="77777777" w:rsidR="00666374" w:rsidRPr="00AD25EE" w:rsidRDefault="00666374" w:rsidP="009E19AB">
      <w:pPr>
        <w:jc w:val="both"/>
        <w:rPr>
          <w:rFonts w:ascii="Arial" w:hAnsi="Arial" w:cs="Arial"/>
          <w:sz w:val="24"/>
          <w:szCs w:val="24"/>
        </w:rPr>
      </w:pPr>
    </w:p>
    <w:p w14:paraId="7217CB01" w14:textId="65339C8A" w:rsidR="00666374" w:rsidRPr="00AD25EE" w:rsidRDefault="00666374" w:rsidP="009E19AB">
      <w:pPr>
        <w:pStyle w:val="Heading1"/>
        <w:numPr>
          <w:ilvl w:val="0"/>
          <w:numId w:val="4"/>
        </w:numPr>
        <w:jc w:val="both"/>
        <w:rPr>
          <w:rFonts w:ascii="Arial" w:hAnsi="Arial" w:cs="Arial"/>
          <w:b/>
          <w:bCs/>
          <w:sz w:val="24"/>
          <w:szCs w:val="24"/>
        </w:rPr>
      </w:pPr>
      <w:r w:rsidRPr="00AD25EE">
        <w:rPr>
          <w:rFonts w:ascii="Arial" w:hAnsi="Arial" w:cs="Arial"/>
          <w:b/>
          <w:bCs/>
          <w:sz w:val="24"/>
          <w:szCs w:val="24"/>
        </w:rPr>
        <w:t>Modern Cyber Threats: Malware, Viruses, and Identity-Based Attacks</w:t>
      </w:r>
    </w:p>
    <w:p w14:paraId="6D2461E9"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t>The increasing interest in Zero Trust is closely tied to the changing character of cyber threats. Attackers now frequently combine malicious software with identity compromise to evade traditional perimeter defenses.</w:t>
      </w:r>
    </w:p>
    <w:p w14:paraId="5C741A5E" w14:textId="77777777" w:rsidR="002C092C" w:rsidRPr="00AD25EE" w:rsidRDefault="002C092C" w:rsidP="009E19AB">
      <w:pPr>
        <w:jc w:val="both"/>
        <w:rPr>
          <w:rFonts w:ascii="Arial" w:hAnsi="Arial" w:cs="Arial"/>
          <w:sz w:val="24"/>
          <w:szCs w:val="24"/>
        </w:rPr>
      </w:pPr>
    </w:p>
    <w:p w14:paraId="30406241" w14:textId="77777777" w:rsidR="00666374" w:rsidRPr="00AD25EE" w:rsidRDefault="00666374" w:rsidP="009E19AB">
      <w:pPr>
        <w:jc w:val="both"/>
        <w:rPr>
          <w:rFonts w:ascii="Arial" w:hAnsi="Arial" w:cs="Arial"/>
          <w:sz w:val="24"/>
          <w:szCs w:val="24"/>
        </w:rPr>
      </w:pPr>
    </w:p>
    <w:p w14:paraId="15155CCC" w14:textId="23EE4836" w:rsidR="002C092C" w:rsidRPr="00AD25EE" w:rsidRDefault="002C092C" w:rsidP="009E19AB">
      <w:pPr>
        <w:pStyle w:val="Heading2"/>
        <w:jc w:val="both"/>
        <w:rPr>
          <w:rFonts w:ascii="Arial" w:hAnsi="Arial" w:cs="Arial"/>
          <w:sz w:val="24"/>
          <w:szCs w:val="24"/>
        </w:rPr>
      </w:pPr>
      <w:r w:rsidRPr="00AD25EE">
        <w:rPr>
          <w:rFonts w:ascii="Arial" w:hAnsi="Arial" w:cs="Arial"/>
          <w:sz w:val="24"/>
          <w:szCs w:val="24"/>
        </w:rPr>
        <w:t>Malware and Computer Viruses</w:t>
      </w:r>
    </w:p>
    <w:p w14:paraId="046E6FD1"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t>Malware—including viruses, worms, and trojans—remains a persistent enterprise risk. Common entry points include phishing emails, malicious attachments, compromised websites, and infected removable media. Once executed, malware can establish persistence, harvest credentials, and attempt lateral movement across internal systems.</w:t>
      </w:r>
    </w:p>
    <w:p w14:paraId="1BC45AE0"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t xml:space="preserve">In perimeter-based architectures, internal traffic may be trusted by default, allowing compromised hosts to communicate with other systems without immediate restriction. Where segmentation is limited, attackers can scan internal resources and broaden the impact of compromise. Zero Trust reduces malware propagation by enforcing </w:t>
      </w:r>
      <w:proofErr w:type="spellStart"/>
      <w:r w:rsidRPr="00AD25EE">
        <w:rPr>
          <w:rFonts w:ascii="Arial" w:hAnsi="Arial" w:cs="Arial"/>
          <w:sz w:val="24"/>
          <w:szCs w:val="24"/>
        </w:rPr>
        <w:t>microsegmentation</w:t>
      </w:r>
      <w:proofErr w:type="spellEnd"/>
      <w:r w:rsidRPr="00AD25EE">
        <w:rPr>
          <w:rFonts w:ascii="Arial" w:hAnsi="Arial" w:cs="Arial"/>
          <w:sz w:val="24"/>
          <w:szCs w:val="24"/>
        </w:rPr>
        <w:t xml:space="preserve"> and requiring authentication and authorization between internal segments [9]. As a result, even if a device is compromised, contextual access controls and segmentation can constrain malware’s ability to spread.</w:t>
      </w:r>
    </w:p>
    <w:p w14:paraId="64294CEB" w14:textId="77777777" w:rsidR="002C092C" w:rsidRPr="00AD25EE" w:rsidRDefault="002C092C" w:rsidP="009E19AB">
      <w:pPr>
        <w:jc w:val="both"/>
        <w:rPr>
          <w:rFonts w:ascii="Arial" w:hAnsi="Arial" w:cs="Arial"/>
          <w:sz w:val="24"/>
          <w:szCs w:val="24"/>
        </w:rPr>
      </w:pPr>
    </w:p>
    <w:p w14:paraId="71F96F02" w14:textId="77777777" w:rsidR="002C092C" w:rsidRPr="00AD25EE" w:rsidRDefault="002C092C" w:rsidP="009E19AB">
      <w:pPr>
        <w:jc w:val="both"/>
        <w:rPr>
          <w:rFonts w:ascii="Arial" w:hAnsi="Arial" w:cs="Arial"/>
          <w:sz w:val="24"/>
          <w:szCs w:val="24"/>
        </w:rPr>
      </w:pPr>
    </w:p>
    <w:p w14:paraId="0924A6FA" w14:textId="747C2A56" w:rsidR="002C092C" w:rsidRPr="00AD25EE" w:rsidRDefault="002C092C" w:rsidP="009E19AB">
      <w:pPr>
        <w:pStyle w:val="Heading2"/>
        <w:jc w:val="both"/>
        <w:rPr>
          <w:rFonts w:ascii="Arial" w:hAnsi="Arial" w:cs="Arial"/>
          <w:sz w:val="24"/>
          <w:szCs w:val="24"/>
        </w:rPr>
      </w:pPr>
      <w:r w:rsidRPr="00AD25EE">
        <w:rPr>
          <w:rFonts w:ascii="Arial" w:hAnsi="Arial" w:cs="Arial"/>
          <w:sz w:val="24"/>
          <w:szCs w:val="24"/>
        </w:rPr>
        <w:t>Ransomware Attacks</w:t>
      </w:r>
    </w:p>
    <w:p w14:paraId="1E4A92ED" w14:textId="430B03D1" w:rsidR="00B97197" w:rsidRPr="00AD25EE" w:rsidRDefault="00B97197" w:rsidP="00B97197">
      <w:pPr>
        <w:rPr>
          <w:rFonts w:ascii="Arial" w:hAnsi="Arial" w:cs="Arial"/>
          <w:sz w:val="24"/>
          <w:szCs w:val="24"/>
        </w:rPr>
      </w:pPr>
      <w:r w:rsidRPr="00AD25EE">
        <w:rPr>
          <w:rFonts w:ascii="Arial" w:hAnsi="Arial" w:cs="Arial"/>
          <w:b/>
          <w:bCs/>
          <w:noProof/>
          <w:sz w:val="24"/>
          <w:szCs w:val="24"/>
        </w:rPr>
        <w:drawing>
          <wp:inline distT="0" distB="0" distL="0" distR="0" wp14:anchorId="189E4F6E" wp14:editId="6D8D226A">
            <wp:extent cx="3089910" cy="1441228"/>
            <wp:effectExtent l="0" t="0" r="0" b="6985"/>
            <wp:docPr id="1549266055"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89910" cy="1441228"/>
                    </a:xfrm>
                    <a:prstGeom prst="rect">
                      <a:avLst/>
                    </a:prstGeom>
                    <a:noFill/>
                    <a:ln>
                      <a:noFill/>
                    </a:ln>
                  </pic:spPr>
                </pic:pic>
              </a:graphicData>
            </a:graphic>
          </wp:inline>
        </w:drawing>
      </w:r>
    </w:p>
    <w:p w14:paraId="387EDD8B"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lastRenderedPageBreak/>
        <w:t>Ransomware is among the most disruptive categories of malware. It often follows a recognizable sequence: initial access, privilege escalation, lateral movement, data exfiltration, and encryption of high-value assets. Many modern ransomware campaigns rely on stolen credentials to blend into normal authentication activity.</w:t>
      </w:r>
    </w:p>
    <w:p w14:paraId="7605EC52"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t>Perimeter defenses often fail once initial access is obtained. Zero Trust can reduce the overall “blast radius” by limiting internal permissions through least privilege [7] and by monitoring for anomalies that may indicate lateral movement or exfiltration [10]. While ZTA may not prevent every initial infection, it can substantially reduce the scope and severity of compromise.</w:t>
      </w:r>
    </w:p>
    <w:p w14:paraId="3F99F079" w14:textId="77777777" w:rsidR="002C092C" w:rsidRPr="00AD25EE" w:rsidRDefault="002C092C" w:rsidP="009E19AB">
      <w:pPr>
        <w:jc w:val="both"/>
        <w:rPr>
          <w:rFonts w:ascii="Arial" w:hAnsi="Arial" w:cs="Arial"/>
          <w:sz w:val="24"/>
          <w:szCs w:val="24"/>
        </w:rPr>
      </w:pPr>
    </w:p>
    <w:p w14:paraId="7173346F" w14:textId="0CD8680B" w:rsidR="002C092C" w:rsidRPr="00AD25EE" w:rsidRDefault="002C092C" w:rsidP="00AD25EE">
      <w:pPr>
        <w:pStyle w:val="Heading2"/>
        <w:jc w:val="center"/>
        <w:rPr>
          <w:rFonts w:ascii="Arial" w:hAnsi="Arial" w:cs="Arial"/>
          <w:sz w:val="24"/>
          <w:szCs w:val="24"/>
        </w:rPr>
      </w:pPr>
      <w:r w:rsidRPr="00AD25EE">
        <w:rPr>
          <w:rFonts w:ascii="Arial" w:hAnsi="Arial" w:cs="Arial"/>
          <w:sz w:val="24"/>
          <w:szCs w:val="24"/>
        </w:rPr>
        <w:t>Credential Theft and Phishing</w:t>
      </w:r>
    </w:p>
    <w:p w14:paraId="65A5F7F8"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t>Credential theft remains a leading cause of enterprise breaches, with phishing exploiting human behavior to obtain passwords and session tokens. Attackers then use these credentials to authenticate legitimately within target environments.</w:t>
      </w:r>
    </w:p>
    <w:p w14:paraId="2B26D62A" w14:textId="77777777" w:rsidR="002C092C" w:rsidRPr="00AD25EE" w:rsidRDefault="002C092C" w:rsidP="009E19AB">
      <w:pPr>
        <w:jc w:val="both"/>
        <w:rPr>
          <w:rFonts w:ascii="Arial" w:hAnsi="Arial" w:cs="Arial"/>
          <w:sz w:val="24"/>
          <w:szCs w:val="24"/>
        </w:rPr>
      </w:pPr>
      <w:r w:rsidRPr="00AD25EE">
        <w:rPr>
          <w:rFonts w:ascii="Arial" w:hAnsi="Arial" w:cs="Arial"/>
          <w:sz w:val="24"/>
          <w:szCs w:val="24"/>
        </w:rPr>
        <w:t>Multi-Factor Authentication (MFA) improves assurance by requiring independent authentication factors beyond passwords [6]. Zero Trust extends this approach through continuous and adaptive verification mechanisms [1], where changes in behavior, device posture, or location can trigger step-up authentication or access restriction.</w:t>
      </w:r>
    </w:p>
    <w:p w14:paraId="3A2FDBFF" w14:textId="591791FD" w:rsidR="00B97197" w:rsidRPr="00AD25EE" w:rsidRDefault="00B97197" w:rsidP="009E19AB">
      <w:pPr>
        <w:jc w:val="both"/>
        <w:rPr>
          <w:rFonts w:ascii="Arial" w:hAnsi="Arial" w:cs="Arial"/>
          <w:sz w:val="24"/>
          <w:szCs w:val="24"/>
        </w:rPr>
      </w:pPr>
      <w:r w:rsidRPr="00AD25EE">
        <w:rPr>
          <w:rFonts w:ascii="Arial" w:hAnsi="Arial" w:cs="Arial"/>
          <w:noProof/>
          <w:sz w:val="24"/>
          <w:szCs w:val="24"/>
        </w:rPr>
        <w:drawing>
          <wp:inline distT="0" distB="0" distL="0" distR="0" wp14:anchorId="78487445" wp14:editId="10321CF2">
            <wp:extent cx="3089910" cy="1701402"/>
            <wp:effectExtent l="0" t="0" r="0" b="0"/>
            <wp:docPr id="1702208193"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89910" cy="1701402"/>
                    </a:xfrm>
                    <a:prstGeom prst="rect">
                      <a:avLst/>
                    </a:prstGeom>
                    <a:noFill/>
                    <a:ln>
                      <a:noFill/>
                    </a:ln>
                  </pic:spPr>
                </pic:pic>
              </a:graphicData>
            </a:graphic>
          </wp:inline>
        </w:drawing>
      </w:r>
    </w:p>
    <w:p w14:paraId="357A92D7" w14:textId="77777777" w:rsidR="00B97197" w:rsidRPr="00AD25EE" w:rsidRDefault="00B97197" w:rsidP="009E19AB">
      <w:pPr>
        <w:jc w:val="both"/>
        <w:rPr>
          <w:rFonts w:ascii="Arial" w:hAnsi="Arial" w:cs="Arial"/>
          <w:sz w:val="24"/>
          <w:szCs w:val="24"/>
        </w:rPr>
      </w:pPr>
    </w:p>
    <w:p w14:paraId="00C61FCC" w14:textId="32E336A4" w:rsidR="00B97197" w:rsidRPr="00AD25EE" w:rsidRDefault="00B97197" w:rsidP="00B97197">
      <w:pPr>
        <w:pStyle w:val="Heading1"/>
        <w:numPr>
          <w:ilvl w:val="0"/>
          <w:numId w:val="4"/>
        </w:numPr>
        <w:rPr>
          <w:rFonts w:ascii="Arial" w:hAnsi="Arial" w:cs="Arial"/>
          <w:b/>
          <w:bCs/>
          <w:sz w:val="24"/>
          <w:szCs w:val="24"/>
        </w:rPr>
      </w:pPr>
      <w:r w:rsidRPr="00AD25EE">
        <w:rPr>
          <w:rFonts w:ascii="Arial" w:hAnsi="Arial" w:cs="Arial"/>
          <w:b/>
          <w:bCs/>
          <w:sz w:val="24"/>
          <w:szCs w:val="24"/>
        </w:rPr>
        <w:t>Core Principles of Zero Trust Architecture</w:t>
      </w:r>
    </w:p>
    <w:p w14:paraId="46D178D3"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4.1 Verify Explicitly</w:t>
      </w:r>
    </w:p>
    <w:p w14:paraId="638B7E49" w14:textId="77777777" w:rsidR="00B97197" w:rsidRPr="00AD25EE" w:rsidRDefault="00B97197" w:rsidP="00B97197">
      <w:pPr>
        <w:rPr>
          <w:rFonts w:ascii="Arial" w:hAnsi="Arial" w:cs="Arial"/>
          <w:sz w:val="24"/>
          <w:szCs w:val="24"/>
        </w:rPr>
      </w:pPr>
    </w:p>
    <w:p w14:paraId="735C2A10"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Zero Trust requires continuous authentication and authorization decisions based on </w:t>
      </w:r>
      <w:r w:rsidRPr="00AD25EE">
        <w:rPr>
          <w:rFonts w:ascii="Arial" w:hAnsi="Arial" w:cs="Arial"/>
          <w:sz w:val="24"/>
          <w:szCs w:val="24"/>
        </w:rPr>
        <w:t>contextual data rather than a single login event [1]. Identity assurance should align with structured digital identity standards [2].</w:t>
      </w:r>
    </w:p>
    <w:p w14:paraId="31C694FC"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MFA is particularly important because it reduces the likelihood that stolen passwords alone can enable unauthorized access. </w:t>
      </w:r>
      <w:proofErr w:type="spellStart"/>
      <w:r w:rsidRPr="00AD25EE">
        <w:rPr>
          <w:rFonts w:ascii="Arial" w:hAnsi="Arial" w:cs="Arial"/>
          <w:sz w:val="24"/>
          <w:szCs w:val="24"/>
        </w:rPr>
        <w:t>Ometov</w:t>
      </w:r>
      <w:proofErr w:type="spellEnd"/>
      <w:r w:rsidRPr="00AD25EE">
        <w:rPr>
          <w:rFonts w:ascii="Arial" w:hAnsi="Arial" w:cs="Arial"/>
          <w:sz w:val="24"/>
          <w:szCs w:val="24"/>
        </w:rPr>
        <w:t xml:space="preserve"> et al. provide a comprehensive analysis of MFA approaches and show that they can significantly reduce credential-based compromise [6]. In Zero Trust, verification is dynamic: access decisions incorporate real-time signals such as behavioral anomalies, device compliance status, and geographic inconsistency.</w:t>
      </w:r>
    </w:p>
    <w:p w14:paraId="14A9DC53" w14:textId="77777777" w:rsidR="00B97197" w:rsidRPr="00AD25EE" w:rsidRDefault="00B97197" w:rsidP="00B97197">
      <w:pPr>
        <w:pStyle w:val="Heading2"/>
        <w:jc w:val="center"/>
        <w:rPr>
          <w:rFonts w:ascii="Arial" w:hAnsi="Arial" w:cs="Arial"/>
          <w:sz w:val="24"/>
          <w:szCs w:val="24"/>
        </w:rPr>
      </w:pPr>
      <w:r w:rsidRPr="00AD25EE">
        <w:rPr>
          <w:rFonts w:ascii="Arial" w:hAnsi="Arial" w:cs="Arial"/>
          <w:sz w:val="24"/>
          <w:szCs w:val="24"/>
        </w:rPr>
        <w:t>4.2 Enforce Least Privilege Access</w:t>
      </w:r>
    </w:p>
    <w:p w14:paraId="53761DA4" w14:textId="77777777" w:rsidR="00B97197" w:rsidRPr="00AD25EE" w:rsidRDefault="00B97197" w:rsidP="00B97197">
      <w:pPr>
        <w:rPr>
          <w:rFonts w:ascii="Arial" w:hAnsi="Arial" w:cs="Arial"/>
          <w:sz w:val="24"/>
          <w:szCs w:val="24"/>
        </w:rPr>
      </w:pPr>
      <w:r w:rsidRPr="00AD25EE">
        <w:rPr>
          <w:rFonts w:ascii="Arial" w:hAnsi="Arial" w:cs="Arial"/>
          <w:sz w:val="24"/>
          <w:szCs w:val="24"/>
        </w:rPr>
        <w:t>Least privilege is central to Zero Trust, ensuring that users and services receive only the permissions required to perform authorized tasks. Role-Based Access Control (RBAC), introduced formally by Sandhu et al., offers structured permission assignment aligned with organizational roles [7]. Attribute-Based Access Control (ABAC) extends RBAC by incorporating contextual attributes into authorization decisions [8]. By reducing unnecessary access rights, these models limit attack surfaces and constrain lateral movement after compromise.</w:t>
      </w:r>
    </w:p>
    <w:p w14:paraId="755BECF9" w14:textId="77777777" w:rsidR="00B97197" w:rsidRPr="00AD25EE" w:rsidRDefault="00B97197" w:rsidP="00B97197">
      <w:pPr>
        <w:pStyle w:val="Heading2"/>
        <w:jc w:val="center"/>
        <w:rPr>
          <w:rFonts w:ascii="Arial" w:hAnsi="Arial" w:cs="Arial"/>
          <w:sz w:val="24"/>
          <w:szCs w:val="24"/>
        </w:rPr>
      </w:pPr>
      <w:r w:rsidRPr="00AD25EE">
        <w:rPr>
          <w:rFonts w:ascii="Arial" w:hAnsi="Arial" w:cs="Arial"/>
          <w:sz w:val="24"/>
          <w:szCs w:val="24"/>
        </w:rPr>
        <w:t>4.3 Assume Breach</w:t>
      </w:r>
    </w:p>
    <w:p w14:paraId="629F08D6"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A defining Zero Trust assumption is that compromise is possible—or even inevitable [1]. This mindset shifts attention toward rapid detection and containment. </w:t>
      </w:r>
      <w:proofErr w:type="spellStart"/>
      <w:r w:rsidRPr="00AD25EE">
        <w:rPr>
          <w:rFonts w:ascii="Arial" w:hAnsi="Arial" w:cs="Arial"/>
          <w:sz w:val="24"/>
          <w:szCs w:val="24"/>
        </w:rPr>
        <w:t>Microsegmentation</w:t>
      </w:r>
      <w:proofErr w:type="spellEnd"/>
      <w:r w:rsidRPr="00AD25EE">
        <w:rPr>
          <w:rFonts w:ascii="Arial" w:hAnsi="Arial" w:cs="Arial"/>
          <w:sz w:val="24"/>
          <w:szCs w:val="24"/>
        </w:rPr>
        <w:t xml:space="preserve"> enables granular controls over east-west traffic, restricting unauthorized internal communication. Software-defined networking (SDN) approaches support fine-grained segmentation enforcement, as examined in SDN security research [9]. Continuous monitoring and anomaly detection further enhance breach identification by detecting deviations from expected behavior [10]. Together, these mechanisms improve resilience by limiting attacker dwell time and restricting propagation pathways.</w:t>
      </w:r>
    </w:p>
    <w:p w14:paraId="0A22E7AA" w14:textId="77777777" w:rsidR="00B97197" w:rsidRPr="00AD25EE" w:rsidRDefault="00B97197" w:rsidP="00B97197">
      <w:pPr>
        <w:rPr>
          <w:rFonts w:ascii="Arial" w:hAnsi="Arial" w:cs="Arial"/>
          <w:sz w:val="24"/>
          <w:szCs w:val="24"/>
        </w:rPr>
      </w:pPr>
    </w:p>
    <w:p w14:paraId="3E22A466" w14:textId="77777777" w:rsidR="00B97197" w:rsidRPr="00AD25EE" w:rsidRDefault="00B97197" w:rsidP="00B97197">
      <w:pPr>
        <w:rPr>
          <w:rFonts w:ascii="Arial" w:hAnsi="Arial" w:cs="Arial"/>
          <w:sz w:val="24"/>
          <w:szCs w:val="24"/>
        </w:rPr>
      </w:pPr>
    </w:p>
    <w:p w14:paraId="57393DB4" w14:textId="77777777" w:rsidR="00B97197" w:rsidRPr="00AD25EE" w:rsidRDefault="00B97197" w:rsidP="00B97197">
      <w:pPr>
        <w:rPr>
          <w:rFonts w:ascii="Arial" w:hAnsi="Arial" w:cs="Arial"/>
          <w:sz w:val="24"/>
          <w:szCs w:val="24"/>
        </w:rPr>
      </w:pPr>
    </w:p>
    <w:p w14:paraId="2285D8DC" w14:textId="77777777" w:rsidR="00B97197" w:rsidRPr="00AD25EE" w:rsidRDefault="00B97197" w:rsidP="00B97197">
      <w:pPr>
        <w:rPr>
          <w:rFonts w:ascii="Arial" w:hAnsi="Arial" w:cs="Arial"/>
          <w:sz w:val="24"/>
          <w:szCs w:val="24"/>
        </w:rPr>
      </w:pPr>
    </w:p>
    <w:p w14:paraId="563C2ADF" w14:textId="77777777" w:rsidR="00B97197" w:rsidRPr="00AD25EE" w:rsidRDefault="00B97197" w:rsidP="00B97197">
      <w:pPr>
        <w:rPr>
          <w:rFonts w:ascii="Arial" w:hAnsi="Arial" w:cs="Arial"/>
          <w:sz w:val="24"/>
          <w:szCs w:val="24"/>
        </w:rPr>
      </w:pPr>
    </w:p>
    <w:p w14:paraId="60782564" w14:textId="77777777" w:rsidR="00B97197" w:rsidRPr="00AD25EE" w:rsidRDefault="00B97197" w:rsidP="00AD25EE">
      <w:pPr>
        <w:pStyle w:val="Heading1"/>
        <w:rPr>
          <w:rFonts w:ascii="Arial" w:hAnsi="Arial" w:cs="Arial"/>
          <w:b/>
          <w:bCs/>
          <w:sz w:val="24"/>
          <w:szCs w:val="24"/>
        </w:rPr>
      </w:pPr>
      <w:r w:rsidRPr="00AD25EE">
        <w:rPr>
          <w:rFonts w:ascii="Arial" w:hAnsi="Arial" w:cs="Arial"/>
          <w:b/>
          <w:bCs/>
          <w:sz w:val="24"/>
          <w:szCs w:val="24"/>
        </w:rPr>
        <w:t>5. Architectural Components of Zero Trust</w:t>
      </w:r>
    </w:p>
    <w:p w14:paraId="7C3F5BB2"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5.1 Identity and Access Management (IAM)</w:t>
      </w:r>
    </w:p>
    <w:p w14:paraId="25ADAADC" w14:textId="77777777" w:rsidR="00B97197" w:rsidRPr="00AD25EE" w:rsidRDefault="00B97197" w:rsidP="00B97197">
      <w:pPr>
        <w:rPr>
          <w:rFonts w:ascii="Arial" w:hAnsi="Arial" w:cs="Arial"/>
          <w:sz w:val="24"/>
          <w:szCs w:val="24"/>
        </w:rPr>
      </w:pPr>
      <w:r w:rsidRPr="00AD25EE">
        <w:rPr>
          <w:rFonts w:ascii="Arial" w:hAnsi="Arial" w:cs="Arial"/>
          <w:sz w:val="24"/>
          <w:szCs w:val="24"/>
        </w:rPr>
        <w:t>In Zero Trust, identity functions as the primary control plane. Effective IAM includes credential lifecycle management, identity governance, and timely revocation of access. NIST digital identity standards emphasize that strong identity assurance is essential to secure access enforcement [2].</w:t>
      </w:r>
    </w:p>
    <w:p w14:paraId="128082AE"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5.2 Multi-Factor Authentication</w:t>
      </w:r>
    </w:p>
    <w:p w14:paraId="67220EFF" w14:textId="77777777" w:rsidR="00B97197" w:rsidRPr="00AD25EE" w:rsidRDefault="00B97197" w:rsidP="00B97197">
      <w:pPr>
        <w:rPr>
          <w:rFonts w:ascii="Arial" w:hAnsi="Arial" w:cs="Arial"/>
          <w:sz w:val="24"/>
          <w:szCs w:val="24"/>
        </w:rPr>
      </w:pPr>
      <w:r w:rsidRPr="00AD25EE">
        <w:rPr>
          <w:rFonts w:ascii="Arial" w:hAnsi="Arial" w:cs="Arial"/>
          <w:sz w:val="24"/>
          <w:szCs w:val="24"/>
        </w:rPr>
        <w:t>MFA reduces identity compromise risk by requiring additional verification factors beyond passwords [6]. In Zero Trust environments, adaptive authentication can adjust requirements based on contextual risk signals, improving both usability and security.</w:t>
      </w:r>
    </w:p>
    <w:p w14:paraId="20A638E9"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 xml:space="preserve">5.3 </w:t>
      </w:r>
      <w:proofErr w:type="spellStart"/>
      <w:r w:rsidRPr="00AD25EE">
        <w:rPr>
          <w:rFonts w:ascii="Arial" w:hAnsi="Arial" w:cs="Arial"/>
          <w:sz w:val="24"/>
          <w:szCs w:val="24"/>
        </w:rPr>
        <w:t>Microsegmentation</w:t>
      </w:r>
      <w:proofErr w:type="spellEnd"/>
    </w:p>
    <w:p w14:paraId="23E2082E" w14:textId="77777777" w:rsidR="00B97197" w:rsidRPr="00AD25EE" w:rsidRDefault="00B97197" w:rsidP="00B97197">
      <w:pPr>
        <w:rPr>
          <w:rFonts w:ascii="Arial" w:hAnsi="Arial" w:cs="Arial"/>
          <w:sz w:val="24"/>
          <w:szCs w:val="24"/>
        </w:rPr>
      </w:pPr>
      <w:proofErr w:type="spellStart"/>
      <w:r w:rsidRPr="00AD25EE">
        <w:rPr>
          <w:rFonts w:ascii="Arial" w:hAnsi="Arial" w:cs="Arial"/>
          <w:sz w:val="24"/>
          <w:szCs w:val="24"/>
        </w:rPr>
        <w:t>Microsegmentation</w:t>
      </w:r>
      <w:proofErr w:type="spellEnd"/>
      <w:r w:rsidRPr="00AD25EE">
        <w:rPr>
          <w:rFonts w:ascii="Arial" w:hAnsi="Arial" w:cs="Arial"/>
          <w:sz w:val="24"/>
          <w:szCs w:val="24"/>
        </w:rPr>
        <w:t xml:space="preserve"> partitions networks into smaller, isolated zones, requiring explicit authorization between segments. SDN-based mechanisms can support centralized enforcement and traffic inspection [9]. This approach mitigates the risks associated with the flat internal networks often found in legacy architectures.</w:t>
      </w:r>
    </w:p>
    <w:p w14:paraId="316095C4" w14:textId="77777777" w:rsidR="00B97197" w:rsidRPr="00AD25EE" w:rsidRDefault="00B97197" w:rsidP="00B97197">
      <w:pPr>
        <w:rPr>
          <w:rFonts w:ascii="Arial" w:hAnsi="Arial" w:cs="Arial"/>
          <w:sz w:val="24"/>
          <w:szCs w:val="24"/>
        </w:rPr>
      </w:pPr>
    </w:p>
    <w:p w14:paraId="615E5DDD" w14:textId="77777777" w:rsidR="00B97197" w:rsidRPr="00AD25EE" w:rsidRDefault="00B97197" w:rsidP="00B97197">
      <w:pPr>
        <w:rPr>
          <w:rFonts w:ascii="Arial" w:hAnsi="Arial" w:cs="Arial"/>
          <w:sz w:val="24"/>
          <w:szCs w:val="24"/>
        </w:rPr>
      </w:pPr>
    </w:p>
    <w:p w14:paraId="7C43C312"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5.4 Policy Engines and Enforcement Points</w:t>
      </w:r>
    </w:p>
    <w:p w14:paraId="23CB4BC2" w14:textId="77777777" w:rsidR="00AD25EE" w:rsidRPr="00AD25EE" w:rsidRDefault="00AD25EE" w:rsidP="00AD25EE">
      <w:pPr>
        <w:rPr>
          <w:rFonts w:ascii="Arial" w:hAnsi="Arial" w:cs="Arial"/>
          <w:sz w:val="24"/>
          <w:szCs w:val="24"/>
        </w:rPr>
      </w:pPr>
    </w:p>
    <w:p w14:paraId="4E9F76EF" w14:textId="77777777" w:rsidR="00B97197" w:rsidRPr="00AD25EE" w:rsidRDefault="00B97197" w:rsidP="00B97197">
      <w:pPr>
        <w:rPr>
          <w:rFonts w:ascii="Arial" w:hAnsi="Arial" w:cs="Arial"/>
          <w:sz w:val="24"/>
          <w:szCs w:val="24"/>
        </w:rPr>
      </w:pPr>
      <w:r w:rsidRPr="00AD25EE">
        <w:rPr>
          <w:rFonts w:ascii="Arial" w:hAnsi="Arial" w:cs="Arial"/>
          <w:sz w:val="24"/>
          <w:szCs w:val="24"/>
        </w:rPr>
        <w:t>Zero Trust relies on centralized policy engines to evaluate contextual signals and determine whether access should be granted [1]. Policy Enforcement Points (PEPs) implement these decisions consistently across on-premises, hybrid, and multi-cloud environments.</w:t>
      </w:r>
    </w:p>
    <w:p w14:paraId="56A29028"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5.5 Continuous Monitoring and Automated</w:t>
      </w:r>
      <w:r w:rsidRPr="00AD25EE">
        <w:rPr>
          <w:rFonts w:ascii="Arial" w:hAnsi="Arial" w:cs="Arial"/>
          <w:sz w:val="24"/>
          <w:szCs w:val="24"/>
        </w:rPr>
        <w:t xml:space="preserve"> Response</w:t>
      </w:r>
    </w:p>
    <w:p w14:paraId="43DF75BC" w14:textId="77777777" w:rsidR="00AD25EE" w:rsidRPr="00AD25EE" w:rsidRDefault="00AD25EE" w:rsidP="00AD25EE">
      <w:pPr>
        <w:rPr>
          <w:rFonts w:ascii="Arial" w:hAnsi="Arial" w:cs="Arial"/>
          <w:sz w:val="24"/>
          <w:szCs w:val="24"/>
        </w:rPr>
      </w:pPr>
    </w:p>
    <w:p w14:paraId="3581267F"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Continuous monitoring aggregates telemetry from endpoints, networks, and cloud services to improve visibility. Research on anomaly detection highlights the value of establishing baselines and identifying deviations that may indicate malicious activity [10]. Automation can reduce Mean Time to Detect (MTTD) and </w:t>
      </w:r>
      <w:r w:rsidRPr="00AD25EE">
        <w:rPr>
          <w:rFonts w:ascii="Arial" w:hAnsi="Arial" w:cs="Arial"/>
          <w:sz w:val="24"/>
          <w:szCs w:val="24"/>
        </w:rPr>
        <w:t>Mean Time to Respond (MTTR), improving operational responsiveness and reducing the window of attacker activity.</w:t>
      </w:r>
    </w:p>
    <w:p w14:paraId="36AEB96B" w14:textId="77777777" w:rsidR="00B97197" w:rsidRPr="00AD25EE" w:rsidRDefault="00B97197" w:rsidP="00B97197">
      <w:pPr>
        <w:rPr>
          <w:rFonts w:ascii="Arial" w:hAnsi="Arial" w:cs="Arial"/>
          <w:sz w:val="24"/>
          <w:szCs w:val="24"/>
        </w:rPr>
      </w:pPr>
    </w:p>
    <w:p w14:paraId="680C0B32" w14:textId="426F6273" w:rsidR="00B97197" w:rsidRPr="00AD25EE" w:rsidRDefault="00B97197" w:rsidP="00AD25EE">
      <w:pPr>
        <w:pStyle w:val="Heading1"/>
        <w:numPr>
          <w:ilvl w:val="0"/>
          <w:numId w:val="4"/>
        </w:numPr>
        <w:rPr>
          <w:rFonts w:ascii="Arial" w:hAnsi="Arial" w:cs="Arial"/>
          <w:b/>
          <w:bCs/>
          <w:sz w:val="24"/>
          <w:szCs w:val="24"/>
        </w:rPr>
      </w:pPr>
      <w:r w:rsidRPr="00AD25EE">
        <w:rPr>
          <w:rFonts w:ascii="Arial" w:hAnsi="Arial" w:cs="Arial"/>
          <w:b/>
          <w:bCs/>
          <w:sz w:val="24"/>
          <w:szCs w:val="24"/>
        </w:rPr>
        <w:t>Critical Evaluation of Zero Trust Architecture</w:t>
      </w:r>
    </w:p>
    <w:p w14:paraId="28543B30" w14:textId="77777777" w:rsidR="00AD25EE" w:rsidRPr="00AD25EE" w:rsidRDefault="00AD25EE" w:rsidP="00AD25EE">
      <w:pPr>
        <w:pStyle w:val="ListParagraph"/>
        <w:ind w:start="18pt"/>
        <w:jc w:val="both"/>
        <w:rPr>
          <w:rFonts w:ascii="Arial" w:hAnsi="Arial" w:cs="Arial"/>
          <w:sz w:val="24"/>
          <w:szCs w:val="24"/>
        </w:rPr>
      </w:pPr>
    </w:p>
    <w:p w14:paraId="31166863"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6.1 Security Advantages</w:t>
      </w:r>
    </w:p>
    <w:p w14:paraId="43AF7508" w14:textId="77777777" w:rsidR="00B97197" w:rsidRPr="00AD25EE" w:rsidRDefault="00B97197" w:rsidP="00B97197">
      <w:pPr>
        <w:rPr>
          <w:rFonts w:ascii="Arial" w:hAnsi="Arial" w:cs="Arial"/>
          <w:sz w:val="24"/>
          <w:szCs w:val="24"/>
        </w:rPr>
      </w:pPr>
      <w:r w:rsidRPr="00AD25EE">
        <w:rPr>
          <w:rFonts w:ascii="Arial" w:hAnsi="Arial" w:cs="Arial"/>
          <w:sz w:val="24"/>
          <w:szCs w:val="24"/>
        </w:rPr>
        <w:t>Zero Trust provides several measurable security benefits:</w:t>
      </w:r>
    </w:p>
    <w:p w14:paraId="0FC81188" w14:textId="77777777" w:rsidR="00AD25EE" w:rsidRPr="00AD25EE" w:rsidRDefault="00AD25EE" w:rsidP="00B97197">
      <w:pPr>
        <w:rPr>
          <w:rFonts w:ascii="Arial" w:hAnsi="Arial" w:cs="Arial"/>
          <w:sz w:val="24"/>
          <w:szCs w:val="24"/>
        </w:rPr>
      </w:pPr>
    </w:p>
    <w:p w14:paraId="3D29904B"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 </w:t>
      </w:r>
      <w:r w:rsidRPr="00AD25EE">
        <w:rPr>
          <w:rFonts w:ascii="Arial" w:hAnsi="Arial" w:cs="Arial"/>
          <w:b/>
          <w:bCs/>
          <w:sz w:val="24"/>
          <w:szCs w:val="24"/>
        </w:rPr>
        <w:t>Reduced lateral movement through segmentation [9]</w:t>
      </w:r>
      <w:r w:rsidRPr="00AD25EE">
        <w:rPr>
          <w:rFonts w:ascii="Arial" w:hAnsi="Arial" w:cs="Arial"/>
          <w:sz w:val="24"/>
          <w:szCs w:val="24"/>
        </w:rPr>
        <w:br/>
      </w:r>
      <w:proofErr w:type="spellStart"/>
      <w:r w:rsidRPr="00AD25EE">
        <w:rPr>
          <w:rFonts w:ascii="Arial" w:hAnsi="Arial" w:cs="Arial"/>
          <w:sz w:val="24"/>
          <w:szCs w:val="24"/>
        </w:rPr>
        <w:t>Microsegmentation</w:t>
      </w:r>
      <w:proofErr w:type="spellEnd"/>
      <w:r w:rsidRPr="00AD25EE">
        <w:rPr>
          <w:rFonts w:ascii="Arial" w:hAnsi="Arial" w:cs="Arial"/>
          <w:sz w:val="24"/>
          <w:szCs w:val="24"/>
        </w:rPr>
        <w:t xml:space="preserve"> restricts communication between different parts of the network, ensuring that access must be explicitly </w:t>
      </w:r>
      <w:proofErr w:type="spellStart"/>
      <w:r w:rsidRPr="00AD25EE">
        <w:rPr>
          <w:rFonts w:ascii="Arial" w:hAnsi="Arial" w:cs="Arial"/>
          <w:sz w:val="24"/>
          <w:szCs w:val="24"/>
        </w:rPr>
        <w:t>authorised</w:t>
      </w:r>
      <w:proofErr w:type="spellEnd"/>
      <w:r w:rsidRPr="00AD25EE">
        <w:rPr>
          <w:rFonts w:ascii="Arial" w:hAnsi="Arial" w:cs="Arial"/>
          <w:sz w:val="24"/>
          <w:szCs w:val="24"/>
        </w:rPr>
        <w:t xml:space="preserve"> for each interaction. This significantly limits an attacker’s ability to move laterally within the system after an initial compromise, reducing the overall impact of a breach.</w:t>
      </w:r>
    </w:p>
    <w:p w14:paraId="65837455" w14:textId="77777777" w:rsidR="00AD25EE" w:rsidRPr="00AD25EE" w:rsidRDefault="00AD25EE" w:rsidP="00B97197">
      <w:pPr>
        <w:rPr>
          <w:rFonts w:ascii="Arial" w:hAnsi="Arial" w:cs="Arial"/>
          <w:sz w:val="24"/>
          <w:szCs w:val="24"/>
        </w:rPr>
      </w:pPr>
    </w:p>
    <w:p w14:paraId="7E9165A8"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 </w:t>
      </w:r>
      <w:r w:rsidRPr="00AD25EE">
        <w:rPr>
          <w:rFonts w:ascii="Arial" w:hAnsi="Arial" w:cs="Arial"/>
          <w:b/>
          <w:bCs/>
          <w:sz w:val="24"/>
          <w:szCs w:val="24"/>
        </w:rPr>
        <w:t>Stronger identity governance via structured access models [7]</w:t>
      </w:r>
      <w:r w:rsidRPr="00AD25EE">
        <w:rPr>
          <w:rFonts w:ascii="Arial" w:hAnsi="Arial" w:cs="Arial"/>
          <w:sz w:val="24"/>
          <w:szCs w:val="24"/>
        </w:rPr>
        <w:br/>
        <w:t xml:space="preserve">Structured access control models such as Role-Based Access Control ensure that permissions are assigned based on clearly defined roles. This reduces excessive access rights and enforces the principle of least privilege, </w:t>
      </w:r>
      <w:proofErr w:type="spellStart"/>
      <w:r w:rsidRPr="00AD25EE">
        <w:rPr>
          <w:rFonts w:ascii="Arial" w:hAnsi="Arial" w:cs="Arial"/>
          <w:sz w:val="24"/>
          <w:szCs w:val="24"/>
        </w:rPr>
        <w:t>minimising</w:t>
      </w:r>
      <w:proofErr w:type="spellEnd"/>
      <w:r w:rsidRPr="00AD25EE">
        <w:rPr>
          <w:rFonts w:ascii="Arial" w:hAnsi="Arial" w:cs="Arial"/>
          <w:sz w:val="24"/>
          <w:szCs w:val="24"/>
        </w:rPr>
        <w:t xml:space="preserve"> the risk of insider threats and </w:t>
      </w:r>
      <w:proofErr w:type="spellStart"/>
      <w:r w:rsidRPr="00AD25EE">
        <w:rPr>
          <w:rFonts w:ascii="Arial" w:hAnsi="Arial" w:cs="Arial"/>
          <w:sz w:val="24"/>
          <w:szCs w:val="24"/>
        </w:rPr>
        <w:t>unauthorised</w:t>
      </w:r>
      <w:proofErr w:type="spellEnd"/>
      <w:r w:rsidRPr="00AD25EE">
        <w:rPr>
          <w:rFonts w:ascii="Arial" w:hAnsi="Arial" w:cs="Arial"/>
          <w:sz w:val="24"/>
          <w:szCs w:val="24"/>
        </w:rPr>
        <w:t xml:space="preserve"> access.</w:t>
      </w:r>
    </w:p>
    <w:p w14:paraId="1F6BF2FC" w14:textId="77777777" w:rsidR="00AD25EE" w:rsidRPr="00AD25EE" w:rsidRDefault="00AD25EE" w:rsidP="00B97197">
      <w:pPr>
        <w:rPr>
          <w:rFonts w:ascii="Arial" w:hAnsi="Arial" w:cs="Arial"/>
          <w:sz w:val="24"/>
          <w:szCs w:val="24"/>
        </w:rPr>
      </w:pPr>
    </w:p>
    <w:p w14:paraId="2AF5EB1F"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 </w:t>
      </w:r>
      <w:r w:rsidRPr="00AD25EE">
        <w:rPr>
          <w:rFonts w:ascii="Arial" w:hAnsi="Arial" w:cs="Arial"/>
          <w:b/>
          <w:bCs/>
          <w:sz w:val="24"/>
          <w:szCs w:val="24"/>
        </w:rPr>
        <w:t>Increased authentication assurance through MFA [6]</w:t>
      </w:r>
      <w:r w:rsidRPr="00AD25EE">
        <w:rPr>
          <w:rFonts w:ascii="Arial" w:hAnsi="Arial" w:cs="Arial"/>
          <w:sz w:val="24"/>
          <w:szCs w:val="24"/>
        </w:rPr>
        <w:br/>
        <w:t xml:space="preserve">Multi-Factor Authentication strengthens security by requiring multiple forms of verification beyond just a password. Even if credentials are compromised, additional authentication factors make it significantly more difficult for attackers to gain </w:t>
      </w:r>
      <w:proofErr w:type="spellStart"/>
      <w:r w:rsidRPr="00AD25EE">
        <w:rPr>
          <w:rFonts w:ascii="Arial" w:hAnsi="Arial" w:cs="Arial"/>
          <w:sz w:val="24"/>
          <w:szCs w:val="24"/>
        </w:rPr>
        <w:t>unauthorised</w:t>
      </w:r>
      <w:proofErr w:type="spellEnd"/>
      <w:r w:rsidRPr="00AD25EE">
        <w:rPr>
          <w:rFonts w:ascii="Arial" w:hAnsi="Arial" w:cs="Arial"/>
          <w:sz w:val="24"/>
          <w:szCs w:val="24"/>
        </w:rPr>
        <w:t xml:space="preserve"> access to systems.</w:t>
      </w:r>
    </w:p>
    <w:p w14:paraId="3749DF4D"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 </w:t>
      </w:r>
      <w:r w:rsidRPr="00AD25EE">
        <w:rPr>
          <w:rFonts w:ascii="Arial" w:hAnsi="Arial" w:cs="Arial"/>
          <w:b/>
          <w:bCs/>
          <w:sz w:val="24"/>
          <w:szCs w:val="24"/>
        </w:rPr>
        <w:t>Improved visibility through anomaly detection and monitoring [10]</w:t>
      </w:r>
      <w:r w:rsidRPr="00AD25EE">
        <w:rPr>
          <w:rFonts w:ascii="Arial" w:hAnsi="Arial" w:cs="Arial"/>
          <w:sz w:val="24"/>
          <w:szCs w:val="24"/>
        </w:rPr>
        <w:br/>
        <w:t xml:space="preserve">Continuous monitoring and </w:t>
      </w:r>
      <w:proofErr w:type="spellStart"/>
      <w:r w:rsidRPr="00AD25EE">
        <w:rPr>
          <w:rFonts w:ascii="Arial" w:hAnsi="Arial" w:cs="Arial"/>
          <w:sz w:val="24"/>
          <w:szCs w:val="24"/>
        </w:rPr>
        <w:t>behavioural</w:t>
      </w:r>
      <w:proofErr w:type="spellEnd"/>
      <w:r w:rsidRPr="00AD25EE">
        <w:rPr>
          <w:rFonts w:ascii="Arial" w:hAnsi="Arial" w:cs="Arial"/>
          <w:sz w:val="24"/>
          <w:szCs w:val="24"/>
        </w:rPr>
        <w:t xml:space="preserve"> analysis allow </w:t>
      </w:r>
      <w:proofErr w:type="spellStart"/>
      <w:r w:rsidRPr="00AD25EE">
        <w:rPr>
          <w:rFonts w:ascii="Arial" w:hAnsi="Arial" w:cs="Arial"/>
          <w:sz w:val="24"/>
          <w:szCs w:val="24"/>
        </w:rPr>
        <w:t>organisations</w:t>
      </w:r>
      <w:proofErr w:type="spellEnd"/>
      <w:r w:rsidRPr="00AD25EE">
        <w:rPr>
          <w:rFonts w:ascii="Arial" w:hAnsi="Arial" w:cs="Arial"/>
          <w:sz w:val="24"/>
          <w:szCs w:val="24"/>
        </w:rPr>
        <w:t xml:space="preserve"> to detect unusual activity in real time. By identifying deviations from normal patterns, security teams can respond more quickly to potential threats, reducing attacker dwell time and </w:t>
      </w:r>
      <w:r w:rsidRPr="00AD25EE">
        <w:rPr>
          <w:rFonts w:ascii="Arial" w:hAnsi="Arial" w:cs="Arial"/>
          <w:sz w:val="24"/>
          <w:szCs w:val="24"/>
        </w:rPr>
        <w:lastRenderedPageBreak/>
        <w:t>improving overall incident response effectiveness.</w:t>
      </w:r>
    </w:p>
    <w:p w14:paraId="28085B0D" w14:textId="77777777" w:rsidR="00B97197" w:rsidRPr="00AD25EE" w:rsidRDefault="00B97197" w:rsidP="00B97197">
      <w:pPr>
        <w:rPr>
          <w:rFonts w:ascii="Arial" w:hAnsi="Arial" w:cs="Arial"/>
          <w:sz w:val="24"/>
          <w:szCs w:val="24"/>
        </w:rPr>
      </w:pPr>
    </w:p>
    <w:p w14:paraId="6399BF89" w14:textId="77777777" w:rsidR="00B97197" w:rsidRPr="00AD25EE" w:rsidRDefault="00B97197" w:rsidP="00B97197">
      <w:pPr>
        <w:rPr>
          <w:rFonts w:ascii="Arial" w:hAnsi="Arial" w:cs="Arial"/>
          <w:sz w:val="24"/>
          <w:szCs w:val="24"/>
        </w:rPr>
      </w:pPr>
      <w:r w:rsidRPr="00AD25EE">
        <w:rPr>
          <w:rFonts w:ascii="Arial" w:hAnsi="Arial" w:cs="Arial"/>
          <w:sz w:val="24"/>
          <w:szCs w:val="24"/>
        </w:rPr>
        <w:t>By eliminating implicit trust, ZTA directly addresses core weaknesses in perimeter-based security.</w:t>
      </w:r>
    </w:p>
    <w:p w14:paraId="1C55E55B" w14:textId="77777777" w:rsidR="00B97197" w:rsidRPr="00AD25EE" w:rsidRDefault="00B97197" w:rsidP="00AD25EE">
      <w:pPr>
        <w:pStyle w:val="Heading2"/>
        <w:rPr>
          <w:rFonts w:ascii="Arial" w:hAnsi="Arial" w:cs="Arial"/>
          <w:sz w:val="24"/>
          <w:szCs w:val="24"/>
        </w:rPr>
      </w:pPr>
      <w:r w:rsidRPr="00AD25EE">
        <w:rPr>
          <w:rFonts w:ascii="Arial" w:hAnsi="Arial" w:cs="Arial"/>
          <w:sz w:val="24"/>
          <w:szCs w:val="24"/>
        </w:rPr>
        <w:t>6.2 Limitations and Operational Challenges</w:t>
      </w:r>
    </w:p>
    <w:p w14:paraId="264C8DD5" w14:textId="77777777" w:rsidR="00B97197" w:rsidRPr="00AD25EE" w:rsidRDefault="00B97197" w:rsidP="00B97197">
      <w:pPr>
        <w:rPr>
          <w:rFonts w:ascii="Arial" w:hAnsi="Arial" w:cs="Arial"/>
          <w:sz w:val="24"/>
          <w:szCs w:val="24"/>
        </w:rPr>
      </w:pPr>
      <w:r w:rsidRPr="00AD25EE">
        <w:rPr>
          <w:rFonts w:ascii="Arial" w:hAnsi="Arial" w:cs="Arial"/>
          <w:sz w:val="24"/>
          <w:szCs w:val="24"/>
        </w:rPr>
        <w:t>Despite its strengths, Zero Trust adoption introduces substantial complexity. Security engineering research emphasizes that architectural transitions demand careful integration, consistent policy design, and governance alignment [3]. Legacy systems may not support modern identity federation or granular policy enforcement, increasing implementation difficulty.</w:t>
      </w:r>
    </w:p>
    <w:p w14:paraId="61E9D994" w14:textId="77777777" w:rsidR="00B97197" w:rsidRPr="00AD25EE" w:rsidRDefault="00B97197" w:rsidP="00B97197">
      <w:pPr>
        <w:rPr>
          <w:rFonts w:ascii="Arial" w:hAnsi="Arial" w:cs="Arial"/>
          <w:sz w:val="24"/>
          <w:szCs w:val="24"/>
        </w:rPr>
      </w:pPr>
      <w:r w:rsidRPr="00AD25EE">
        <w:rPr>
          <w:rFonts w:ascii="Arial" w:hAnsi="Arial" w:cs="Arial"/>
          <w:sz w:val="24"/>
          <w:szCs w:val="24"/>
        </w:rPr>
        <w:t>Importantly, Zero Trust does not eliminate the need for baseline security controls. Comprehensive frameworks emphasize that encryption, endpoint protection, intrusion detection, and related safeguards remain essential within a layered defense approach [11]. Additionally, trust management challenges in cloud environments—such as multi-tenancy and third-party dependencies—can complicate consistent policy enforcement [4].</w:t>
      </w:r>
    </w:p>
    <w:p w14:paraId="634CDB41" w14:textId="77777777" w:rsidR="00B97197" w:rsidRPr="00AD25EE" w:rsidRDefault="00B97197" w:rsidP="00B97197">
      <w:pPr>
        <w:rPr>
          <w:rFonts w:ascii="Arial" w:hAnsi="Arial" w:cs="Arial"/>
          <w:sz w:val="24"/>
          <w:szCs w:val="24"/>
        </w:rPr>
      </w:pPr>
      <w:r w:rsidRPr="00AD25EE">
        <w:rPr>
          <w:rFonts w:ascii="Arial" w:hAnsi="Arial" w:cs="Arial"/>
          <w:sz w:val="24"/>
          <w:szCs w:val="24"/>
        </w:rPr>
        <w:t>Accordingly, Zero Trust should be approached as an evolving security paradigm that integrates identity-centric principles into broader security ecosystems rather than as a standalone solution.</w:t>
      </w:r>
    </w:p>
    <w:p w14:paraId="16843A50" w14:textId="77777777" w:rsidR="00B97197" w:rsidRPr="00AD25EE" w:rsidRDefault="00B97197" w:rsidP="00B97197">
      <w:pPr>
        <w:jc w:val="both"/>
        <w:rPr>
          <w:rFonts w:ascii="Arial" w:hAnsi="Arial" w:cs="Arial"/>
          <w:sz w:val="24"/>
          <w:szCs w:val="24"/>
        </w:rPr>
      </w:pPr>
    </w:p>
    <w:p w14:paraId="2B40702C" w14:textId="77777777" w:rsidR="00B97197" w:rsidRPr="00AD25EE" w:rsidRDefault="00B97197" w:rsidP="00AD25EE">
      <w:pPr>
        <w:pStyle w:val="Heading1"/>
        <w:rPr>
          <w:rFonts w:ascii="Arial" w:hAnsi="Arial" w:cs="Arial"/>
          <w:b/>
          <w:bCs/>
          <w:sz w:val="24"/>
          <w:szCs w:val="24"/>
        </w:rPr>
      </w:pPr>
      <w:r w:rsidRPr="00AD25EE">
        <w:rPr>
          <w:rFonts w:ascii="Arial" w:hAnsi="Arial" w:cs="Arial"/>
          <w:b/>
          <w:bCs/>
          <w:sz w:val="24"/>
          <w:szCs w:val="24"/>
        </w:rPr>
        <w:t>7. Strategic Implications</w:t>
      </w:r>
    </w:p>
    <w:p w14:paraId="621C1DA0" w14:textId="77777777" w:rsidR="00B97197" w:rsidRPr="00AD25EE" w:rsidRDefault="00B97197" w:rsidP="00B97197">
      <w:pPr>
        <w:rPr>
          <w:rFonts w:ascii="Arial" w:hAnsi="Arial" w:cs="Arial"/>
          <w:sz w:val="24"/>
          <w:szCs w:val="24"/>
        </w:rPr>
      </w:pPr>
      <w:r w:rsidRPr="00AD25EE">
        <w:rPr>
          <w:rFonts w:ascii="Arial" w:hAnsi="Arial" w:cs="Arial"/>
          <w:sz w:val="24"/>
          <w:szCs w:val="24"/>
        </w:rPr>
        <w:t>Zero Trust is best understood as a strategic shift rather than a single technical deployment. Its effectiveness depends on:</w:t>
      </w:r>
    </w:p>
    <w:p w14:paraId="6BA98011" w14:textId="77777777" w:rsidR="00B97197" w:rsidRPr="00AD25EE" w:rsidRDefault="00B97197" w:rsidP="00B97197">
      <w:pPr>
        <w:numPr>
          <w:ilvl w:val="0"/>
          <w:numId w:val="26"/>
        </w:numPr>
        <w:spacing w:after="8pt" w:line="13.90pt" w:lineRule="auto"/>
        <w:jc w:val="start"/>
        <w:rPr>
          <w:rFonts w:ascii="Arial" w:hAnsi="Arial" w:cs="Arial"/>
          <w:sz w:val="24"/>
          <w:szCs w:val="24"/>
        </w:rPr>
      </w:pPr>
      <w:r w:rsidRPr="00AD25EE">
        <w:rPr>
          <w:rFonts w:ascii="Arial" w:hAnsi="Arial" w:cs="Arial"/>
          <w:sz w:val="24"/>
          <w:szCs w:val="24"/>
        </w:rPr>
        <w:t>Executive sponsorship</w:t>
      </w:r>
    </w:p>
    <w:p w14:paraId="60A2F4C6" w14:textId="77777777" w:rsidR="00B97197" w:rsidRPr="00AD25EE" w:rsidRDefault="00B97197" w:rsidP="00B97197">
      <w:pPr>
        <w:numPr>
          <w:ilvl w:val="0"/>
          <w:numId w:val="26"/>
        </w:numPr>
        <w:spacing w:after="8pt" w:line="13.90pt" w:lineRule="auto"/>
        <w:jc w:val="start"/>
        <w:rPr>
          <w:rFonts w:ascii="Arial" w:hAnsi="Arial" w:cs="Arial"/>
          <w:sz w:val="24"/>
          <w:szCs w:val="24"/>
        </w:rPr>
      </w:pPr>
      <w:r w:rsidRPr="00AD25EE">
        <w:rPr>
          <w:rFonts w:ascii="Arial" w:hAnsi="Arial" w:cs="Arial"/>
          <w:sz w:val="24"/>
          <w:szCs w:val="24"/>
        </w:rPr>
        <w:t>Accurate asset and identity inventories</w:t>
      </w:r>
    </w:p>
    <w:p w14:paraId="66953FA5" w14:textId="77777777" w:rsidR="00B97197" w:rsidRPr="00AD25EE" w:rsidRDefault="00B97197" w:rsidP="00B97197">
      <w:pPr>
        <w:numPr>
          <w:ilvl w:val="0"/>
          <w:numId w:val="26"/>
        </w:numPr>
        <w:spacing w:after="8pt" w:line="13.90pt" w:lineRule="auto"/>
        <w:jc w:val="start"/>
        <w:rPr>
          <w:rFonts w:ascii="Arial" w:hAnsi="Arial" w:cs="Arial"/>
          <w:sz w:val="24"/>
          <w:szCs w:val="24"/>
        </w:rPr>
      </w:pPr>
      <w:r w:rsidRPr="00AD25EE">
        <w:rPr>
          <w:rFonts w:ascii="Arial" w:hAnsi="Arial" w:cs="Arial"/>
          <w:sz w:val="24"/>
          <w:szCs w:val="24"/>
        </w:rPr>
        <w:t>Mature identity governance and access processes</w:t>
      </w:r>
    </w:p>
    <w:p w14:paraId="06B7967B" w14:textId="77777777" w:rsidR="00B97197" w:rsidRPr="00AD25EE" w:rsidRDefault="00B97197" w:rsidP="00B97197">
      <w:pPr>
        <w:numPr>
          <w:ilvl w:val="0"/>
          <w:numId w:val="26"/>
        </w:numPr>
        <w:spacing w:after="8pt" w:line="13.90pt" w:lineRule="auto"/>
        <w:jc w:val="start"/>
        <w:rPr>
          <w:rFonts w:ascii="Arial" w:hAnsi="Arial" w:cs="Arial"/>
          <w:sz w:val="24"/>
          <w:szCs w:val="24"/>
        </w:rPr>
      </w:pPr>
      <w:r w:rsidRPr="00AD25EE">
        <w:rPr>
          <w:rFonts w:ascii="Arial" w:hAnsi="Arial" w:cs="Arial"/>
          <w:sz w:val="24"/>
          <w:szCs w:val="24"/>
        </w:rPr>
        <w:t>Strong monitoring and response capabilities</w:t>
      </w:r>
    </w:p>
    <w:p w14:paraId="4C14919F"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Gilman and Barth argue that Zero Trust is fundamentally an architectural mindset rather than a product [12]. Implementations are therefore typically phased, often beginning </w:t>
      </w:r>
      <w:r w:rsidRPr="00AD25EE">
        <w:rPr>
          <w:rFonts w:ascii="Arial" w:hAnsi="Arial" w:cs="Arial"/>
          <w:sz w:val="24"/>
          <w:szCs w:val="24"/>
        </w:rPr>
        <w:t>with identity modernization and progressing toward segmentation and automated enforcement.</w:t>
      </w:r>
    </w:p>
    <w:p w14:paraId="4C236FA8" w14:textId="77777777" w:rsidR="00B97197" w:rsidRPr="00AD25EE" w:rsidRDefault="00B97197" w:rsidP="00B97197">
      <w:pPr>
        <w:rPr>
          <w:rFonts w:ascii="Arial" w:hAnsi="Arial" w:cs="Arial"/>
          <w:sz w:val="24"/>
          <w:szCs w:val="24"/>
        </w:rPr>
      </w:pPr>
    </w:p>
    <w:p w14:paraId="067F5348" w14:textId="77777777" w:rsidR="00B97197" w:rsidRPr="00AD25EE" w:rsidRDefault="00B97197" w:rsidP="00AD25EE">
      <w:pPr>
        <w:pStyle w:val="Heading1"/>
        <w:rPr>
          <w:rFonts w:ascii="Arial" w:hAnsi="Arial" w:cs="Arial"/>
          <w:b/>
          <w:bCs/>
          <w:sz w:val="24"/>
          <w:szCs w:val="24"/>
        </w:rPr>
      </w:pPr>
      <w:r w:rsidRPr="00AD25EE">
        <w:rPr>
          <w:rFonts w:ascii="Arial" w:hAnsi="Arial" w:cs="Arial"/>
          <w:b/>
          <w:bCs/>
          <w:sz w:val="24"/>
          <w:szCs w:val="24"/>
        </w:rPr>
        <w:t>8. Zero Trust as a Proactive Security Framework: Anticipate, Protect, Detect, and Automatically Respond</w:t>
      </w:r>
    </w:p>
    <w:p w14:paraId="13DDF83C" w14:textId="77777777" w:rsidR="00AD25EE" w:rsidRPr="00AD25EE" w:rsidRDefault="00AD25EE" w:rsidP="00AD25EE">
      <w:pPr>
        <w:rPr>
          <w:rFonts w:ascii="Arial" w:hAnsi="Arial" w:cs="Arial"/>
          <w:sz w:val="24"/>
          <w:szCs w:val="24"/>
        </w:rPr>
      </w:pPr>
    </w:p>
    <w:p w14:paraId="5DAA9D10" w14:textId="77777777" w:rsidR="00B97197" w:rsidRPr="00AD25EE" w:rsidRDefault="00B97197" w:rsidP="00B97197">
      <w:pPr>
        <w:rPr>
          <w:rFonts w:ascii="Arial" w:hAnsi="Arial" w:cs="Arial"/>
          <w:sz w:val="24"/>
          <w:szCs w:val="24"/>
        </w:rPr>
      </w:pPr>
      <w:r w:rsidRPr="00AD25EE">
        <w:rPr>
          <w:rFonts w:ascii="Arial" w:hAnsi="Arial" w:cs="Arial"/>
          <w:sz w:val="24"/>
          <w:szCs w:val="24"/>
        </w:rPr>
        <w:t>Zero Trust should be interpreted not only as access control, but also as a proactive strategy for anticipating threats, strengthening protection, improving detection, and enabling automated response. Unlike perimeter-based models that emphasize boundary defense, ZTA distributes controls across the infrastructure lifecycle.</w:t>
      </w:r>
    </w:p>
    <w:p w14:paraId="39292DAD" w14:textId="77777777" w:rsidR="00AD25EE" w:rsidRPr="00AD25EE" w:rsidRDefault="00AD25EE" w:rsidP="00B97197">
      <w:pPr>
        <w:rPr>
          <w:rFonts w:ascii="Arial" w:hAnsi="Arial" w:cs="Arial"/>
          <w:sz w:val="24"/>
          <w:szCs w:val="24"/>
        </w:rPr>
      </w:pPr>
    </w:p>
    <w:p w14:paraId="75585995"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8.1 Anticipate: Risk-Based Architectural Design</w:t>
      </w:r>
    </w:p>
    <w:p w14:paraId="5971A31C" w14:textId="77777777" w:rsidR="00B97197" w:rsidRPr="00AD25EE" w:rsidRDefault="00B97197" w:rsidP="00B97197">
      <w:pPr>
        <w:rPr>
          <w:rFonts w:ascii="Arial" w:hAnsi="Arial" w:cs="Arial"/>
          <w:sz w:val="24"/>
          <w:szCs w:val="24"/>
        </w:rPr>
      </w:pPr>
      <w:r w:rsidRPr="00AD25EE">
        <w:rPr>
          <w:rFonts w:ascii="Arial" w:hAnsi="Arial" w:cs="Arial"/>
          <w:sz w:val="24"/>
          <w:szCs w:val="24"/>
        </w:rPr>
        <w:t>Traditional architectures can be reactive, responding after perimeter compromise. Zero Trust assumes breach and aims to reduce attack surfaces from the outset [1]. Identity-centric policies and removal of implicit trust reduce potential exploitation routes. Risk-based access decisions aligned with NIST identity guidance ensure that authentication strength matches contextual risk [2]. Granular segmentation further anticipates lateral movement by restricting unnecessary connectivity [9].</w:t>
      </w:r>
    </w:p>
    <w:p w14:paraId="496580BE" w14:textId="5608CEE4" w:rsidR="00B97197" w:rsidRPr="00AD25EE" w:rsidRDefault="00B97197" w:rsidP="00B97197">
      <w:pPr>
        <w:rPr>
          <w:rFonts w:ascii="Arial" w:hAnsi="Arial" w:cs="Arial"/>
          <w:sz w:val="24"/>
          <w:szCs w:val="24"/>
        </w:rPr>
      </w:pPr>
      <w:r w:rsidRPr="00AD25EE">
        <w:rPr>
          <w:rFonts w:ascii="Arial" w:hAnsi="Arial" w:cs="Arial"/>
          <w:noProof/>
          <w:sz w:val="24"/>
          <w:szCs w:val="24"/>
        </w:rPr>
        <w:drawing>
          <wp:inline distT="0" distB="0" distL="0" distR="0" wp14:anchorId="2AF5E0D0" wp14:editId="5F2B0380">
            <wp:extent cx="3089910" cy="2473023"/>
            <wp:effectExtent l="0" t="0" r="0" b="3810"/>
            <wp:docPr id="1830185322"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41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9910" cy="2473023"/>
                    </a:xfrm>
                    <a:prstGeom prst="rect">
                      <a:avLst/>
                    </a:prstGeom>
                    <a:noFill/>
                    <a:ln>
                      <a:noFill/>
                    </a:ln>
                  </pic:spPr>
                </pic:pic>
              </a:graphicData>
            </a:graphic>
          </wp:inline>
        </w:drawing>
      </w:r>
    </w:p>
    <w:p w14:paraId="76DCF20D" w14:textId="77777777" w:rsidR="00AD25EE" w:rsidRPr="00AD25EE" w:rsidRDefault="00AD25EE" w:rsidP="00B97197">
      <w:pPr>
        <w:rPr>
          <w:rFonts w:ascii="Arial" w:hAnsi="Arial" w:cs="Arial"/>
          <w:sz w:val="24"/>
          <w:szCs w:val="24"/>
        </w:rPr>
      </w:pPr>
    </w:p>
    <w:p w14:paraId="2466E79C" w14:textId="77777777" w:rsidR="00AD25EE" w:rsidRPr="00AD25EE" w:rsidRDefault="00AD25EE" w:rsidP="00B97197">
      <w:pPr>
        <w:rPr>
          <w:rFonts w:ascii="Arial" w:hAnsi="Arial" w:cs="Arial"/>
          <w:sz w:val="24"/>
          <w:szCs w:val="24"/>
        </w:rPr>
      </w:pPr>
    </w:p>
    <w:p w14:paraId="652085BE"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lastRenderedPageBreak/>
        <w:t>8.2 Protect: Continuous Verification and Least Privilege</w:t>
      </w:r>
    </w:p>
    <w:p w14:paraId="0C1B342A" w14:textId="77777777" w:rsidR="00AD25EE" w:rsidRPr="00AD25EE" w:rsidRDefault="00AD25EE" w:rsidP="00AD25EE">
      <w:pPr>
        <w:rPr>
          <w:rFonts w:ascii="Arial" w:hAnsi="Arial" w:cs="Arial"/>
          <w:sz w:val="24"/>
          <w:szCs w:val="24"/>
        </w:rPr>
      </w:pPr>
    </w:p>
    <w:p w14:paraId="2BB7AECE"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Protection in Zero Trust relies on ongoing verification rather than one-time authentication. Each request is assessed using contextual indicators such as identity assurance, device compliance, and behavioral consistency [1]. Least privilege, supported by RBAC [7] and ABAC [8], limits permissions to operational needs and reduces the impact of credential compromise. </w:t>
      </w:r>
      <w:proofErr w:type="spellStart"/>
      <w:r w:rsidRPr="00AD25EE">
        <w:rPr>
          <w:rFonts w:ascii="Arial" w:hAnsi="Arial" w:cs="Arial"/>
          <w:sz w:val="24"/>
          <w:szCs w:val="24"/>
        </w:rPr>
        <w:t>Microsegmentation</w:t>
      </w:r>
      <w:proofErr w:type="spellEnd"/>
      <w:r w:rsidRPr="00AD25EE">
        <w:rPr>
          <w:rFonts w:ascii="Arial" w:hAnsi="Arial" w:cs="Arial"/>
          <w:sz w:val="24"/>
          <w:szCs w:val="24"/>
        </w:rPr>
        <w:t xml:space="preserve"> strengthens protection by isolating workloads and requiring authorization between internal segments [9], preventing unrestricted propagation after initial access.</w:t>
      </w:r>
    </w:p>
    <w:p w14:paraId="3B92A2EA" w14:textId="77777777" w:rsidR="00AD25EE" w:rsidRPr="00AD25EE" w:rsidRDefault="00AD25EE" w:rsidP="00B97197">
      <w:pPr>
        <w:rPr>
          <w:rFonts w:ascii="Arial" w:hAnsi="Arial" w:cs="Arial"/>
          <w:sz w:val="24"/>
          <w:szCs w:val="24"/>
        </w:rPr>
      </w:pPr>
    </w:p>
    <w:p w14:paraId="40B9D413"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8.3 Detect: Continuous Monitoring and Behavioral Analytics</w:t>
      </w:r>
    </w:p>
    <w:p w14:paraId="7ADF0F1A" w14:textId="77777777" w:rsidR="00AD25EE" w:rsidRPr="00AD25EE" w:rsidRDefault="00AD25EE" w:rsidP="00B97197">
      <w:pPr>
        <w:rPr>
          <w:rFonts w:ascii="Arial" w:hAnsi="Arial" w:cs="Arial"/>
          <w:b/>
          <w:bCs/>
          <w:sz w:val="24"/>
          <w:szCs w:val="24"/>
        </w:rPr>
      </w:pPr>
    </w:p>
    <w:p w14:paraId="3409C26E" w14:textId="77777777" w:rsidR="00B97197" w:rsidRPr="00AD25EE" w:rsidRDefault="00B97197" w:rsidP="00B97197">
      <w:pPr>
        <w:rPr>
          <w:rFonts w:ascii="Arial" w:hAnsi="Arial" w:cs="Arial"/>
          <w:sz w:val="24"/>
          <w:szCs w:val="24"/>
        </w:rPr>
      </w:pPr>
      <w:r w:rsidRPr="00AD25EE">
        <w:rPr>
          <w:rFonts w:ascii="Arial" w:hAnsi="Arial" w:cs="Arial"/>
          <w:sz w:val="24"/>
          <w:szCs w:val="24"/>
        </w:rPr>
        <w:t>Detection in Zero Trust extends beyond perimeter monitoring by emphasizing internal visibility. Telemetry from endpoints, network devices, and cloud services supports behavioral baselining and anomaly detection. Network anomaly detection research indicates that these systems can improve identification of suspicious patterns such as unusual data transfers and abnormal login behavior [10]. Correlating identity, device, and activity data improves situational awareness and reduces attacker dwell time.</w:t>
      </w:r>
    </w:p>
    <w:p w14:paraId="46F8F29B" w14:textId="77777777" w:rsidR="00AD25EE" w:rsidRPr="00AD25EE" w:rsidRDefault="00AD25EE" w:rsidP="00B97197">
      <w:pPr>
        <w:rPr>
          <w:rFonts w:ascii="Arial" w:hAnsi="Arial" w:cs="Arial"/>
          <w:sz w:val="24"/>
          <w:szCs w:val="24"/>
        </w:rPr>
      </w:pPr>
    </w:p>
    <w:p w14:paraId="7574D484"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8.4 Automatically Respond: Policy Enforcement and Dynamic Containment</w:t>
      </w:r>
    </w:p>
    <w:p w14:paraId="64206B28" w14:textId="77777777" w:rsidR="00AD25EE" w:rsidRPr="00AD25EE" w:rsidRDefault="00AD25EE" w:rsidP="00B97197">
      <w:pPr>
        <w:rPr>
          <w:rFonts w:ascii="Arial" w:hAnsi="Arial" w:cs="Arial"/>
          <w:b/>
          <w:bCs/>
          <w:sz w:val="24"/>
          <w:szCs w:val="24"/>
        </w:rPr>
      </w:pPr>
    </w:p>
    <w:p w14:paraId="1E09D500" w14:textId="77777777" w:rsidR="00B97197" w:rsidRPr="00AD25EE" w:rsidRDefault="00B97197" w:rsidP="00B97197">
      <w:pPr>
        <w:rPr>
          <w:rFonts w:ascii="Arial" w:hAnsi="Arial" w:cs="Arial"/>
          <w:sz w:val="24"/>
          <w:szCs w:val="24"/>
        </w:rPr>
      </w:pPr>
      <w:r w:rsidRPr="00AD25EE">
        <w:rPr>
          <w:rFonts w:ascii="Arial" w:hAnsi="Arial" w:cs="Arial"/>
          <w:sz w:val="24"/>
          <w:szCs w:val="24"/>
        </w:rPr>
        <w:t>A major advantage of Zero Trust is enabling automated response. Policy engines can dynamically restrict or revoke access based on real-time risk signals [1]. For example, anomalous login behavior may trigger step-up authentication or immediate session termination. Automation reduces MTTD and MTTR and improves resilience by enabling rapid isolation of compromised endpoints and enforcement of updated controls across distributed environments.</w:t>
      </w:r>
    </w:p>
    <w:p w14:paraId="7A3D1D04" w14:textId="4ABBC621" w:rsidR="00B97197" w:rsidRPr="00AD25EE" w:rsidRDefault="00B97197" w:rsidP="00B97197">
      <w:pPr>
        <w:rPr>
          <w:rFonts w:ascii="Arial" w:hAnsi="Arial" w:cs="Arial"/>
          <w:sz w:val="24"/>
          <w:szCs w:val="24"/>
        </w:rPr>
      </w:pPr>
    </w:p>
    <w:p w14:paraId="20A925ED" w14:textId="77777777" w:rsidR="00AD25EE" w:rsidRPr="00AD25EE" w:rsidRDefault="00AD25EE" w:rsidP="00B97197">
      <w:pPr>
        <w:rPr>
          <w:rFonts w:ascii="Arial" w:hAnsi="Arial" w:cs="Arial"/>
          <w:sz w:val="24"/>
          <w:szCs w:val="24"/>
        </w:rPr>
      </w:pPr>
    </w:p>
    <w:p w14:paraId="4781F7F3" w14:textId="77777777" w:rsidR="00AD25EE" w:rsidRPr="00AD25EE" w:rsidRDefault="00AD25EE" w:rsidP="00B97197">
      <w:pPr>
        <w:rPr>
          <w:rFonts w:ascii="Arial" w:hAnsi="Arial" w:cs="Arial"/>
          <w:sz w:val="24"/>
          <w:szCs w:val="24"/>
        </w:rPr>
      </w:pPr>
    </w:p>
    <w:p w14:paraId="158F0F40" w14:textId="77777777" w:rsidR="00B97197" w:rsidRPr="00AD25EE" w:rsidRDefault="00B97197" w:rsidP="00AD25EE">
      <w:pPr>
        <w:pStyle w:val="Heading1"/>
        <w:rPr>
          <w:rFonts w:ascii="Arial" w:hAnsi="Arial" w:cs="Arial"/>
          <w:b/>
          <w:bCs/>
          <w:sz w:val="24"/>
          <w:szCs w:val="24"/>
        </w:rPr>
      </w:pPr>
      <w:r w:rsidRPr="00AD25EE">
        <w:rPr>
          <w:rFonts w:ascii="Arial" w:hAnsi="Arial" w:cs="Arial"/>
          <w:b/>
          <w:bCs/>
          <w:sz w:val="24"/>
          <w:szCs w:val="24"/>
        </w:rPr>
        <w:t>9. Conclusion</w:t>
      </w:r>
    </w:p>
    <w:p w14:paraId="08846E03" w14:textId="77777777" w:rsidR="00AD25EE" w:rsidRPr="00AD25EE" w:rsidRDefault="00AD25EE" w:rsidP="00AD25EE">
      <w:pPr>
        <w:rPr>
          <w:rFonts w:ascii="Arial" w:hAnsi="Arial" w:cs="Arial"/>
          <w:sz w:val="24"/>
          <w:szCs w:val="24"/>
        </w:rPr>
      </w:pPr>
    </w:p>
    <w:p w14:paraId="2C48DA33" w14:textId="77777777" w:rsidR="00B97197" w:rsidRPr="00AD25EE" w:rsidRDefault="00B97197" w:rsidP="00B97197">
      <w:pPr>
        <w:rPr>
          <w:rFonts w:ascii="Arial" w:hAnsi="Arial" w:cs="Arial"/>
          <w:sz w:val="24"/>
          <w:szCs w:val="24"/>
        </w:rPr>
      </w:pPr>
      <w:r w:rsidRPr="00AD25EE">
        <w:rPr>
          <w:rFonts w:ascii="Arial" w:hAnsi="Arial" w:cs="Arial"/>
          <w:sz w:val="24"/>
          <w:szCs w:val="24"/>
        </w:rPr>
        <w:t>Zero Trust Architecture significantly redefines enterprise security by removing implicit trust and requiring continuous verification [1]. Supported by robust identity governance aligned with NIST standards [2], structured access models such as RBAC [7] and ABAC [8], and strong authentication mechanisms like MFA [6], Zero Trust improves resilience against credential-based and insider threats.</w:t>
      </w:r>
    </w:p>
    <w:p w14:paraId="01E7A91A" w14:textId="77777777" w:rsidR="00B97197" w:rsidRPr="00AD25EE" w:rsidRDefault="00B97197" w:rsidP="00B97197">
      <w:pPr>
        <w:rPr>
          <w:rFonts w:ascii="Arial" w:hAnsi="Arial" w:cs="Arial"/>
          <w:sz w:val="24"/>
          <w:szCs w:val="24"/>
        </w:rPr>
      </w:pPr>
      <w:r w:rsidRPr="00AD25EE">
        <w:rPr>
          <w:rFonts w:ascii="Arial" w:hAnsi="Arial" w:cs="Arial"/>
          <w:sz w:val="24"/>
          <w:szCs w:val="24"/>
        </w:rPr>
        <w:t>Although implementation challenges—particularly legacy integration and governance complexity—remain substantial, Zero Trust provides greater adaptability in cloud-centric and distributed environments. It does not remove risk entirely, but it can reduce breach impact through containment, improved monitoring, and automated enforcement. As network perimeters continue to lose relevance, Zero Trust offers a compelling framework for aligning security controls with contemporary operational realities.</w:t>
      </w:r>
    </w:p>
    <w:p w14:paraId="2F4F045E" w14:textId="77777777" w:rsidR="00B97197" w:rsidRPr="00AD25EE" w:rsidRDefault="00B97197" w:rsidP="00B97197">
      <w:pPr>
        <w:rPr>
          <w:rFonts w:ascii="Arial" w:hAnsi="Arial" w:cs="Arial"/>
          <w:sz w:val="24"/>
          <w:szCs w:val="24"/>
        </w:rPr>
      </w:pPr>
    </w:p>
    <w:p w14:paraId="05674D4A" w14:textId="77777777" w:rsidR="00B97197" w:rsidRPr="00AD25EE" w:rsidRDefault="00B97197" w:rsidP="00AD25EE">
      <w:pPr>
        <w:pStyle w:val="Heading2"/>
        <w:jc w:val="center"/>
        <w:rPr>
          <w:rFonts w:ascii="Arial" w:hAnsi="Arial" w:cs="Arial"/>
          <w:sz w:val="24"/>
          <w:szCs w:val="24"/>
        </w:rPr>
      </w:pPr>
      <w:r w:rsidRPr="00AD25EE">
        <w:rPr>
          <w:rFonts w:ascii="Arial" w:hAnsi="Arial" w:cs="Arial"/>
          <w:sz w:val="24"/>
          <w:szCs w:val="24"/>
        </w:rPr>
        <w:t>References</w:t>
      </w:r>
    </w:p>
    <w:p w14:paraId="670CD0C5"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[1] S. Rose, O. Borchert, S. Mitchell, and S. Connelly, </w:t>
      </w:r>
      <w:r w:rsidRPr="00AD25EE">
        <w:rPr>
          <w:rFonts w:ascii="Arial" w:hAnsi="Arial" w:cs="Arial"/>
          <w:i/>
          <w:iCs/>
          <w:sz w:val="24"/>
          <w:szCs w:val="24"/>
        </w:rPr>
        <w:t>Zero Trust Architecture</w:t>
      </w:r>
      <w:r w:rsidRPr="00AD25EE">
        <w:rPr>
          <w:rFonts w:ascii="Arial" w:hAnsi="Arial" w:cs="Arial"/>
          <w:sz w:val="24"/>
          <w:szCs w:val="24"/>
        </w:rPr>
        <w:t>, NIST Special Publication 800-207, National Institute of Standards and Technology, Gaithersburg, MD, USA, Aug. 2020.</w:t>
      </w:r>
      <w:r w:rsidRPr="00AD25EE">
        <w:rPr>
          <w:rFonts w:ascii="Arial" w:hAnsi="Arial" w:cs="Arial"/>
          <w:sz w:val="24"/>
          <w:szCs w:val="24"/>
        </w:rPr>
        <w:br/>
        <w:t xml:space="preserve">[2] National Institute of Standards and Technology, </w:t>
      </w:r>
      <w:r w:rsidRPr="00AD25EE">
        <w:rPr>
          <w:rFonts w:ascii="Arial" w:hAnsi="Arial" w:cs="Arial"/>
          <w:i/>
          <w:iCs/>
          <w:sz w:val="24"/>
          <w:szCs w:val="24"/>
        </w:rPr>
        <w:t>Digital Identity Guidelines</w:t>
      </w:r>
      <w:r w:rsidRPr="00AD25EE">
        <w:rPr>
          <w:rFonts w:ascii="Arial" w:hAnsi="Arial" w:cs="Arial"/>
          <w:sz w:val="24"/>
          <w:szCs w:val="24"/>
        </w:rPr>
        <w:t>, NIST Special Publication 800-63-3, Gaithersburg, MD, USA, 2017.</w:t>
      </w:r>
      <w:r w:rsidRPr="00AD25EE">
        <w:rPr>
          <w:rFonts w:ascii="Arial" w:hAnsi="Arial" w:cs="Arial"/>
          <w:sz w:val="24"/>
          <w:szCs w:val="24"/>
        </w:rPr>
        <w:br/>
        <w:t xml:space="preserve">[3] M. Bishop, </w:t>
      </w:r>
      <w:r w:rsidRPr="00AD25EE">
        <w:rPr>
          <w:rFonts w:ascii="Arial" w:hAnsi="Arial" w:cs="Arial"/>
          <w:i/>
          <w:iCs/>
          <w:sz w:val="24"/>
          <w:szCs w:val="24"/>
        </w:rPr>
        <w:t>Computer Security: Art and Science</w:t>
      </w:r>
      <w:r w:rsidRPr="00AD25EE">
        <w:rPr>
          <w:rFonts w:ascii="Arial" w:hAnsi="Arial" w:cs="Arial"/>
          <w:sz w:val="24"/>
          <w:szCs w:val="24"/>
        </w:rPr>
        <w:t>, 2nd ed. Boston, MA, USA: Addison-Wesley, 2018.</w:t>
      </w:r>
      <w:r w:rsidRPr="00AD25EE">
        <w:rPr>
          <w:rFonts w:ascii="Arial" w:hAnsi="Arial" w:cs="Arial"/>
          <w:sz w:val="24"/>
          <w:szCs w:val="24"/>
        </w:rPr>
        <w:br/>
        <w:t xml:space="preserve">[4] D. Basin, S. </w:t>
      </w:r>
      <w:proofErr w:type="spellStart"/>
      <w:r w:rsidRPr="00AD25EE">
        <w:rPr>
          <w:rFonts w:ascii="Arial" w:hAnsi="Arial" w:cs="Arial"/>
          <w:sz w:val="24"/>
          <w:szCs w:val="24"/>
        </w:rPr>
        <w:t>Capkun</w:t>
      </w:r>
      <w:proofErr w:type="spellEnd"/>
      <w:r w:rsidRPr="00AD25EE">
        <w:rPr>
          <w:rFonts w:ascii="Arial" w:hAnsi="Arial" w:cs="Arial"/>
          <w:sz w:val="24"/>
          <w:szCs w:val="24"/>
        </w:rPr>
        <w:t xml:space="preserve">, and P. Schaller, “Trust in the Cloud: A Security Perspective,” </w:t>
      </w:r>
      <w:r w:rsidRPr="00AD25EE">
        <w:rPr>
          <w:rFonts w:ascii="Arial" w:hAnsi="Arial" w:cs="Arial"/>
          <w:i/>
          <w:iCs/>
          <w:sz w:val="24"/>
          <w:szCs w:val="24"/>
        </w:rPr>
        <w:t>IEEE Security &amp; Privacy</w:t>
      </w:r>
      <w:r w:rsidRPr="00AD25EE">
        <w:rPr>
          <w:rFonts w:ascii="Arial" w:hAnsi="Arial" w:cs="Arial"/>
          <w:sz w:val="24"/>
          <w:szCs w:val="24"/>
        </w:rPr>
        <w:t>, vol. 9, no. 3, pp. 44–51, May–Jun. 2011.</w:t>
      </w:r>
      <w:r w:rsidRPr="00AD25EE">
        <w:rPr>
          <w:rFonts w:ascii="Arial" w:hAnsi="Arial" w:cs="Arial"/>
          <w:sz w:val="24"/>
          <w:szCs w:val="24"/>
        </w:rPr>
        <w:br/>
        <w:t xml:space="preserve">[5] J. </w:t>
      </w:r>
      <w:proofErr w:type="spellStart"/>
      <w:r w:rsidRPr="00AD25EE">
        <w:rPr>
          <w:rFonts w:ascii="Arial" w:hAnsi="Arial" w:cs="Arial"/>
          <w:sz w:val="24"/>
          <w:szCs w:val="24"/>
        </w:rPr>
        <w:t>Kindervag</w:t>
      </w:r>
      <w:proofErr w:type="spellEnd"/>
      <w:r w:rsidRPr="00AD25EE">
        <w:rPr>
          <w:rFonts w:ascii="Arial" w:hAnsi="Arial" w:cs="Arial"/>
          <w:sz w:val="24"/>
          <w:szCs w:val="24"/>
        </w:rPr>
        <w:t>, “Build Security Into Your Network's DNA: The Zero Trust Network Architecture,” Forrester Research, Cambridge, MA, USA, 2010.</w:t>
      </w:r>
      <w:r w:rsidRPr="00AD25EE">
        <w:rPr>
          <w:rFonts w:ascii="Arial" w:hAnsi="Arial" w:cs="Arial"/>
          <w:sz w:val="24"/>
          <w:szCs w:val="24"/>
        </w:rPr>
        <w:br/>
        <w:t xml:space="preserve">[6] A. </w:t>
      </w:r>
      <w:proofErr w:type="spellStart"/>
      <w:r w:rsidRPr="00AD25EE">
        <w:rPr>
          <w:rFonts w:ascii="Arial" w:hAnsi="Arial" w:cs="Arial"/>
          <w:sz w:val="24"/>
          <w:szCs w:val="24"/>
        </w:rPr>
        <w:t>Ometov</w:t>
      </w:r>
      <w:proofErr w:type="spellEnd"/>
      <w:r w:rsidRPr="00AD25EE">
        <w:rPr>
          <w:rFonts w:ascii="Arial" w:hAnsi="Arial" w:cs="Arial"/>
          <w:sz w:val="24"/>
          <w:szCs w:val="24"/>
        </w:rPr>
        <w:t xml:space="preserve"> et al., “Multi-Factor Authentication: A Survey,” </w:t>
      </w:r>
      <w:r w:rsidRPr="00AD25EE">
        <w:rPr>
          <w:rFonts w:ascii="Arial" w:hAnsi="Arial" w:cs="Arial"/>
          <w:i/>
          <w:iCs/>
          <w:sz w:val="24"/>
          <w:szCs w:val="24"/>
        </w:rPr>
        <w:t>IEEE Access</w:t>
      </w:r>
      <w:r w:rsidRPr="00AD25EE">
        <w:rPr>
          <w:rFonts w:ascii="Arial" w:hAnsi="Arial" w:cs="Arial"/>
          <w:sz w:val="24"/>
          <w:szCs w:val="24"/>
        </w:rPr>
        <w:t>, vol. 6, pp. 56563–56588, 2018.</w:t>
      </w:r>
      <w:r w:rsidRPr="00AD25EE">
        <w:rPr>
          <w:rFonts w:ascii="Arial" w:hAnsi="Arial" w:cs="Arial"/>
          <w:sz w:val="24"/>
          <w:szCs w:val="24"/>
        </w:rPr>
        <w:br/>
      </w:r>
      <w:r w:rsidRPr="00AD25EE">
        <w:rPr>
          <w:rFonts w:ascii="Arial" w:hAnsi="Arial" w:cs="Arial"/>
          <w:sz w:val="24"/>
          <w:szCs w:val="24"/>
        </w:rPr>
        <w:lastRenderedPageBreak/>
        <w:t xml:space="preserve">[7] R. Sandhu, E. J. Coyne, H. L. Feinstein, and C. E. </w:t>
      </w:r>
      <w:proofErr w:type="spellStart"/>
      <w:r w:rsidRPr="00AD25EE">
        <w:rPr>
          <w:rFonts w:ascii="Arial" w:hAnsi="Arial" w:cs="Arial"/>
          <w:sz w:val="24"/>
          <w:szCs w:val="24"/>
        </w:rPr>
        <w:t>Youman</w:t>
      </w:r>
      <w:proofErr w:type="spellEnd"/>
      <w:r w:rsidRPr="00AD25EE">
        <w:rPr>
          <w:rFonts w:ascii="Arial" w:hAnsi="Arial" w:cs="Arial"/>
          <w:sz w:val="24"/>
          <w:szCs w:val="24"/>
        </w:rPr>
        <w:t xml:space="preserve">, “Role-Based Access Control Models,” </w:t>
      </w:r>
      <w:r w:rsidRPr="00AD25EE">
        <w:rPr>
          <w:rFonts w:ascii="Arial" w:hAnsi="Arial" w:cs="Arial"/>
          <w:i/>
          <w:iCs/>
          <w:sz w:val="24"/>
          <w:szCs w:val="24"/>
        </w:rPr>
        <w:t>IEEE Computer</w:t>
      </w:r>
      <w:r w:rsidRPr="00AD25EE">
        <w:rPr>
          <w:rFonts w:ascii="Arial" w:hAnsi="Arial" w:cs="Arial"/>
          <w:sz w:val="24"/>
          <w:szCs w:val="24"/>
        </w:rPr>
        <w:t>, vol. 29, no. 2, pp. 38–47, Feb. 1996.</w:t>
      </w:r>
      <w:r w:rsidRPr="00AD25EE">
        <w:rPr>
          <w:rFonts w:ascii="Arial" w:hAnsi="Arial" w:cs="Arial"/>
          <w:sz w:val="24"/>
          <w:szCs w:val="24"/>
        </w:rPr>
        <w:br/>
        <w:t xml:space="preserve">[8] E. Yuan and J. Tong, “Attribute-Based Access Control (ABAC) for Web Services,” in </w:t>
      </w:r>
      <w:r w:rsidRPr="00AD25EE">
        <w:rPr>
          <w:rFonts w:ascii="Arial" w:hAnsi="Arial" w:cs="Arial"/>
          <w:i/>
          <w:iCs/>
          <w:sz w:val="24"/>
          <w:szCs w:val="24"/>
        </w:rPr>
        <w:t>Proc. IEEE Int. Conf. Web Services (ICWS)</w:t>
      </w:r>
      <w:r w:rsidRPr="00AD25EE">
        <w:rPr>
          <w:rFonts w:ascii="Arial" w:hAnsi="Arial" w:cs="Arial"/>
          <w:sz w:val="24"/>
          <w:szCs w:val="24"/>
        </w:rPr>
        <w:t>, Orlando, FL, USA, 2005, pp. 561–569.</w:t>
      </w:r>
      <w:r w:rsidRPr="00AD25EE">
        <w:rPr>
          <w:rFonts w:ascii="Arial" w:hAnsi="Arial" w:cs="Arial"/>
          <w:sz w:val="24"/>
          <w:szCs w:val="24"/>
        </w:rPr>
        <w:br/>
        <w:t xml:space="preserve">[9] S. Scott-Hayward, G. O’Callaghan, and S. </w:t>
      </w:r>
      <w:proofErr w:type="spellStart"/>
      <w:r w:rsidRPr="00AD25EE">
        <w:rPr>
          <w:rFonts w:ascii="Arial" w:hAnsi="Arial" w:cs="Arial"/>
          <w:sz w:val="24"/>
          <w:szCs w:val="24"/>
        </w:rPr>
        <w:t>Sezer</w:t>
      </w:r>
      <w:proofErr w:type="spellEnd"/>
      <w:r w:rsidRPr="00AD25EE">
        <w:rPr>
          <w:rFonts w:ascii="Arial" w:hAnsi="Arial" w:cs="Arial"/>
          <w:sz w:val="24"/>
          <w:szCs w:val="24"/>
        </w:rPr>
        <w:t xml:space="preserve">, “SDN Security: A Survey,” </w:t>
      </w:r>
      <w:r w:rsidRPr="00AD25EE">
        <w:rPr>
          <w:rFonts w:ascii="Arial" w:hAnsi="Arial" w:cs="Arial"/>
          <w:i/>
          <w:iCs/>
          <w:sz w:val="24"/>
          <w:szCs w:val="24"/>
        </w:rPr>
        <w:t>IEEE Communications Surveys &amp; Tutorials</w:t>
      </w:r>
      <w:r w:rsidRPr="00AD25EE">
        <w:rPr>
          <w:rFonts w:ascii="Arial" w:hAnsi="Arial" w:cs="Arial"/>
          <w:sz w:val="24"/>
          <w:szCs w:val="24"/>
        </w:rPr>
        <w:t>, vol. 18, no. 1, pp. 623–654, 2016.</w:t>
      </w:r>
      <w:r w:rsidRPr="00AD25EE">
        <w:rPr>
          <w:rFonts w:ascii="Arial" w:hAnsi="Arial" w:cs="Arial"/>
          <w:sz w:val="24"/>
          <w:szCs w:val="24"/>
        </w:rPr>
        <w:br/>
        <w:t xml:space="preserve">[10] N. </w:t>
      </w:r>
      <w:proofErr w:type="spellStart"/>
      <w:r w:rsidRPr="00AD25EE">
        <w:rPr>
          <w:rFonts w:ascii="Arial" w:hAnsi="Arial" w:cs="Arial"/>
          <w:sz w:val="24"/>
          <w:szCs w:val="24"/>
        </w:rPr>
        <w:t>Moustafa</w:t>
      </w:r>
      <w:proofErr w:type="spellEnd"/>
      <w:r w:rsidRPr="00AD25EE">
        <w:rPr>
          <w:rFonts w:ascii="Arial" w:hAnsi="Arial" w:cs="Arial"/>
          <w:sz w:val="24"/>
          <w:szCs w:val="24"/>
        </w:rPr>
        <w:t xml:space="preserve">, J. Slay, and K. Choo, “A Holistic Review of Network Anomaly Detection Systems,” </w:t>
      </w:r>
      <w:r w:rsidRPr="00AD25EE">
        <w:rPr>
          <w:rFonts w:ascii="Arial" w:hAnsi="Arial" w:cs="Arial"/>
          <w:i/>
          <w:iCs/>
          <w:sz w:val="24"/>
          <w:szCs w:val="24"/>
        </w:rPr>
        <w:t>IEEE Access</w:t>
      </w:r>
      <w:r w:rsidRPr="00AD25EE">
        <w:rPr>
          <w:rFonts w:ascii="Arial" w:hAnsi="Arial" w:cs="Arial"/>
          <w:sz w:val="24"/>
          <w:szCs w:val="24"/>
        </w:rPr>
        <w:t>, vol. 7, pp. 121607–121639, 2019.</w:t>
      </w:r>
      <w:r w:rsidRPr="00AD25EE">
        <w:rPr>
          <w:rFonts w:ascii="Arial" w:hAnsi="Arial" w:cs="Arial"/>
          <w:sz w:val="24"/>
          <w:szCs w:val="24"/>
        </w:rPr>
        <w:br/>
        <w:t xml:space="preserve">[11] W. Stallings and L. Brown, </w:t>
      </w:r>
      <w:r w:rsidRPr="00AD25EE">
        <w:rPr>
          <w:rFonts w:ascii="Arial" w:hAnsi="Arial" w:cs="Arial"/>
          <w:i/>
          <w:iCs/>
          <w:sz w:val="24"/>
          <w:szCs w:val="24"/>
        </w:rPr>
        <w:t>Computer Security: Principles and Practice</w:t>
      </w:r>
      <w:r w:rsidRPr="00AD25EE">
        <w:rPr>
          <w:rFonts w:ascii="Arial" w:hAnsi="Arial" w:cs="Arial"/>
          <w:sz w:val="24"/>
          <w:szCs w:val="24"/>
        </w:rPr>
        <w:t>, 4th ed. Harlow, U.K.: Pearson, 2018.</w:t>
      </w:r>
      <w:r w:rsidRPr="00AD25EE">
        <w:rPr>
          <w:rFonts w:ascii="Arial" w:hAnsi="Arial" w:cs="Arial"/>
          <w:sz w:val="24"/>
          <w:szCs w:val="24"/>
        </w:rPr>
        <w:br/>
        <w:t xml:space="preserve">[12] P. Gilman and D. Barth, </w:t>
      </w:r>
      <w:r w:rsidRPr="00AD25EE">
        <w:rPr>
          <w:rFonts w:ascii="Arial" w:hAnsi="Arial" w:cs="Arial"/>
          <w:i/>
          <w:iCs/>
          <w:sz w:val="24"/>
          <w:szCs w:val="24"/>
        </w:rPr>
        <w:t>Zero Trust Networks: Building Secure Systems in Untrusted Networks</w:t>
      </w:r>
      <w:r w:rsidRPr="00AD25EE">
        <w:rPr>
          <w:rFonts w:ascii="Arial" w:hAnsi="Arial" w:cs="Arial"/>
          <w:sz w:val="24"/>
          <w:szCs w:val="24"/>
        </w:rPr>
        <w:t>. Sebastopol, CA, USA: O’Reilly Media, 2017.</w:t>
      </w:r>
    </w:p>
    <w:p w14:paraId="177DBA82" w14:textId="49EE9CF3" w:rsidR="00B97197" w:rsidRPr="00AD25EE" w:rsidRDefault="00B97197" w:rsidP="00B97197">
      <w:pPr>
        <w:rPr>
          <w:rFonts w:ascii="Arial" w:hAnsi="Arial" w:cs="Arial"/>
          <w:sz w:val="24"/>
          <w:szCs w:val="24"/>
        </w:rPr>
      </w:pPr>
    </w:p>
    <w:p w14:paraId="4D819EC8" w14:textId="77777777" w:rsidR="00B97197" w:rsidRPr="00AD25EE" w:rsidRDefault="00B97197" w:rsidP="00B97197">
      <w:pPr>
        <w:rPr>
          <w:rFonts w:ascii="Arial" w:hAnsi="Arial" w:cs="Arial"/>
          <w:sz w:val="24"/>
          <w:szCs w:val="24"/>
        </w:rPr>
      </w:pPr>
    </w:p>
    <w:p w14:paraId="45111D1E" w14:textId="77777777" w:rsidR="00B97197" w:rsidRPr="00AD25EE" w:rsidRDefault="00B97197" w:rsidP="00B97197">
      <w:pPr>
        <w:rPr>
          <w:rFonts w:ascii="Arial" w:hAnsi="Arial" w:cs="Arial"/>
          <w:sz w:val="24"/>
          <w:szCs w:val="24"/>
        </w:rPr>
      </w:pPr>
    </w:p>
    <w:p w14:paraId="0239B9FE" w14:textId="77777777" w:rsidR="00B97197" w:rsidRPr="00AD25EE" w:rsidRDefault="00B97197" w:rsidP="00B97197">
      <w:pPr>
        <w:rPr>
          <w:rFonts w:ascii="Arial" w:hAnsi="Arial" w:cs="Arial"/>
          <w:sz w:val="24"/>
          <w:szCs w:val="24"/>
        </w:rPr>
      </w:pPr>
    </w:p>
    <w:p w14:paraId="2C77FEF4" w14:textId="77777777" w:rsidR="00AD25EE" w:rsidRPr="00AD25EE" w:rsidRDefault="00AD25EE" w:rsidP="00B97197">
      <w:pPr>
        <w:rPr>
          <w:rFonts w:ascii="Arial" w:hAnsi="Arial" w:cs="Arial"/>
          <w:sz w:val="24"/>
          <w:szCs w:val="24"/>
        </w:rPr>
      </w:pPr>
    </w:p>
    <w:p w14:paraId="6EFBDB62" w14:textId="77777777" w:rsidR="00B97197" w:rsidRPr="00AD25EE" w:rsidRDefault="00B97197" w:rsidP="00B97197">
      <w:pPr>
        <w:rPr>
          <w:rFonts w:ascii="Arial" w:hAnsi="Arial" w:cs="Arial"/>
          <w:b/>
          <w:bCs/>
          <w:sz w:val="24"/>
          <w:szCs w:val="24"/>
        </w:rPr>
      </w:pPr>
      <w:r w:rsidRPr="00AD25EE">
        <w:rPr>
          <w:rFonts w:ascii="Arial" w:hAnsi="Arial" w:cs="Arial"/>
          <w:b/>
          <w:bCs/>
          <w:sz w:val="24"/>
          <w:szCs w:val="24"/>
        </w:rPr>
        <w:t>Task 2</w:t>
      </w:r>
    </w:p>
    <w:p w14:paraId="4F1C4446" w14:textId="77777777" w:rsidR="00B97197" w:rsidRPr="00AD25EE" w:rsidRDefault="00B97197" w:rsidP="00B97197">
      <w:pPr>
        <w:rPr>
          <w:rFonts w:ascii="Arial" w:hAnsi="Arial" w:cs="Arial"/>
          <w:b/>
          <w:bCs/>
          <w:sz w:val="24"/>
          <w:szCs w:val="24"/>
        </w:rPr>
      </w:pPr>
      <w:r w:rsidRPr="00AD25EE">
        <w:rPr>
          <w:rFonts w:ascii="Arial" w:hAnsi="Arial" w:cs="Arial"/>
          <w:b/>
          <w:bCs/>
          <w:sz w:val="24"/>
          <w:szCs w:val="24"/>
        </w:rPr>
        <w:t xml:space="preserve">Zero Trust Security </w:t>
      </w:r>
      <w:proofErr w:type="spellStart"/>
      <w:r w:rsidRPr="00AD25EE">
        <w:rPr>
          <w:rFonts w:ascii="Arial" w:hAnsi="Arial" w:cs="Arial"/>
          <w:b/>
          <w:bCs/>
          <w:sz w:val="24"/>
          <w:szCs w:val="24"/>
        </w:rPr>
        <w:t>Programme</w:t>
      </w:r>
      <w:proofErr w:type="spellEnd"/>
      <w:r w:rsidRPr="00AD25EE">
        <w:rPr>
          <w:rFonts w:ascii="Arial" w:hAnsi="Arial" w:cs="Arial"/>
          <w:b/>
          <w:bCs/>
          <w:sz w:val="24"/>
          <w:szCs w:val="24"/>
        </w:rPr>
        <w:t xml:space="preserve"> for </w:t>
      </w:r>
      <w:proofErr w:type="spellStart"/>
      <w:r w:rsidRPr="00AD25EE">
        <w:rPr>
          <w:rFonts w:ascii="Arial" w:hAnsi="Arial" w:cs="Arial"/>
          <w:b/>
          <w:bCs/>
          <w:sz w:val="24"/>
          <w:szCs w:val="24"/>
        </w:rPr>
        <w:t>MediTrust</w:t>
      </w:r>
      <w:proofErr w:type="spellEnd"/>
      <w:r w:rsidRPr="00AD25EE">
        <w:rPr>
          <w:rFonts w:ascii="Arial" w:hAnsi="Arial" w:cs="Arial"/>
          <w:b/>
          <w:bCs/>
          <w:sz w:val="24"/>
          <w:szCs w:val="24"/>
        </w:rPr>
        <w:t xml:space="preserve"> Analytics Ltd</w:t>
      </w:r>
    </w:p>
    <w:p w14:paraId="0A740D12" w14:textId="77777777" w:rsidR="00B97197" w:rsidRPr="00AD25EE" w:rsidRDefault="00B97197" w:rsidP="00B97197">
      <w:pPr>
        <w:rPr>
          <w:rFonts w:ascii="Arial" w:hAnsi="Arial" w:cs="Arial"/>
          <w:sz w:val="24"/>
          <w:szCs w:val="24"/>
        </w:rPr>
      </w:pPr>
    </w:p>
    <w:p w14:paraId="212624A3" w14:textId="77777777" w:rsidR="00B97197" w:rsidRPr="00AD25EE" w:rsidRDefault="00B97197" w:rsidP="00AD25EE">
      <w:pPr>
        <w:pStyle w:val="Heading1"/>
        <w:rPr>
          <w:rFonts w:ascii="Arial" w:hAnsi="Arial" w:cs="Arial"/>
          <w:b/>
          <w:bCs/>
          <w:sz w:val="24"/>
          <w:szCs w:val="24"/>
        </w:rPr>
      </w:pPr>
      <w:r w:rsidRPr="00AD25EE">
        <w:rPr>
          <w:rFonts w:ascii="Arial" w:hAnsi="Arial" w:cs="Arial"/>
          <w:b/>
          <w:bCs/>
          <w:sz w:val="24"/>
          <w:szCs w:val="24"/>
        </w:rPr>
        <w:t>1. Introduction</w:t>
      </w:r>
    </w:p>
    <w:p w14:paraId="4F58446D" w14:textId="77777777" w:rsidR="00B97197" w:rsidRPr="00AD25EE" w:rsidRDefault="00B97197" w:rsidP="00B97197">
      <w:pPr>
        <w:rPr>
          <w:rFonts w:ascii="Arial" w:hAnsi="Arial" w:cs="Arial"/>
          <w:sz w:val="24"/>
          <w:szCs w:val="24"/>
        </w:rPr>
      </w:pPr>
      <w:proofErr w:type="spellStart"/>
      <w:r w:rsidRPr="00AD25EE">
        <w:rPr>
          <w:rFonts w:ascii="Arial" w:hAnsi="Arial" w:cs="Arial"/>
          <w:sz w:val="24"/>
          <w:szCs w:val="24"/>
        </w:rPr>
        <w:t>MediTrust</w:t>
      </w:r>
      <w:proofErr w:type="spellEnd"/>
      <w:r w:rsidRPr="00AD25EE">
        <w:rPr>
          <w:rFonts w:ascii="Arial" w:hAnsi="Arial" w:cs="Arial"/>
          <w:sz w:val="24"/>
          <w:szCs w:val="24"/>
        </w:rPr>
        <w:t xml:space="preserve"> Analytics Ltd operates within a highly sensitive healthcare ecosystem where the protection of patient data, clinical systems, and AI-driven decision-making processes is essential. As the </w:t>
      </w:r>
      <w:proofErr w:type="spellStart"/>
      <w:r w:rsidRPr="00AD25EE">
        <w:rPr>
          <w:rFonts w:ascii="Arial" w:hAnsi="Arial" w:cs="Arial"/>
          <w:sz w:val="24"/>
          <w:szCs w:val="24"/>
        </w:rPr>
        <w:t>organisation</w:t>
      </w:r>
      <w:proofErr w:type="spellEnd"/>
      <w:r w:rsidRPr="00AD25EE">
        <w:rPr>
          <w:rFonts w:ascii="Arial" w:hAnsi="Arial" w:cs="Arial"/>
          <w:sz w:val="24"/>
          <w:szCs w:val="24"/>
        </w:rPr>
        <w:t xml:space="preserve"> expands into the European Union, it must comply with strict regulatory frameworks such as the Digital Operational Resilience Act (DORA) and the NIS2 Directive, while maintaining operational efficiency and trust among stakeholders.</w:t>
      </w:r>
    </w:p>
    <w:p w14:paraId="0845E0D1"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The increasing adoption of cloud computing, artificial intelligence, and hybrid working models has significantly expanded the attack surface. Traditional perimeter-based security approaches are no longer sufficient to address modern threats such as ransomware, credential theft, and software </w:t>
      </w:r>
      <w:r w:rsidRPr="00AD25EE">
        <w:rPr>
          <w:rFonts w:ascii="Arial" w:hAnsi="Arial" w:cs="Arial"/>
          <w:sz w:val="24"/>
          <w:szCs w:val="24"/>
        </w:rPr>
        <w:t>supply chain compromise. As discussed in prior analysis, Zero Trust Architecture (ZTA) eliminates implicit trust and enforces continuous verification of users, devices, and applications regardless of their location [1].</w:t>
      </w:r>
    </w:p>
    <w:p w14:paraId="7BCE75E2"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This report presents a strategic Zero Trust-aligned security </w:t>
      </w:r>
      <w:proofErr w:type="spellStart"/>
      <w:r w:rsidRPr="00AD25EE">
        <w:rPr>
          <w:rFonts w:ascii="Arial" w:hAnsi="Arial" w:cs="Arial"/>
          <w:sz w:val="24"/>
          <w:szCs w:val="24"/>
        </w:rPr>
        <w:t>programme</w:t>
      </w:r>
      <w:proofErr w:type="spellEnd"/>
      <w:r w:rsidRPr="00AD25EE">
        <w:rPr>
          <w:rFonts w:ascii="Arial" w:hAnsi="Arial" w:cs="Arial"/>
          <w:sz w:val="24"/>
          <w:szCs w:val="24"/>
        </w:rPr>
        <w:t xml:space="preserve"> tailored for </w:t>
      </w:r>
      <w:proofErr w:type="spellStart"/>
      <w:r w:rsidRPr="00AD25EE">
        <w:rPr>
          <w:rFonts w:ascii="Arial" w:hAnsi="Arial" w:cs="Arial"/>
          <w:sz w:val="24"/>
          <w:szCs w:val="24"/>
        </w:rPr>
        <w:t>MediTrust’s</w:t>
      </w:r>
      <w:proofErr w:type="spellEnd"/>
      <w:r w:rsidRPr="00AD25EE">
        <w:rPr>
          <w:rFonts w:ascii="Arial" w:hAnsi="Arial" w:cs="Arial"/>
          <w:sz w:val="24"/>
          <w:szCs w:val="24"/>
        </w:rPr>
        <w:t xml:space="preserve"> new information security unit. The design integrates governance, compliance, risk management, and advanced technical controls to create a resilient and scalable security model. The objective is to ensure regulatory compliance, protect sensitive healthcare data, and support long-term business growth.</w:t>
      </w:r>
    </w:p>
    <w:p w14:paraId="0E41A40E" w14:textId="77777777" w:rsidR="00B97197" w:rsidRPr="00AD25EE" w:rsidRDefault="00B97197" w:rsidP="00B97197">
      <w:pPr>
        <w:rPr>
          <w:rFonts w:ascii="Arial" w:hAnsi="Arial" w:cs="Arial"/>
          <w:sz w:val="24"/>
          <w:szCs w:val="24"/>
        </w:rPr>
      </w:pPr>
    </w:p>
    <w:p w14:paraId="6CC8AB8A" w14:textId="77777777" w:rsidR="00B97197" w:rsidRPr="00AD25EE" w:rsidRDefault="00B97197" w:rsidP="00AD25EE">
      <w:pPr>
        <w:pStyle w:val="Heading1"/>
        <w:rPr>
          <w:rFonts w:ascii="Arial" w:hAnsi="Arial" w:cs="Arial"/>
          <w:b/>
          <w:bCs/>
          <w:sz w:val="24"/>
          <w:szCs w:val="24"/>
        </w:rPr>
      </w:pPr>
      <w:r w:rsidRPr="00AD25EE">
        <w:rPr>
          <w:rFonts w:ascii="Arial" w:hAnsi="Arial" w:cs="Arial"/>
          <w:b/>
          <w:bCs/>
          <w:sz w:val="24"/>
          <w:szCs w:val="24"/>
        </w:rPr>
        <w:t>2. Organisational Structure</w:t>
      </w:r>
    </w:p>
    <w:p w14:paraId="76687CBC" w14:textId="77777777" w:rsidR="00AD25EE" w:rsidRPr="00AD25EE" w:rsidRDefault="00AD25EE" w:rsidP="00AD25EE">
      <w:pPr>
        <w:rPr>
          <w:rFonts w:ascii="Arial" w:hAnsi="Arial" w:cs="Arial"/>
          <w:sz w:val="24"/>
          <w:szCs w:val="24"/>
        </w:rPr>
      </w:pPr>
    </w:p>
    <w:p w14:paraId="6969B6C8"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A robust </w:t>
      </w:r>
      <w:proofErr w:type="spellStart"/>
      <w:r w:rsidRPr="00AD25EE">
        <w:rPr>
          <w:rFonts w:ascii="Arial" w:hAnsi="Arial" w:cs="Arial"/>
          <w:sz w:val="24"/>
          <w:szCs w:val="24"/>
        </w:rPr>
        <w:t>organisational</w:t>
      </w:r>
      <w:proofErr w:type="spellEnd"/>
      <w:r w:rsidRPr="00AD25EE">
        <w:rPr>
          <w:rFonts w:ascii="Arial" w:hAnsi="Arial" w:cs="Arial"/>
          <w:sz w:val="24"/>
          <w:szCs w:val="24"/>
        </w:rPr>
        <w:t xml:space="preserve"> structure is critical for implementing a Zero Trust security </w:t>
      </w:r>
      <w:proofErr w:type="spellStart"/>
      <w:r w:rsidRPr="00AD25EE">
        <w:rPr>
          <w:rFonts w:ascii="Arial" w:hAnsi="Arial" w:cs="Arial"/>
          <w:sz w:val="24"/>
          <w:szCs w:val="24"/>
        </w:rPr>
        <w:t>programme</w:t>
      </w:r>
      <w:proofErr w:type="spellEnd"/>
      <w:r w:rsidRPr="00AD25EE">
        <w:rPr>
          <w:rFonts w:ascii="Arial" w:hAnsi="Arial" w:cs="Arial"/>
          <w:sz w:val="24"/>
          <w:szCs w:val="24"/>
        </w:rPr>
        <w:t xml:space="preserve">. Given </w:t>
      </w:r>
      <w:proofErr w:type="spellStart"/>
      <w:r w:rsidRPr="00AD25EE">
        <w:rPr>
          <w:rFonts w:ascii="Arial" w:hAnsi="Arial" w:cs="Arial"/>
          <w:sz w:val="24"/>
          <w:szCs w:val="24"/>
        </w:rPr>
        <w:t>MediTrust’s</w:t>
      </w:r>
      <w:proofErr w:type="spellEnd"/>
      <w:r w:rsidRPr="00AD25EE">
        <w:rPr>
          <w:rFonts w:ascii="Arial" w:hAnsi="Arial" w:cs="Arial"/>
          <w:sz w:val="24"/>
          <w:szCs w:val="24"/>
        </w:rPr>
        <w:t xml:space="preserve"> reliance on cloud infrastructure, AI systems, and third-party integrations, the security function must be both </w:t>
      </w:r>
      <w:proofErr w:type="spellStart"/>
      <w:r w:rsidRPr="00AD25EE">
        <w:rPr>
          <w:rFonts w:ascii="Arial" w:hAnsi="Arial" w:cs="Arial"/>
          <w:sz w:val="24"/>
          <w:szCs w:val="24"/>
        </w:rPr>
        <w:t>specialised</w:t>
      </w:r>
      <w:proofErr w:type="spellEnd"/>
      <w:r w:rsidRPr="00AD25EE">
        <w:rPr>
          <w:rFonts w:ascii="Arial" w:hAnsi="Arial" w:cs="Arial"/>
          <w:sz w:val="24"/>
          <w:szCs w:val="24"/>
        </w:rPr>
        <w:t xml:space="preserve"> and integrated across departments.</w:t>
      </w:r>
    </w:p>
    <w:p w14:paraId="28876209" w14:textId="318010D2" w:rsidR="00B97197" w:rsidRPr="00AD25EE" w:rsidRDefault="00B97197" w:rsidP="00B97197">
      <w:pPr>
        <w:rPr>
          <w:rFonts w:ascii="Arial" w:hAnsi="Arial" w:cs="Arial"/>
          <w:sz w:val="24"/>
          <w:szCs w:val="24"/>
        </w:rPr>
      </w:pPr>
      <w:r w:rsidRPr="00AD25EE">
        <w:rPr>
          <w:rFonts w:ascii="Arial" w:hAnsi="Arial" w:cs="Arial"/>
          <w:noProof/>
          <w:sz w:val="24"/>
          <w:szCs w:val="24"/>
        </w:rPr>
        <w:drawing>
          <wp:inline distT="0" distB="0" distL="0" distR="0" wp14:anchorId="19120D00" wp14:editId="2A589D61">
            <wp:extent cx="3089910" cy="2317261"/>
            <wp:effectExtent l="0" t="0" r="0" b="6985"/>
            <wp:docPr id="1740187700"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740187700" name=""/>
                    <pic:cNvPicPr/>
                  </pic:nvPicPr>
                  <pic:blipFill>
                    <a:blip r:embed="rId12"/>
                    <a:stretch>
                      <a:fillRect/>
                    </a:stretch>
                  </pic:blipFill>
                  <pic:spPr>
                    <a:xfrm>
                      <a:off x="0" y="0"/>
                      <a:ext cx="3089910" cy="2317261"/>
                    </a:xfrm>
                    <a:prstGeom prst="rect">
                      <a:avLst/>
                    </a:prstGeom>
                  </pic:spPr>
                </pic:pic>
              </a:graphicData>
            </a:graphic>
          </wp:inline>
        </w:drawing>
      </w:r>
    </w:p>
    <w:p w14:paraId="5F24CA8F" w14:textId="77777777" w:rsidR="00B97197" w:rsidRPr="00AD25EE" w:rsidRDefault="00B97197" w:rsidP="00B97197">
      <w:pPr>
        <w:rPr>
          <w:rFonts w:ascii="Arial" w:hAnsi="Arial" w:cs="Arial"/>
          <w:sz w:val="24"/>
          <w:szCs w:val="24"/>
        </w:rPr>
      </w:pPr>
      <w:r w:rsidRPr="00AD25EE">
        <w:rPr>
          <w:rFonts w:ascii="Arial" w:hAnsi="Arial" w:cs="Arial"/>
          <w:b/>
          <w:bCs/>
          <w:i/>
          <w:iCs/>
          <w:sz w:val="24"/>
          <w:szCs w:val="24"/>
        </w:rPr>
        <w:t xml:space="preserve">Figure 1: Zero Trust Security </w:t>
      </w:r>
      <w:proofErr w:type="spellStart"/>
      <w:r w:rsidRPr="00AD25EE">
        <w:rPr>
          <w:rFonts w:ascii="Arial" w:hAnsi="Arial" w:cs="Arial"/>
          <w:b/>
          <w:bCs/>
          <w:i/>
          <w:iCs/>
          <w:sz w:val="24"/>
          <w:szCs w:val="24"/>
        </w:rPr>
        <w:t>Organisational</w:t>
      </w:r>
      <w:proofErr w:type="spellEnd"/>
      <w:r w:rsidRPr="00AD25EE">
        <w:rPr>
          <w:rFonts w:ascii="Arial" w:hAnsi="Arial" w:cs="Arial"/>
          <w:b/>
          <w:bCs/>
          <w:i/>
          <w:iCs/>
          <w:sz w:val="24"/>
          <w:szCs w:val="24"/>
        </w:rPr>
        <w:t xml:space="preserve"> Structure for </w:t>
      </w:r>
      <w:proofErr w:type="spellStart"/>
      <w:r w:rsidRPr="00AD25EE">
        <w:rPr>
          <w:rFonts w:ascii="Arial" w:hAnsi="Arial" w:cs="Arial"/>
          <w:b/>
          <w:bCs/>
          <w:i/>
          <w:iCs/>
          <w:sz w:val="24"/>
          <w:szCs w:val="24"/>
        </w:rPr>
        <w:t>MediTrust</w:t>
      </w:r>
      <w:proofErr w:type="spellEnd"/>
      <w:r w:rsidRPr="00AD25EE">
        <w:rPr>
          <w:rFonts w:ascii="Arial" w:hAnsi="Arial" w:cs="Arial"/>
          <w:b/>
          <w:bCs/>
          <w:i/>
          <w:iCs/>
          <w:sz w:val="24"/>
          <w:szCs w:val="24"/>
        </w:rPr>
        <w:t xml:space="preserve"> Analytics Ltd (adapted from industry best practices</w:t>
      </w:r>
      <w:r w:rsidRPr="00AD25EE">
        <w:rPr>
          <w:rFonts w:ascii="Arial" w:hAnsi="Arial" w:cs="Arial"/>
          <w:b/>
          <w:bCs/>
          <w:sz w:val="24"/>
          <w:szCs w:val="24"/>
        </w:rPr>
        <w:t>)</w:t>
      </w:r>
    </w:p>
    <w:p w14:paraId="5F587246" w14:textId="77777777" w:rsidR="00B97197" w:rsidRPr="00AD25EE" w:rsidRDefault="00B97197" w:rsidP="00B97197">
      <w:pPr>
        <w:rPr>
          <w:rFonts w:ascii="Arial" w:hAnsi="Arial" w:cs="Arial"/>
          <w:sz w:val="24"/>
          <w:szCs w:val="24"/>
        </w:rPr>
      </w:pPr>
    </w:p>
    <w:p w14:paraId="530E8E7D" w14:textId="77777777" w:rsidR="00B97197" w:rsidRPr="00AD25EE" w:rsidRDefault="00B97197" w:rsidP="00B97197">
      <w:pPr>
        <w:rPr>
          <w:rFonts w:ascii="Arial" w:hAnsi="Arial" w:cs="Arial"/>
          <w:sz w:val="24"/>
          <w:szCs w:val="24"/>
        </w:rPr>
      </w:pPr>
    </w:p>
    <w:p w14:paraId="4764B3C3"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The proposed structure is </w:t>
      </w:r>
      <w:proofErr w:type="spellStart"/>
      <w:r w:rsidRPr="00AD25EE">
        <w:rPr>
          <w:rFonts w:ascii="Arial" w:hAnsi="Arial" w:cs="Arial"/>
          <w:sz w:val="24"/>
          <w:szCs w:val="24"/>
        </w:rPr>
        <w:t>centred</w:t>
      </w:r>
      <w:proofErr w:type="spellEnd"/>
      <w:r w:rsidRPr="00AD25EE">
        <w:rPr>
          <w:rFonts w:ascii="Arial" w:hAnsi="Arial" w:cs="Arial"/>
          <w:sz w:val="24"/>
          <w:szCs w:val="24"/>
        </w:rPr>
        <w:t xml:space="preserve"> around the Chief Information Security Officer (CISO), who is responsible for defining security strategy and ensuring alignment with business objectives and regulatory requirements. Reporting to the CISO are </w:t>
      </w:r>
      <w:r w:rsidRPr="00AD25EE">
        <w:rPr>
          <w:rFonts w:ascii="Arial" w:hAnsi="Arial" w:cs="Arial"/>
          <w:sz w:val="24"/>
          <w:szCs w:val="24"/>
        </w:rPr>
        <w:lastRenderedPageBreak/>
        <w:t xml:space="preserve">several </w:t>
      </w:r>
      <w:proofErr w:type="spellStart"/>
      <w:r w:rsidRPr="00AD25EE">
        <w:rPr>
          <w:rFonts w:ascii="Arial" w:hAnsi="Arial" w:cs="Arial"/>
          <w:sz w:val="24"/>
          <w:szCs w:val="24"/>
        </w:rPr>
        <w:t>specialised</w:t>
      </w:r>
      <w:proofErr w:type="spellEnd"/>
      <w:r w:rsidRPr="00AD25EE">
        <w:rPr>
          <w:rFonts w:ascii="Arial" w:hAnsi="Arial" w:cs="Arial"/>
          <w:sz w:val="24"/>
          <w:szCs w:val="24"/>
        </w:rPr>
        <w:t xml:space="preserve"> roles that reflect the </w:t>
      </w:r>
      <w:proofErr w:type="spellStart"/>
      <w:r w:rsidRPr="00AD25EE">
        <w:rPr>
          <w:rFonts w:ascii="Arial" w:hAnsi="Arial" w:cs="Arial"/>
          <w:sz w:val="24"/>
          <w:szCs w:val="24"/>
        </w:rPr>
        <w:t>organisation’s</w:t>
      </w:r>
      <w:proofErr w:type="spellEnd"/>
      <w:r w:rsidRPr="00AD25EE">
        <w:rPr>
          <w:rFonts w:ascii="Arial" w:hAnsi="Arial" w:cs="Arial"/>
          <w:sz w:val="24"/>
          <w:szCs w:val="24"/>
        </w:rPr>
        <w:t xml:space="preserve"> technological and operational landscape.</w:t>
      </w:r>
    </w:p>
    <w:p w14:paraId="7D511315"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The Cloud Security Architect is responsible for designing and securing multi-cloud environments. This role ensures that cloud configurations follow secure baselines, supports </w:t>
      </w:r>
      <w:proofErr w:type="spellStart"/>
      <w:r w:rsidRPr="00AD25EE">
        <w:rPr>
          <w:rFonts w:ascii="Arial" w:hAnsi="Arial" w:cs="Arial"/>
          <w:sz w:val="24"/>
          <w:szCs w:val="24"/>
        </w:rPr>
        <w:t>microsegmentation</w:t>
      </w:r>
      <w:proofErr w:type="spellEnd"/>
      <w:r w:rsidRPr="00AD25EE">
        <w:rPr>
          <w:rFonts w:ascii="Arial" w:hAnsi="Arial" w:cs="Arial"/>
          <w:sz w:val="24"/>
          <w:szCs w:val="24"/>
        </w:rPr>
        <w:t xml:space="preserve"> strategies, and implements Zero Trust Network Access principles. Given </w:t>
      </w:r>
      <w:proofErr w:type="spellStart"/>
      <w:r w:rsidRPr="00AD25EE">
        <w:rPr>
          <w:rFonts w:ascii="Arial" w:hAnsi="Arial" w:cs="Arial"/>
          <w:sz w:val="24"/>
          <w:szCs w:val="24"/>
        </w:rPr>
        <w:t>MediTrust’s</w:t>
      </w:r>
      <w:proofErr w:type="spellEnd"/>
      <w:r w:rsidRPr="00AD25EE">
        <w:rPr>
          <w:rFonts w:ascii="Arial" w:hAnsi="Arial" w:cs="Arial"/>
          <w:sz w:val="24"/>
          <w:szCs w:val="24"/>
        </w:rPr>
        <w:t xml:space="preserve"> reliance on cloud-based healthcare platforms, this role is essential for reducing exposure to misconfiguration risks and </w:t>
      </w:r>
      <w:proofErr w:type="spellStart"/>
      <w:r w:rsidRPr="00AD25EE">
        <w:rPr>
          <w:rFonts w:ascii="Arial" w:hAnsi="Arial" w:cs="Arial"/>
          <w:sz w:val="24"/>
          <w:szCs w:val="24"/>
        </w:rPr>
        <w:t>unauthorised</w:t>
      </w:r>
      <w:proofErr w:type="spellEnd"/>
      <w:r w:rsidRPr="00AD25EE">
        <w:rPr>
          <w:rFonts w:ascii="Arial" w:hAnsi="Arial" w:cs="Arial"/>
          <w:sz w:val="24"/>
          <w:szCs w:val="24"/>
        </w:rPr>
        <w:t xml:space="preserve"> access.</w:t>
      </w:r>
    </w:p>
    <w:p w14:paraId="2A560544"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The </w:t>
      </w:r>
      <w:proofErr w:type="spellStart"/>
      <w:r w:rsidRPr="00AD25EE">
        <w:rPr>
          <w:rFonts w:ascii="Arial" w:hAnsi="Arial" w:cs="Arial"/>
          <w:sz w:val="24"/>
          <w:szCs w:val="24"/>
        </w:rPr>
        <w:t>DevSecOps</w:t>
      </w:r>
      <w:proofErr w:type="spellEnd"/>
      <w:r w:rsidRPr="00AD25EE">
        <w:rPr>
          <w:rFonts w:ascii="Arial" w:hAnsi="Arial" w:cs="Arial"/>
          <w:sz w:val="24"/>
          <w:szCs w:val="24"/>
        </w:rPr>
        <w:t xml:space="preserve"> Lead plays a crucial role in integrating security into the software development lifecycle. This includes implementing automated security testing, managing software dependencies, and ensuring that applications are built with security by design. This role directly addresses software supply chain risks, which are increasingly relevant in modern development environments [6].</w:t>
      </w:r>
    </w:p>
    <w:p w14:paraId="4114C643" w14:textId="77777777" w:rsidR="00B97197" w:rsidRPr="00AD25EE" w:rsidRDefault="00B97197" w:rsidP="00B97197">
      <w:pPr>
        <w:rPr>
          <w:rFonts w:ascii="Arial" w:hAnsi="Arial" w:cs="Arial"/>
          <w:sz w:val="24"/>
          <w:szCs w:val="24"/>
        </w:rPr>
      </w:pPr>
      <w:r w:rsidRPr="00AD25EE">
        <w:rPr>
          <w:rFonts w:ascii="Arial" w:hAnsi="Arial" w:cs="Arial"/>
          <w:sz w:val="24"/>
          <w:szCs w:val="24"/>
        </w:rPr>
        <w:t>The Security Operations Centre (SOC) team is responsible for continuous monitoring, threat detection, and incident response. By leveraging tools such as SIEM and endpoint detection and response systems, the SOC ensures rapid identification and containment of threats. This supports the Zero Trust principle of continuous monitoring and rapid response.</w:t>
      </w:r>
    </w:p>
    <w:p w14:paraId="5506D9E5"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Additionally, a Compliance and Risk Officer ensures that the </w:t>
      </w:r>
      <w:proofErr w:type="spellStart"/>
      <w:r w:rsidRPr="00AD25EE">
        <w:rPr>
          <w:rFonts w:ascii="Arial" w:hAnsi="Arial" w:cs="Arial"/>
          <w:sz w:val="24"/>
          <w:szCs w:val="24"/>
        </w:rPr>
        <w:t>organisation</w:t>
      </w:r>
      <w:proofErr w:type="spellEnd"/>
      <w:r w:rsidRPr="00AD25EE">
        <w:rPr>
          <w:rFonts w:ascii="Arial" w:hAnsi="Arial" w:cs="Arial"/>
          <w:sz w:val="24"/>
          <w:szCs w:val="24"/>
        </w:rPr>
        <w:t xml:space="preserve"> meets regulatory obligations under frameworks such as DORA and NIS2. This role also oversees risk assessments and audit processes.</w:t>
      </w:r>
    </w:p>
    <w:p w14:paraId="02E21311" w14:textId="77777777" w:rsidR="00B97197" w:rsidRPr="00AD25EE" w:rsidRDefault="00B97197" w:rsidP="00B97197">
      <w:pPr>
        <w:rPr>
          <w:rFonts w:ascii="Arial" w:hAnsi="Arial" w:cs="Arial"/>
          <w:sz w:val="24"/>
          <w:szCs w:val="24"/>
        </w:rPr>
      </w:pPr>
      <w:r w:rsidRPr="00AD25EE">
        <w:rPr>
          <w:rFonts w:ascii="Arial" w:hAnsi="Arial" w:cs="Arial"/>
          <w:sz w:val="24"/>
          <w:szCs w:val="24"/>
        </w:rPr>
        <w:t xml:space="preserve">This structure supports Zero Trust by distributing security responsibilities across technical and operational domains, ensuring that security is embedded throughout the </w:t>
      </w:r>
      <w:proofErr w:type="spellStart"/>
      <w:r w:rsidRPr="00AD25EE">
        <w:rPr>
          <w:rFonts w:ascii="Arial" w:hAnsi="Arial" w:cs="Arial"/>
          <w:sz w:val="24"/>
          <w:szCs w:val="24"/>
        </w:rPr>
        <w:t>organisation</w:t>
      </w:r>
      <w:proofErr w:type="spellEnd"/>
      <w:r w:rsidRPr="00AD25EE">
        <w:rPr>
          <w:rFonts w:ascii="Arial" w:hAnsi="Arial" w:cs="Arial"/>
          <w:sz w:val="24"/>
          <w:szCs w:val="24"/>
        </w:rPr>
        <w:t xml:space="preserve"> rather than </w:t>
      </w:r>
      <w:proofErr w:type="spellStart"/>
      <w:r w:rsidRPr="00AD25EE">
        <w:rPr>
          <w:rFonts w:ascii="Arial" w:hAnsi="Arial" w:cs="Arial"/>
          <w:sz w:val="24"/>
          <w:szCs w:val="24"/>
        </w:rPr>
        <w:t>centralised</w:t>
      </w:r>
      <w:proofErr w:type="spellEnd"/>
      <w:r w:rsidRPr="00AD25EE">
        <w:rPr>
          <w:rFonts w:ascii="Arial" w:hAnsi="Arial" w:cs="Arial"/>
          <w:sz w:val="24"/>
          <w:szCs w:val="24"/>
        </w:rPr>
        <w:t xml:space="preserve"> in a single function.</w:t>
      </w:r>
    </w:p>
    <w:p w14:paraId="7AB1E204" w14:textId="77777777" w:rsidR="00AD25EE" w:rsidRPr="00AD25EE" w:rsidRDefault="00AD25EE" w:rsidP="00B97197">
      <w:pPr>
        <w:rPr>
          <w:rFonts w:ascii="Arial" w:hAnsi="Arial" w:cs="Arial"/>
          <w:sz w:val="24"/>
          <w:szCs w:val="24"/>
        </w:rPr>
      </w:pPr>
    </w:p>
    <w:p w14:paraId="719210EF" w14:textId="77777777" w:rsidR="00AD25EE" w:rsidRPr="00AD25EE" w:rsidRDefault="00AD25EE" w:rsidP="00AD25EE">
      <w:pPr>
        <w:pStyle w:val="Heading1"/>
        <w:rPr>
          <w:rFonts w:ascii="Arial" w:hAnsi="Arial" w:cs="Arial"/>
          <w:b/>
          <w:bCs/>
          <w:sz w:val="24"/>
          <w:szCs w:val="24"/>
        </w:rPr>
      </w:pPr>
      <w:r w:rsidRPr="00AD25EE">
        <w:rPr>
          <w:rFonts w:ascii="Arial" w:hAnsi="Arial" w:cs="Arial"/>
          <w:b/>
          <w:bCs/>
          <w:sz w:val="24"/>
          <w:szCs w:val="24"/>
        </w:rPr>
        <w:t>3. Policies and Procedures</w:t>
      </w:r>
    </w:p>
    <w:p w14:paraId="102C1918" w14:textId="77777777" w:rsidR="00AD25EE" w:rsidRPr="00AD25EE" w:rsidRDefault="00AD25EE" w:rsidP="00AD25EE">
      <w:pPr>
        <w:rPr>
          <w:rFonts w:ascii="Arial" w:hAnsi="Arial" w:cs="Arial"/>
          <w:sz w:val="24"/>
          <w:szCs w:val="24"/>
        </w:rPr>
      </w:pPr>
    </w:p>
    <w:p w14:paraId="0BA0A514"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Effective policies and procedures are essential for </w:t>
      </w:r>
      <w:proofErr w:type="spellStart"/>
      <w:r w:rsidRPr="00AD25EE">
        <w:rPr>
          <w:rFonts w:ascii="Arial" w:hAnsi="Arial" w:cs="Arial"/>
          <w:sz w:val="24"/>
          <w:szCs w:val="24"/>
        </w:rPr>
        <w:t>operationalising</w:t>
      </w:r>
      <w:proofErr w:type="spellEnd"/>
      <w:r w:rsidRPr="00AD25EE">
        <w:rPr>
          <w:rFonts w:ascii="Arial" w:hAnsi="Arial" w:cs="Arial"/>
          <w:sz w:val="24"/>
          <w:szCs w:val="24"/>
        </w:rPr>
        <w:t xml:space="preserve"> Zero Trust principles. </w:t>
      </w:r>
      <w:proofErr w:type="spellStart"/>
      <w:r w:rsidRPr="00AD25EE">
        <w:rPr>
          <w:rFonts w:ascii="Arial" w:hAnsi="Arial" w:cs="Arial"/>
          <w:sz w:val="24"/>
          <w:szCs w:val="24"/>
        </w:rPr>
        <w:t>MediTrust</w:t>
      </w:r>
      <w:proofErr w:type="spellEnd"/>
      <w:r w:rsidRPr="00AD25EE">
        <w:rPr>
          <w:rFonts w:ascii="Arial" w:hAnsi="Arial" w:cs="Arial"/>
          <w:sz w:val="24"/>
          <w:szCs w:val="24"/>
        </w:rPr>
        <w:t xml:space="preserve"> must implement clear policies that address the risks associated with </w:t>
      </w:r>
      <w:r w:rsidRPr="00AD25EE">
        <w:rPr>
          <w:rFonts w:ascii="Arial" w:hAnsi="Arial" w:cs="Arial"/>
          <w:sz w:val="24"/>
          <w:szCs w:val="24"/>
        </w:rPr>
        <w:t>AI systems, cloud services, and hybrid work environments.</w:t>
      </w:r>
    </w:p>
    <w:p w14:paraId="0BCB295C" w14:textId="77777777" w:rsidR="00AD25EE" w:rsidRPr="00AD25EE" w:rsidRDefault="00AD25EE" w:rsidP="00AD25EE">
      <w:pPr>
        <w:rPr>
          <w:rFonts w:ascii="Arial" w:hAnsi="Arial" w:cs="Arial"/>
          <w:sz w:val="24"/>
          <w:szCs w:val="24"/>
        </w:rPr>
      </w:pPr>
    </w:p>
    <w:p w14:paraId="28F2DBFA" w14:textId="77777777" w:rsidR="00AD25EE" w:rsidRPr="00AD25EE" w:rsidRDefault="00AD25EE" w:rsidP="00AD25EE">
      <w:pPr>
        <w:rPr>
          <w:rFonts w:ascii="Arial" w:hAnsi="Arial" w:cs="Arial"/>
          <w:b/>
          <w:bCs/>
          <w:sz w:val="24"/>
          <w:szCs w:val="24"/>
        </w:rPr>
      </w:pPr>
      <w:r w:rsidRPr="00AD25EE">
        <w:rPr>
          <w:rFonts w:ascii="Arial" w:hAnsi="Arial" w:cs="Arial"/>
          <w:b/>
          <w:bCs/>
          <w:sz w:val="24"/>
          <w:szCs w:val="24"/>
        </w:rPr>
        <w:t>Table 1: Key Security Policies</w:t>
      </w:r>
    </w:p>
    <w:p w14:paraId="7DFBF4FC" w14:textId="77777777" w:rsidR="00AD25EE" w:rsidRPr="00AD25EE" w:rsidRDefault="00AD25EE" w:rsidP="00AD25EE">
      <w:pPr>
        <w:rPr>
          <w:rFonts w:ascii="Arial" w:hAnsi="Arial" w:cs="Arial"/>
          <w:sz w:val="24"/>
          <w:szCs w:val="24"/>
        </w:rPr>
      </w:pPr>
    </w:p>
    <w:p w14:paraId="7F2426D6" w14:textId="77777777" w:rsidR="00AD25EE" w:rsidRPr="00AD25EE" w:rsidRDefault="00AD25EE" w:rsidP="00AD25EE">
      <w:pPr>
        <w:rPr>
          <w:rFonts w:ascii="Arial" w:hAnsi="Arial" w:cs="Arial"/>
          <w:sz w:val="24"/>
          <w:szCs w:val="24"/>
        </w:rPr>
      </w:pPr>
    </w:p>
    <w:tbl>
      <w:tblPr>
        <w:tblW w:w="0pt" w:type="auto"/>
        <w:tblCellSpacing w:w="0.75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CellMar>
          <w:top w:w="0.75pt" w:type="dxa"/>
          <w:start w:w="0.75pt" w:type="dxa"/>
          <w:bottom w:w="0.75pt" w:type="dxa"/>
          <w:end w:w="0.75pt" w:type="dxa"/>
        </w:tblCellMar>
        <w:tblLook w:firstRow="1" w:lastRow="0" w:firstColumn="1" w:lastColumn="0" w:noHBand="0" w:noVBand="1"/>
      </w:tblPr>
      <w:tblGrid>
        <w:gridCol w:w="1644"/>
        <w:gridCol w:w="1691"/>
        <w:gridCol w:w="1521"/>
      </w:tblGrid>
      <w:tr w:rsidR="00AD25EE" w:rsidRPr="00AD25EE" w14:paraId="726F78B4" w14:textId="77777777" w:rsidTr="00AD25EE">
        <w:trPr>
          <w:tblHeader/>
          <w:tblCellSpacing w:w="0.75pt" w:type="dxa"/>
        </w:trPr>
        <w:tc>
          <w:tcPr>
            <w:tcW w:w="0pt" w:type="auto"/>
            <w:vAlign w:val="center"/>
            <w:hideMark/>
          </w:tcPr>
          <w:p w14:paraId="4B60D7CE"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Policy</w:t>
            </w:r>
          </w:p>
        </w:tc>
        <w:tc>
          <w:tcPr>
            <w:tcW w:w="0pt" w:type="auto"/>
            <w:vAlign w:val="center"/>
            <w:hideMark/>
          </w:tcPr>
          <w:p w14:paraId="5D43D3AC"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Key Controls</w:t>
            </w:r>
          </w:p>
        </w:tc>
        <w:tc>
          <w:tcPr>
            <w:tcW w:w="0pt" w:type="auto"/>
            <w:vAlign w:val="center"/>
            <w:hideMark/>
          </w:tcPr>
          <w:p w14:paraId="0E1C6586"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Zero Trust Alignment</w:t>
            </w:r>
          </w:p>
        </w:tc>
      </w:tr>
      <w:tr w:rsidR="00AD25EE" w:rsidRPr="00AD25EE" w14:paraId="38504424" w14:textId="77777777" w:rsidTr="00AD25EE">
        <w:trPr>
          <w:tblCellSpacing w:w="0.75pt" w:type="dxa"/>
        </w:trPr>
        <w:tc>
          <w:tcPr>
            <w:tcW w:w="0pt" w:type="auto"/>
            <w:vAlign w:val="center"/>
            <w:hideMark/>
          </w:tcPr>
          <w:p w14:paraId="397685FB" w14:textId="77777777" w:rsidR="00AD25EE" w:rsidRPr="00AD25EE" w:rsidRDefault="00AD25EE" w:rsidP="009F46EC">
            <w:pPr>
              <w:rPr>
                <w:rFonts w:ascii="Arial" w:hAnsi="Arial" w:cs="Arial"/>
                <w:sz w:val="24"/>
                <w:szCs w:val="24"/>
              </w:rPr>
            </w:pPr>
            <w:r w:rsidRPr="00AD25EE">
              <w:rPr>
                <w:rFonts w:ascii="Arial" w:hAnsi="Arial" w:cs="Arial"/>
                <w:sz w:val="24"/>
                <w:szCs w:val="24"/>
              </w:rPr>
              <w:t>AI Usage Policy</w:t>
            </w:r>
          </w:p>
        </w:tc>
        <w:tc>
          <w:tcPr>
            <w:tcW w:w="0pt" w:type="auto"/>
            <w:vAlign w:val="center"/>
            <w:hideMark/>
          </w:tcPr>
          <w:p w14:paraId="12FEB9F0" w14:textId="77777777" w:rsidR="00AD25EE" w:rsidRPr="00AD25EE" w:rsidRDefault="00AD25EE" w:rsidP="009F46EC">
            <w:pPr>
              <w:rPr>
                <w:rFonts w:ascii="Arial" w:hAnsi="Arial" w:cs="Arial"/>
                <w:sz w:val="24"/>
                <w:szCs w:val="24"/>
              </w:rPr>
            </w:pPr>
            <w:r w:rsidRPr="00AD25EE">
              <w:rPr>
                <w:rFonts w:ascii="Arial" w:hAnsi="Arial" w:cs="Arial"/>
                <w:sz w:val="24"/>
                <w:szCs w:val="24"/>
              </w:rPr>
              <w:t>Model validation, dataset integrity checks, restricted access</w:t>
            </w:r>
          </w:p>
        </w:tc>
        <w:tc>
          <w:tcPr>
            <w:tcW w:w="0pt" w:type="auto"/>
            <w:vAlign w:val="center"/>
            <w:hideMark/>
          </w:tcPr>
          <w:p w14:paraId="512FF82A" w14:textId="77777777" w:rsidR="00AD25EE" w:rsidRPr="00AD25EE" w:rsidRDefault="00AD25EE" w:rsidP="009F46EC">
            <w:pPr>
              <w:rPr>
                <w:rFonts w:ascii="Arial" w:hAnsi="Arial" w:cs="Arial"/>
                <w:sz w:val="24"/>
                <w:szCs w:val="24"/>
              </w:rPr>
            </w:pPr>
            <w:r w:rsidRPr="00AD25EE">
              <w:rPr>
                <w:rFonts w:ascii="Arial" w:hAnsi="Arial" w:cs="Arial"/>
                <w:sz w:val="24"/>
                <w:szCs w:val="24"/>
              </w:rPr>
              <w:t>Ensures trust verification and prevents data poisoning</w:t>
            </w:r>
          </w:p>
        </w:tc>
      </w:tr>
      <w:tr w:rsidR="00AD25EE" w:rsidRPr="00AD25EE" w14:paraId="591D33AA" w14:textId="77777777" w:rsidTr="00AD25EE">
        <w:trPr>
          <w:tblCellSpacing w:w="0.75pt" w:type="dxa"/>
        </w:trPr>
        <w:tc>
          <w:tcPr>
            <w:tcW w:w="0pt" w:type="auto"/>
            <w:vAlign w:val="center"/>
            <w:hideMark/>
          </w:tcPr>
          <w:p w14:paraId="7A52ED98" w14:textId="77777777" w:rsidR="00AD25EE" w:rsidRPr="00AD25EE" w:rsidRDefault="00AD25EE" w:rsidP="009F46EC">
            <w:pPr>
              <w:rPr>
                <w:rFonts w:ascii="Arial" w:hAnsi="Arial" w:cs="Arial"/>
                <w:sz w:val="24"/>
                <w:szCs w:val="24"/>
              </w:rPr>
            </w:pPr>
            <w:r w:rsidRPr="00AD25EE">
              <w:rPr>
                <w:rFonts w:ascii="Arial" w:hAnsi="Arial" w:cs="Arial"/>
                <w:sz w:val="24"/>
                <w:szCs w:val="24"/>
              </w:rPr>
              <w:t>Secure SaaS Configuration Policy</w:t>
            </w:r>
          </w:p>
        </w:tc>
        <w:tc>
          <w:tcPr>
            <w:tcW w:w="0pt" w:type="auto"/>
            <w:vAlign w:val="center"/>
            <w:hideMark/>
          </w:tcPr>
          <w:p w14:paraId="5A71DC39" w14:textId="77777777" w:rsidR="00AD25EE" w:rsidRPr="00AD25EE" w:rsidRDefault="00AD25EE" w:rsidP="009F46EC">
            <w:pPr>
              <w:rPr>
                <w:rFonts w:ascii="Arial" w:hAnsi="Arial" w:cs="Arial"/>
                <w:sz w:val="24"/>
                <w:szCs w:val="24"/>
              </w:rPr>
            </w:pPr>
            <w:r w:rsidRPr="00AD25EE">
              <w:rPr>
                <w:rFonts w:ascii="Arial" w:hAnsi="Arial" w:cs="Arial"/>
                <w:sz w:val="24"/>
                <w:szCs w:val="24"/>
              </w:rPr>
              <w:t>Least privilege access, continuous monitoring, encryption</w:t>
            </w:r>
          </w:p>
        </w:tc>
        <w:tc>
          <w:tcPr>
            <w:tcW w:w="0pt" w:type="auto"/>
            <w:vAlign w:val="center"/>
            <w:hideMark/>
          </w:tcPr>
          <w:p w14:paraId="5D1A6839" w14:textId="77777777" w:rsidR="00AD25EE" w:rsidRPr="00AD25EE" w:rsidRDefault="00AD25EE" w:rsidP="009F46EC">
            <w:pPr>
              <w:rPr>
                <w:rFonts w:ascii="Arial" w:hAnsi="Arial" w:cs="Arial"/>
                <w:sz w:val="24"/>
                <w:szCs w:val="24"/>
              </w:rPr>
            </w:pPr>
            <w:r w:rsidRPr="00AD25EE">
              <w:rPr>
                <w:rFonts w:ascii="Arial" w:hAnsi="Arial" w:cs="Arial"/>
                <w:sz w:val="24"/>
                <w:szCs w:val="24"/>
              </w:rPr>
              <w:t>Reduces attack surface and enforces access control</w:t>
            </w:r>
          </w:p>
        </w:tc>
      </w:tr>
      <w:tr w:rsidR="00AD25EE" w:rsidRPr="00AD25EE" w14:paraId="0B41ED0E" w14:textId="77777777" w:rsidTr="00AD25EE">
        <w:trPr>
          <w:tblCellSpacing w:w="0.75pt" w:type="dxa"/>
        </w:trPr>
        <w:tc>
          <w:tcPr>
            <w:tcW w:w="0pt" w:type="auto"/>
            <w:vAlign w:val="center"/>
            <w:hideMark/>
          </w:tcPr>
          <w:p w14:paraId="5053DC3F" w14:textId="77777777" w:rsidR="00AD25EE" w:rsidRPr="00AD25EE" w:rsidRDefault="00AD25EE" w:rsidP="009F46EC">
            <w:pPr>
              <w:rPr>
                <w:rFonts w:ascii="Arial" w:hAnsi="Arial" w:cs="Arial"/>
                <w:sz w:val="24"/>
                <w:szCs w:val="24"/>
              </w:rPr>
            </w:pPr>
            <w:r w:rsidRPr="00AD25EE">
              <w:rPr>
                <w:rFonts w:ascii="Arial" w:hAnsi="Arial" w:cs="Arial"/>
                <w:sz w:val="24"/>
                <w:szCs w:val="24"/>
              </w:rPr>
              <w:t>BYOD Policy</w:t>
            </w:r>
          </w:p>
        </w:tc>
        <w:tc>
          <w:tcPr>
            <w:tcW w:w="0pt" w:type="auto"/>
            <w:vAlign w:val="center"/>
            <w:hideMark/>
          </w:tcPr>
          <w:p w14:paraId="3C352E69" w14:textId="77777777" w:rsidR="00AD25EE" w:rsidRPr="00AD25EE" w:rsidRDefault="00AD25EE" w:rsidP="009F46EC">
            <w:pPr>
              <w:rPr>
                <w:rFonts w:ascii="Arial" w:hAnsi="Arial" w:cs="Arial"/>
                <w:sz w:val="24"/>
                <w:szCs w:val="24"/>
              </w:rPr>
            </w:pPr>
            <w:r w:rsidRPr="00AD25EE">
              <w:rPr>
                <w:rFonts w:ascii="Arial" w:hAnsi="Arial" w:cs="Arial"/>
                <w:sz w:val="24"/>
                <w:szCs w:val="24"/>
              </w:rPr>
              <w:t>Device compliance checks, MDM, MFA enforcement</w:t>
            </w:r>
          </w:p>
        </w:tc>
        <w:tc>
          <w:tcPr>
            <w:tcW w:w="0pt" w:type="auto"/>
            <w:vAlign w:val="center"/>
            <w:hideMark/>
          </w:tcPr>
          <w:p w14:paraId="5F423D99" w14:textId="77777777" w:rsidR="00AD25EE" w:rsidRPr="00AD25EE" w:rsidRDefault="00AD25EE" w:rsidP="009F46EC">
            <w:pPr>
              <w:rPr>
                <w:rFonts w:ascii="Arial" w:hAnsi="Arial" w:cs="Arial"/>
                <w:sz w:val="24"/>
                <w:szCs w:val="24"/>
              </w:rPr>
            </w:pPr>
            <w:r w:rsidRPr="00AD25EE">
              <w:rPr>
                <w:rFonts w:ascii="Arial" w:hAnsi="Arial" w:cs="Arial"/>
                <w:sz w:val="24"/>
                <w:szCs w:val="24"/>
              </w:rPr>
              <w:t>Verifies both user identity and device posture</w:t>
            </w:r>
          </w:p>
        </w:tc>
      </w:tr>
    </w:tbl>
    <w:p w14:paraId="0692DE25" w14:textId="77777777" w:rsidR="00AD25EE" w:rsidRPr="00AD25EE" w:rsidRDefault="00AD25EE" w:rsidP="00AD25EE">
      <w:pPr>
        <w:rPr>
          <w:rFonts w:ascii="Arial" w:hAnsi="Arial" w:cs="Arial"/>
          <w:sz w:val="24"/>
          <w:szCs w:val="24"/>
        </w:rPr>
      </w:pPr>
    </w:p>
    <w:p w14:paraId="68B25B9D"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The AI Usage Policy is particularly important due to </w:t>
      </w:r>
      <w:proofErr w:type="spellStart"/>
      <w:r w:rsidRPr="00AD25EE">
        <w:rPr>
          <w:rFonts w:ascii="Arial" w:hAnsi="Arial" w:cs="Arial"/>
          <w:sz w:val="24"/>
          <w:szCs w:val="24"/>
        </w:rPr>
        <w:t>MediTrust’s</w:t>
      </w:r>
      <w:proofErr w:type="spellEnd"/>
      <w:r w:rsidRPr="00AD25EE">
        <w:rPr>
          <w:rFonts w:ascii="Arial" w:hAnsi="Arial" w:cs="Arial"/>
          <w:sz w:val="24"/>
          <w:szCs w:val="24"/>
        </w:rPr>
        <w:t xml:space="preserve"> reliance on machine learning models. This policy should enforce strict controls over training data, including validation mechanisms to detect poisoned datasets and </w:t>
      </w:r>
      <w:proofErr w:type="spellStart"/>
      <w:r w:rsidRPr="00AD25EE">
        <w:rPr>
          <w:rFonts w:ascii="Arial" w:hAnsi="Arial" w:cs="Arial"/>
          <w:sz w:val="24"/>
          <w:szCs w:val="24"/>
        </w:rPr>
        <w:t>unauthorised</w:t>
      </w:r>
      <w:proofErr w:type="spellEnd"/>
      <w:r w:rsidRPr="00AD25EE">
        <w:rPr>
          <w:rFonts w:ascii="Arial" w:hAnsi="Arial" w:cs="Arial"/>
          <w:sz w:val="24"/>
          <w:szCs w:val="24"/>
        </w:rPr>
        <w:t xml:space="preserve"> modifications. Access to AI models and datasets must be restricted based on roles and continuously monitored. This aligns with the Zero Trust assumption that data and systems may be compromised and must be verified continuously [1].</w:t>
      </w:r>
    </w:p>
    <w:p w14:paraId="1D7180E3" w14:textId="77777777" w:rsidR="00AD25EE" w:rsidRPr="00AD25EE" w:rsidRDefault="00AD25EE" w:rsidP="00AD25EE">
      <w:pPr>
        <w:rPr>
          <w:rFonts w:ascii="Arial" w:hAnsi="Arial" w:cs="Arial"/>
          <w:sz w:val="24"/>
          <w:szCs w:val="24"/>
        </w:rPr>
      </w:pPr>
      <w:r w:rsidRPr="00AD25EE">
        <w:rPr>
          <w:rFonts w:ascii="Arial" w:hAnsi="Arial" w:cs="Arial"/>
          <w:sz w:val="24"/>
          <w:szCs w:val="24"/>
        </w:rPr>
        <w:t>The Secure SaaS Configuration Policy addresses risks associated with cloud misconfigurations, which are a leading cause of data breaches. Continuous configuration monitoring tools such as Cloud Security Posture Management solutions should be used to detect and remediate misconfigurations. Access to SaaS platforms must follow least privilege principles, ensuring that users only have access to the resources necessary for their roles [7].</w:t>
      </w:r>
    </w:p>
    <w:p w14:paraId="266A38B1" w14:textId="77777777" w:rsidR="00AD25EE" w:rsidRPr="00AD25EE" w:rsidRDefault="00AD25EE" w:rsidP="00AD25EE">
      <w:pPr>
        <w:rPr>
          <w:rFonts w:ascii="Arial" w:hAnsi="Arial" w:cs="Arial"/>
          <w:sz w:val="24"/>
          <w:szCs w:val="24"/>
        </w:rPr>
      </w:pPr>
      <w:r w:rsidRPr="00AD25EE">
        <w:rPr>
          <w:rFonts w:ascii="Arial" w:hAnsi="Arial" w:cs="Arial"/>
          <w:sz w:val="24"/>
          <w:szCs w:val="24"/>
        </w:rPr>
        <w:lastRenderedPageBreak/>
        <w:t>The BYOD Policy is essential in a hybrid workforce environment. Personal devices must meet strict security requirements before accessing corporate resources. This includes device compliance checks, regular updates, and the use of Mobile Device Management systems. Combined with strong authentication mechanisms such as multi-factor authentication, this ensures that both user identity and device integrity are verified [2].</w:t>
      </w:r>
    </w:p>
    <w:p w14:paraId="540DA8EE" w14:textId="77777777" w:rsidR="00AD25EE" w:rsidRDefault="00AD25EE" w:rsidP="00AD25EE">
      <w:pPr>
        <w:rPr>
          <w:rFonts w:ascii="Arial" w:hAnsi="Arial" w:cs="Arial"/>
          <w:sz w:val="24"/>
          <w:szCs w:val="24"/>
        </w:rPr>
      </w:pPr>
      <w:r w:rsidRPr="00AD25EE">
        <w:rPr>
          <w:rFonts w:ascii="Arial" w:hAnsi="Arial" w:cs="Arial"/>
          <w:sz w:val="24"/>
          <w:szCs w:val="24"/>
        </w:rPr>
        <w:t>These policies collectively support Zero Trust by enforcing continuous verification, limiting access, and reducing the risk of compromise across different operational domains.</w:t>
      </w:r>
    </w:p>
    <w:p w14:paraId="584F01B1" w14:textId="77777777" w:rsidR="00AD25EE" w:rsidRDefault="00AD25EE" w:rsidP="00AD25EE">
      <w:pPr>
        <w:rPr>
          <w:rFonts w:ascii="Arial" w:hAnsi="Arial" w:cs="Arial"/>
          <w:sz w:val="24"/>
          <w:szCs w:val="24"/>
        </w:rPr>
      </w:pPr>
    </w:p>
    <w:p w14:paraId="739D4E54" w14:textId="77777777" w:rsidR="00AD25EE" w:rsidRPr="005F7629" w:rsidRDefault="00AD25EE" w:rsidP="00AD25EE">
      <w:pPr>
        <w:rPr>
          <w:rFonts w:ascii="Arial" w:hAnsi="Arial" w:cs="Arial"/>
        </w:rPr>
      </w:pPr>
    </w:p>
    <w:p w14:paraId="74D2E333" w14:textId="77777777" w:rsidR="00AD25EE" w:rsidRDefault="00AD25EE" w:rsidP="00AD25EE">
      <w:pPr>
        <w:pStyle w:val="Heading1"/>
        <w:rPr>
          <w:rFonts w:ascii="Arial" w:hAnsi="Arial" w:cs="Arial"/>
          <w:b/>
          <w:bCs/>
          <w:sz w:val="24"/>
          <w:szCs w:val="24"/>
        </w:rPr>
      </w:pPr>
      <w:r w:rsidRPr="00AD25EE">
        <w:rPr>
          <w:rFonts w:ascii="Arial" w:hAnsi="Arial" w:cs="Arial"/>
          <w:b/>
          <w:bCs/>
          <w:sz w:val="24"/>
          <w:szCs w:val="24"/>
        </w:rPr>
        <w:t>4. Compliance with DORA and NIS2</w:t>
      </w:r>
    </w:p>
    <w:p w14:paraId="1D4DBE02" w14:textId="77777777" w:rsidR="00AD25EE" w:rsidRPr="00AD25EE" w:rsidRDefault="00AD25EE" w:rsidP="00AD25EE"/>
    <w:p w14:paraId="596310F0"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Compliance with European regulatory frameworks </w:t>
      </w:r>
      <w:proofErr w:type="gramStart"/>
      <w:r w:rsidRPr="00AD25EE">
        <w:rPr>
          <w:rFonts w:ascii="Arial" w:hAnsi="Arial" w:cs="Arial"/>
          <w:sz w:val="24"/>
          <w:szCs w:val="24"/>
        </w:rPr>
        <w:t>is</w:t>
      </w:r>
      <w:proofErr w:type="gramEnd"/>
      <w:r w:rsidRPr="00AD25EE">
        <w:rPr>
          <w:rFonts w:ascii="Arial" w:hAnsi="Arial" w:cs="Arial"/>
          <w:sz w:val="24"/>
          <w:szCs w:val="24"/>
        </w:rPr>
        <w:t xml:space="preserve"> a key requirement for </w:t>
      </w:r>
      <w:proofErr w:type="spellStart"/>
      <w:r w:rsidRPr="00AD25EE">
        <w:rPr>
          <w:rFonts w:ascii="Arial" w:hAnsi="Arial" w:cs="Arial"/>
          <w:sz w:val="24"/>
          <w:szCs w:val="24"/>
        </w:rPr>
        <w:t>MediTrust’s</w:t>
      </w:r>
      <w:proofErr w:type="spellEnd"/>
      <w:r w:rsidRPr="00AD25EE">
        <w:rPr>
          <w:rFonts w:ascii="Arial" w:hAnsi="Arial" w:cs="Arial"/>
          <w:sz w:val="24"/>
          <w:szCs w:val="24"/>
        </w:rPr>
        <w:t xml:space="preserve"> expansion strategy.</w:t>
      </w:r>
    </w:p>
    <w:p w14:paraId="488DB94E"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The Digital Operational Resilience Act focuses on ensuring that </w:t>
      </w:r>
      <w:proofErr w:type="spellStart"/>
      <w:r w:rsidRPr="00AD25EE">
        <w:rPr>
          <w:rFonts w:ascii="Arial" w:hAnsi="Arial" w:cs="Arial"/>
          <w:sz w:val="24"/>
          <w:szCs w:val="24"/>
        </w:rPr>
        <w:t>organisations</w:t>
      </w:r>
      <w:proofErr w:type="spellEnd"/>
      <w:r w:rsidRPr="00AD25EE">
        <w:rPr>
          <w:rFonts w:ascii="Arial" w:hAnsi="Arial" w:cs="Arial"/>
          <w:sz w:val="24"/>
          <w:szCs w:val="24"/>
        </w:rPr>
        <w:t xml:space="preserve"> can withstand and recover from operational disruptions. It requires robust risk management practices, incident response capabilities, and regular resilience testing. </w:t>
      </w:r>
      <w:proofErr w:type="spellStart"/>
      <w:r w:rsidRPr="00AD25EE">
        <w:rPr>
          <w:rFonts w:ascii="Arial" w:hAnsi="Arial" w:cs="Arial"/>
          <w:sz w:val="24"/>
          <w:szCs w:val="24"/>
        </w:rPr>
        <w:t>MediTrust</w:t>
      </w:r>
      <w:proofErr w:type="spellEnd"/>
      <w:r w:rsidRPr="00AD25EE">
        <w:rPr>
          <w:rFonts w:ascii="Arial" w:hAnsi="Arial" w:cs="Arial"/>
          <w:sz w:val="24"/>
          <w:szCs w:val="24"/>
        </w:rPr>
        <w:t xml:space="preserve"> can meet these requirements by implementing continuous monitoring, automated incident response, and regular security assessments. Zero Trust contributes to operational resilience by reducing the impact of breaches and enabling rapid containment [3].</w:t>
      </w:r>
    </w:p>
    <w:p w14:paraId="000AB151"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The NIS2 Directive </w:t>
      </w:r>
      <w:proofErr w:type="spellStart"/>
      <w:r w:rsidRPr="00AD25EE">
        <w:rPr>
          <w:rFonts w:ascii="Arial" w:hAnsi="Arial" w:cs="Arial"/>
          <w:sz w:val="24"/>
          <w:szCs w:val="24"/>
        </w:rPr>
        <w:t>emphasises</w:t>
      </w:r>
      <w:proofErr w:type="spellEnd"/>
      <w:r w:rsidRPr="00AD25EE">
        <w:rPr>
          <w:rFonts w:ascii="Arial" w:hAnsi="Arial" w:cs="Arial"/>
          <w:sz w:val="24"/>
          <w:szCs w:val="24"/>
        </w:rPr>
        <w:t xml:space="preserve"> cybersecurity risk management and incident reporting. </w:t>
      </w:r>
      <w:proofErr w:type="spellStart"/>
      <w:r w:rsidRPr="00AD25EE">
        <w:rPr>
          <w:rFonts w:ascii="Arial" w:hAnsi="Arial" w:cs="Arial"/>
          <w:sz w:val="24"/>
          <w:szCs w:val="24"/>
        </w:rPr>
        <w:t>Organisations</w:t>
      </w:r>
      <w:proofErr w:type="spellEnd"/>
      <w:r w:rsidRPr="00AD25EE">
        <w:rPr>
          <w:rFonts w:ascii="Arial" w:hAnsi="Arial" w:cs="Arial"/>
          <w:sz w:val="24"/>
          <w:szCs w:val="24"/>
        </w:rPr>
        <w:t xml:space="preserve"> must report significant incidents within strict timeframes and demonstrate effective risk management practices. NIS2 also highlights the importance of supply chain security, requiring </w:t>
      </w:r>
      <w:proofErr w:type="spellStart"/>
      <w:r w:rsidRPr="00AD25EE">
        <w:rPr>
          <w:rFonts w:ascii="Arial" w:hAnsi="Arial" w:cs="Arial"/>
          <w:sz w:val="24"/>
          <w:szCs w:val="24"/>
        </w:rPr>
        <w:t>organisations</w:t>
      </w:r>
      <w:proofErr w:type="spellEnd"/>
      <w:r w:rsidRPr="00AD25EE">
        <w:rPr>
          <w:rFonts w:ascii="Arial" w:hAnsi="Arial" w:cs="Arial"/>
          <w:sz w:val="24"/>
          <w:szCs w:val="24"/>
        </w:rPr>
        <w:t xml:space="preserve"> to assess risks associated with third-party providers and software dependencies [4].</w:t>
      </w:r>
    </w:p>
    <w:p w14:paraId="35412AF2"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In addition, the General Data Protection Regulation imposes strict requirements on the processing and protection of personal data, particularly sensitive health information. </w:t>
      </w:r>
      <w:proofErr w:type="spellStart"/>
      <w:r w:rsidRPr="00AD25EE">
        <w:rPr>
          <w:rFonts w:ascii="Arial" w:hAnsi="Arial" w:cs="Arial"/>
          <w:sz w:val="24"/>
          <w:szCs w:val="24"/>
        </w:rPr>
        <w:t>MediTrust</w:t>
      </w:r>
      <w:proofErr w:type="spellEnd"/>
      <w:r w:rsidRPr="00AD25EE">
        <w:rPr>
          <w:rFonts w:ascii="Arial" w:hAnsi="Arial" w:cs="Arial"/>
          <w:sz w:val="24"/>
          <w:szCs w:val="24"/>
        </w:rPr>
        <w:t xml:space="preserve"> must ensure data confidentiality, integrity, and availability, as well as </w:t>
      </w:r>
      <w:r w:rsidRPr="00AD25EE">
        <w:rPr>
          <w:rFonts w:ascii="Arial" w:hAnsi="Arial" w:cs="Arial"/>
          <w:sz w:val="24"/>
          <w:szCs w:val="24"/>
        </w:rPr>
        <w:t xml:space="preserve">implement principles such as data </w:t>
      </w:r>
      <w:proofErr w:type="spellStart"/>
      <w:r w:rsidRPr="00AD25EE">
        <w:rPr>
          <w:rFonts w:ascii="Arial" w:hAnsi="Arial" w:cs="Arial"/>
          <w:sz w:val="24"/>
          <w:szCs w:val="24"/>
        </w:rPr>
        <w:t>minimisation</w:t>
      </w:r>
      <w:proofErr w:type="spellEnd"/>
      <w:r w:rsidRPr="00AD25EE">
        <w:rPr>
          <w:rFonts w:ascii="Arial" w:hAnsi="Arial" w:cs="Arial"/>
          <w:sz w:val="24"/>
          <w:szCs w:val="24"/>
        </w:rPr>
        <w:t xml:space="preserve"> and purpose limitation. Zero Trust supports GDPR compliance by enforcing strict access controls, continuous authentication, and detailed audit logging, ensuring that only </w:t>
      </w:r>
      <w:proofErr w:type="spellStart"/>
      <w:r w:rsidRPr="00AD25EE">
        <w:rPr>
          <w:rFonts w:ascii="Arial" w:hAnsi="Arial" w:cs="Arial"/>
          <w:sz w:val="24"/>
          <w:szCs w:val="24"/>
        </w:rPr>
        <w:t>authorised</w:t>
      </w:r>
      <w:proofErr w:type="spellEnd"/>
      <w:r w:rsidRPr="00AD25EE">
        <w:rPr>
          <w:rFonts w:ascii="Arial" w:hAnsi="Arial" w:cs="Arial"/>
          <w:sz w:val="24"/>
          <w:szCs w:val="24"/>
        </w:rPr>
        <w:t xml:space="preserve"> users can access patient data and that all access is traceable. Furthermore, encryption and strong identity verification mechanisms reduce the risk of data breaches and support regulatory accountability [1].</w:t>
      </w:r>
    </w:p>
    <w:p w14:paraId="20195A70" w14:textId="77777777" w:rsidR="00AD25EE" w:rsidRDefault="00AD25EE" w:rsidP="00AD25EE">
      <w:pPr>
        <w:rPr>
          <w:rFonts w:ascii="Arial" w:hAnsi="Arial" w:cs="Arial"/>
          <w:sz w:val="24"/>
          <w:szCs w:val="24"/>
        </w:rPr>
      </w:pPr>
      <w:r w:rsidRPr="00AD25EE">
        <w:rPr>
          <w:rFonts w:ascii="Arial" w:hAnsi="Arial" w:cs="Arial"/>
          <w:sz w:val="24"/>
          <w:szCs w:val="24"/>
        </w:rPr>
        <w:t xml:space="preserve">By adopting a Zero Trust approach, </w:t>
      </w:r>
      <w:proofErr w:type="spellStart"/>
      <w:r w:rsidRPr="00AD25EE">
        <w:rPr>
          <w:rFonts w:ascii="Arial" w:hAnsi="Arial" w:cs="Arial"/>
          <w:sz w:val="24"/>
          <w:szCs w:val="24"/>
        </w:rPr>
        <w:t>MediTrust</w:t>
      </w:r>
      <w:proofErr w:type="spellEnd"/>
      <w:r w:rsidRPr="00AD25EE">
        <w:rPr>
          <w:rFonts w:ascii="Arial" w:hAnsi="Arial" w:cs="Arial"/>
          <w:sz w:val="24"/>
          <w:szCs w:val="24"/>
        </w:rPr>
        <w:t xml:space="preserve"> enhances its ability to comply with these regulations. Continuous monitoring, strong identity verification, and detailed logging improve visibility and support timely incident reporting. Additionally, strict access controls and segmentation reduce the risk of widespread compromise.</w:t>
      </w:r>
    </w:p>
    <w:p w14:paraId="07BBB7F1" w14:textId="77777777" w:rsidR="00AD25EE" w:rsidRDefault="00AD25EE" w:rsidP="00AD25EE">
      <w:pPr>
        <w:rPr>
          <w:rFonts w:ascii="Arial" w:hAnsi="Arial" w:cs="Arial"/>
          <w:sz w:val="24"/>
          <w:szCs w:val="24"/>
        </w:rPr>
      </w:pPr>
    </w:p>
    <w:p w14:paraId="6F4A17D0" w14:textId="77777777" w:rsidR="00AD25EE" w:rsidRPr="00AD25EE" w:rsidRDefault="00AD25EE" w:rsidP="00AD25EE">
      <w:pPr>
        <w:rPr>
          <w:rFonts w:ascii="Arial" w:hAnsi="Arial" w:cs="Arial"/>
          <w:sz w:val="24"/>
          <w:szCs w:val="24"/>
        </w:rPr>
      </w:pPr>
    </w:p>
    <w:p w14:paraId="0BF7D971" w14:textId="6246E787" w:rsidR="00AD25EE" w:rsidRPr="00AD25EE" w:rsidRDefault="00AD25EE" w:rsidP="00AD25EE">
      <w:pPr>
        <w:pStyle w:val="Heading1"/>
        <w:rPr>
          <w:rFonts w:ascii="Arial" w:hAnsi="Arial" w:cs="Arial"/>
          <w:b/>
          <w:bCs/>
          <w:sz w:val="24"/>
          <w:szCs w:val="24"/>
        </w:rPr>
      </w:pPr>
      <w:r w:rsidRPr="00AD25EE">
        <w:rPr>
          <w:rFonts w:ascii="Arial" w:hAnsi="Arial" w:cs="Arial"/>
          <w:b/>
          <w:bCs/>
          <w:sz w:val="24"/>
          <w:szCs w:val="24"/>
        </w:rPr>
        <w:t xml:space="preserve">5 </w:t>
      </w:r>
      <w:r w:rsidRPr="00AD25EE">
        <w:rPr>
          <w:rFonts w:ascii="Arial" w:hAnsi="Arial" w:cs="Arial"/>
          <w:b/>
          <w:bCs/>
          <w:sz w:val="24"/>
          <w:szCs w:val="24"/>
        </w:rPr>
        <w:t>Governance and Strategy</w:t>
      </w:r>
    </w:p>
    <w:p w14:paraId="46844864" w14:textId="77777777" w:rsidR="00AD25EE" w:rsidRPr="00AD25EE" w:rsidRDefault="00AD25EE" w:rsidP="00AD25EE">
      <w:pPr>
        <w:pStyle w:val="ListParagraph"/>
        <w:ind w:start="18pt"/>
        <w:jc w:val="both"/>
        <w:rPr>
          <w:rFonts w:ascii="Arial" w:hAnsi="Arial" w:cs="Arial"/>
          <w:b/>
          <w:bCs/>
          <w:sz w:val="24"/>
          <w:szCs w:val="24"/>
        </w:rPr>
      </w:pPr>
    </w:p>
    <w:p w14:paraId="3E5D6A7D" w14:textId="77777777" w:rsidR="00AD25EE" w:rsidRDefault="00AD25EE" w:rsidP="00AD25EE">
      <w:pPr>
        <w:rPr>
          <w:rFonts w:ascii="Arial" w:hAnsi="Arial" w:cs="Arial"/>
          <w:sz w:val="24"/>
          <w:szCs w:val="24"/>
        </w:rPr>
      </w:pPr>
      <w:r w:rsidRPr="00AD25EE">
        <w:rPr>
          <w:rFonts w:ascii="Arial" w:hAnsi="Arial" w:cs="Arial"/>
          <w:sz w:val="24"/>
          <w:szCs w:val="24"/>
        </w:rPr>
        <w:t>A comprehensive governance model is essential to ensure that security initiatives align with business objectives. The NIST Cybersecurity Framework provides a structured approach to managing cybersecurity risks.</w:t>
      </w:r>
    </w:p>
    <w:p w14:paraId="3A9B51C9" w14:textId="63A03940" w:rsidR="00AD25EE" w:rsidRDefault="00AD25EE" w:rsidP="00AD25EE">
      <w:pPr>
        <w:rPr>
          <w:rFonts w:ascii="Arial" w:hAnsi="Arial" w:cs="Arial"/>
          <w:sz w:val="24"/>
          <w:szCs w:val="24"/>
        </w:rPr>
      </w:pPr>
      <w:r>
        <w:rPr>
          <w:noProof/>
        </w:rPr>
        <w:drawing>
          <wp:inline distT="0" distB="0" distL="0" distR="0" wp14:anchorId="6083FB05" wp14:editId="180E9400">
            <wp:extent cx="3089910" cy="3187159"/>
            <wp:effectExtent l="0" t="0" r="0" b="0"/>
            <wp:docPr id="1862792756"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862792756" name=""/>
                    <pic:cNvPicPr/>
                  </pic:nvPicPr>
                  <pic:blipFill>
                    <a:blip r:embed="rId13"/>
                    <a:stretch>
                      <a:fillRect/>
                    </a:stretch>
                  </pic:blipFill>
                  <pic:spPr>
                    <a:xfrm>
                      <a:off x="0" y="0"/>
                      <a:ext cx="3089910" cy="3187159"/>
                    </a:xfrm>
                    <a:prstGeom prst="rect">
                      <a:avLst/>
                    </a:prstGeom>
                  </pic:spPr>
                </pic:pic>
              </a:graphicData>
            </a:graphic>
          </wp:inline>
        </w:drawing>
      </w:r>
    </w:p>
    <w:p w14:paraId="5296DE3D" w14:textId="00D8B935" w:rsidR="00AD25EE" w:rsidRDefault="00AD25EE" w:rsidP="00AD25EE">
      <w:pPr>
        <w:rPr>
          <w:rFonts w:ascii="Arial" w:hAnsi="Arial" w:cs="Arial"/>
          <w:b/>
          <w:bCs/>
          <w:i/>
          <w:iCs/>
        </w:rPr>
      </w:pPr>
      <w:r w:rsidRPr="00AD25EE">
        <w:rPr>
          <w:rFonts w:ascii="Arial" w:hAnsi="Arial" w:cs="Arial"/>
          <w:b/>
          <w:bCs/>
          <w:i/>
          <w:iCs/>
        </w:rPr>
        <w:t>Figure 2: NIST Cybersecurity Framework (CSF) Functions</w:t>
      </w:r>
    </w:p>
    <w:p w14:paraId="75752488" w14:textId="77777777" w:rsidR="00AD25EE" w:rsidRDefault="00AD25EE" w:rsidP="00AD25EE">
      <w:pPr>
        <w:rPr>
          <w:rFonts w:ascii="Arial" w:hAnsi="Arial" w:cs="Arial"/>
          <w:b/>
          <w:bCs/>
          <w:i/>
          <w:iCs/>
        </w:rPr>
      </w:pPr>
    </w:p>
    <w:p w14:paraId="7C03CA4F" w14:textId="77777777" w:rsidR="00AD25EE" w:rsidRDefault="00AD25EE" w:rsidP="00AD25EE">
      <w:pPr>
        <w:rPr>
          <w:rFonts w:ascii="Arial" w:hAnsi="Arial" w:cs="Arial"/>
          <w:b/>
          <w:bCs/>
          <w:i/>
          <w:iCs/>
        </w:rPr>
      </w:pPr>
    </w:p>
    <w:p w14:paraId="6F773266" w14:textId="77777777" w:rsidR="00AD25EE" w:rsidRPr="00AD25EE" w:rsidRDefault="00AD25EE" w:rsidP="00AD25EE">
      <w:pPr>
        <w:rPr>
          <w:rFonts w:ascii="Arial" w:hAnsi="Arial" w:cs="Arial"/>
          <w:b/>
          <w:bCs/>
          <w:sz w:val="24"/>
          <w:szCs w:val="24"/>
        </w:rPr>
      </w:pPr>
      <w:r w:rsidRPr="00AD25EE">
        <w:rPr>
          <w:rFonts w:ascii="Arial" w:hAnsi="Arial" w:cs="Arial"/>
          <w:b/>
          <w:bCs/>
          <w:sz w:val="24"/>
          <w:szCs w:val="24"/>
        </w:rPr>
        <w:lastRenderedPageBreak/>
        <w:t>Table 2: Application of NIST CSF at MediTrust</w:t>
      </w:r>
    </w:p>
    <w:p w14:paraId="027F79FB" w14:textId="77777777" w:rsidR="00AD25EE" w:rsidRPr="00AD25EE" w:rsidRDefault="00AD25EE" w:rsidP="00AD25EE">
      <w:pPr>
        <w:rPr>
          <w:rFonts w:ascii="Arial" w:hAnsi="Arial" w:cs="Arial"/>
          <w:sz w:val="24"/>
          <w:szCs w:val="24"/>
        </w:rPr>
      </w:pPr>
    </w:p>
    <w:tbl>
      <w:tblPr>
        <w:tblW w:w="0pt" w:type="auto"/>
        <w:tblCellSpacing w:w="0.75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CellMar>
          <w:top w:w="0.75pt" w:type="dxa"/>
          <w:start w:w="0.75pt" w:type="dxa"/>
          <w:bottom w:w="0.75pt" w:type="dxa"/>
          <w:end w:w="0.75pt" w:type="dxa"/>
        </w:tblCellMar>
        <w:tblLook w:firstRow="1" w:lastRow="0" w:firstColumn="1" w:lastColumn="0" w:noHBand="0" w:noVBand="1"/>
      </w:tblPr>
      <w:tblGrid>
        <w:gridCol w:w="1056"/>
        <w:gridCol w:w="3800"/>
      </w:tblGrid>
      <w:tr w:rsidR="00AD25EE" w:rsidRPr="00AD25EE" w14:paraId="5AC1F5DD" w14:textId="77777777" w:rsidTr="00AD25EE">
        <w:trPr>
          <w:tblCellSpacing w:w="0.75pt" w:type="dxa"/>
        </w:trPr>
        <w:tc>
          <w:tcPr>
            <w:tcW w:w="0pt" w:type="auto"/>
            <w:vAlign w:val="center"/>
            <w:hideMark/>
          </w:tcPr>
          <w:p w14:paraId="0D3F8891" w14:textId="77777777" w:rsidR="00AD25EE" w:rsidRPr="00AD25EE" w:rsidRDefault="00AD25EE" w:rsidP="009F46EC">
            <w:pPr>
              <w:rPr>
                <w:rFonts w:ascii="Arial" w:hAnsi="Arial" w:cs="Arial"/>
                <w:sz w:val="24"/>
                <w:szCs w:val="24"/>
              </w:rPr>
            </w:pPr>
            <w:r w:rsidRPr="00AD25EE">
              <w:rPr>
                <w:rFonts w:ascii="Arial" w:hAnsi="Arial" w:cs="Arial"/>
                <w:sz w:val="24"/>
                <w:szCs w:val="24"/>
              </w:rPr>
              <w:t>Identify</w:t>
            </w:r>
          </w:p>
        </w:tc>
        <w:tc>
          <w:tcPr>
            <w:tcW w:w="0pt" w:type="auto"/>
            <w:vAlign w:val="center"/>
            <w:hideMark/>
          </w:tcPr>
          <w:p w14:paraId="5966E091" w14:textId="77777777" w:rsidR="00AD25EE" w:rsidRPr="00AD25EE" w:rsidRDefault="00AD25EE" w:rsidP="009F46EC">
            <w:pPr>
              <w:rPr>
                <w:rFonts w:ascii="Arial" w:hAnsi="Arial" w:cs="Arial"/>
                <w:sz w:val="24"/>
                <w:szCs w:val="24"/>
              </w:rPr>
            </w:pPr>
            <w:r w:rsidRPr="00AD25EE">
              <w:rPr>
                <w:rFonts w:ascii="Arial" w:hAnsi="Arial" w:cs="Arial"/>
                <w:sz w:val="24"/>
                <w:szCs w:val="24"/>
              </w:rPr>
              <w:t>Asset inventory, data classification, risk assessments</w:t>
            </w:r>
          </w:p>
        </w:tc>
      </w:tr>
      <w:tr w:rsidR="00AD25EE" w:rsidRPr="00AD25EE" w14:paraId="1727C5D5" w14:textId="77777777" w:rsidTr="00AD25EE">
        <w:trPr>
          <w:tblCellSpacing w:w="0.75pt" w:type="dxa"/>
        </w:trPr>
        <w:tc>
          <w:tcPr>
            <w:tcW w:w="0pt" w:type="auto"/>
            <w:vAlign w:val="center"/>
            <w:hideMark/>
          </w:tcPr>
          <w:p w14:paraId="5E01FB4C" w14:textId="77777777" w:rsidR="00AD25EE" w:rsidRPr="00AD25EE" w:rsidRDefault="00AD25EE" w:rsidP="009F46EC">
            <w:pPr>
              <w:rPr>
                <w:rFonts w:ascii="Arial" w:hAnsi="Arial" w:cs="Arial"/>
                <w:sz w:val="24"/>
                <w:szCs w:val="24"/>
              </w:rPr>
            </w:pPr>
            <w:r w:rsidRPr="00AD25EE">
              <w:rPr>
                <w:rFonts w:ascii="Arial" w:hAnsi="Arial" w:cs="Arial"/>
                <w:sz w:val="24"/>
                <w:szCs w:val="24"/>
              </w:rPr>
              <w:t>Protect</w:t>
            </w:r>
          </w:p>
        </w:tc>
        <w:tc>
          <w:tcPr>
            <w:tcW w:w="0pt" w:type="auto"/>
            <w:vAlign w:val="center"/>
            <w:hideMark/>
          </w:tcPr>
          <w:p w14:paraId="0D126E8D" w14:textId="77777777" w:rsidR="00AD25EE" w:rsidRPr="00AD25EE" w:rsidRDefault="00AD25EE" w:rsidP="009F46EC">
            <w:pPr>
              <w:rPr>
                <w:rFonts w:ascii="Arial" w:hAnsi="Arial" w:cs="Arial"/>
                <w:sz w:val="24"/>
                <w:szCs w:val="24"/>
              </w:rPr>
            </w:pPr>
            <w:r w:rsidRPr="00AD25EE">
              <w:rPr>
                <w:rFonts w:ascii="Arial" w:hAnsi="Arial" w:cs="Arial"/>
                <w:sz w:val="24"/>
                <w:szCs w:val="24"/>
              </w:rPr>
              <w:t>MFA, encryption, least privilege access, segmentation</w:t>
            </w:r>
          </w:p>
        </w:tc>
      </w:tr>
      <w:tr w:rsidR="00AD25EE" w:rsidRPr="00AD25EE" w14:paraId="7F78ABEA" w14:textId="77777777" w:rsidTr="00AD25EE">
        <w:trPr>
          <w:tblCellSpacing w:w="0.75pt" w:type="dxa"/>
        </w:trPr>
        <w:tc>
          <w:tcPr>
            <w:tcW w:w="0pt" w:type="auto"/>
            <w:vAlign w:val="center"/>
            <w:hideMark/>
          </w:tcPr>
          <w:p w14:paraId="6BDD2F1A" w14:textId="77777777" w:rsidR="00AD25EE" w:rsidRPr="00AD25EE" w:rsidRDefault="00AD25EE" w:rsidP="009F46EC">
            <w:pPr>
              <w:rPr>
                <w:rFonts w:ascii="Arial" w:hAnsi="Arial" w:cs="Arial"/>
                <w:sz w:val="24"/>
                <w:szCs w:val="24"/>
              </w:rPr>
            </w:pPr>
            <w:r w:rsidRPr="00AD25EE">
              <w:rPr>
                <w:rFonts w:ascii="Arial" w:hAnsi="Arial" w:cs="Arial"/>
                <w:sz w:val="24"/>
                <w:szCs w:val="24"/>
              </w:rPr>
              <w:t>Detect</w:t>
            </w:r>
          </w:p>
        </w:tc>
        <w:tc>
          <w:tcPr>
            <w:tcW w:w="0pt" w:type="auto"/>
            <w:vAlign w:val="center"/>
            <w:hideMark/>
          </w:tcPr>
          <w:p w14:paraId="1F64F787" w14:textId="77777777" w:rsidR="00AD25EE" w:rsidRPr="00AD25EE" w:rsidRDefault="00AD25EE" w:rsidP="009F46EC">
            <w:pPr>
              <w:rPr>
                <w:rFonts w:ascii="Arial" w:hAnsi="Arial" w:cs="Arial"/>
                <w:sz w:val="24"/>
                <w:szCs w:val="24"/>
              </w:rPr>
            </w:pPr>
            <w:r w:rsidRPr="00AD25EE">
              <w:rPr>
                <w:rFonts w:ascii="Arial" w:hAnsi="Arial" w:cs="Arial"/>
                <w:sz w:val="24"/>
                <w:szCs w:val="24"/>
              </w:rPr>
              <w:t xml:space="preserve">SIEM, </w:t>
            </w:r>
            <w:proofErr w:type="spellStart"/>
            <w:r w:rsidRPr="00AD25EE">
              <w:rPr>
                <w:rFonts w:ascii="Arial" w:hAnsi="Arial" w:cs="Arial"/>
                <w:sz w:val="24"/>
                <w:szCs w:val="24"/>
              </w:rPr>
              <w:t>behavioural</w:t>
            </w:r>
            <w:proofErr w:type="spellEnd"/>
            <w:r w:rsidRPr="00AD25EE">
              <w:rPr>
                <w:rFonts w:ascii="Arial" w:hAnsi="Arial" w:cs="Arial"/>
                <w:sz w:val="24"/>
                <w:szCs w:val="24"/>
              </w:rPr>
              <w:t xml:space="preserve"> analytics, anomaly detection</w:t>
            </w:r>
          </w:p>
        </w:tc>
      </w:tr>
      <w:tr w:rsidR="00AD25EE" w:rsidRPr="00AD25EE" w14:paraId="7627396D" w14:textId="77777777" w:rsidTr="00AD25EE">
        <w:trPr>
          <w:tblCellSpacing w:w="0.75pt" w:type="dxa"/>
        </w:trPr>
        <w:tc>
          <w:tcPr>
            <w:tcW w:w="0pt" w:type="auto"/>
            <w:vAlign w:val="center"/>
            <w:hideMark/>
          </w:tcPr>
          <w:p w14:paraId="536820D9" w14:textId="77777777" w:rsidR="00AD25EE" w:rsidRPr="00AD25EE" w:rsidRDefault="00AD25EE" w:rsidP="009F46EC">
            <w:pPr>
              <w:rPr>
                <w:rFonts w:ascii="Arial" w:hAnsi="Arial" w:cs="Arial"/>
                <w:sz w:val="24"/>
                <w:szCs w:val="24"/>
              </w:rPr>
            </w:pPr>
            <w:r w:rsidRPr="00AD25EE">
              <w:rPr>
                <w:rFonts w:ascii="Arial" w:hAnsi="Arial" w:cs="Arial"/>
                <w:sz w:val="24"/>
                <w:szCs w:val="24"/>
              </w:rPr>
              <w:t>Respond</w:t>
            </w:r>
          </w:p>
        </w:tc>
        <w:tc>
          <w:tcPr>
            <w:tcW w:w="0pt" w:type="auto"/>
            <w:vAlign w:val="center"/>
            <w:hideMark/>
          </w:tcPr>
          <w:p w14:paraId="5CC113F3" w14:textId="77777777" w:rsidR="00AD25EE" w:rsidRPr="00AD25EE" w:rsidRDefault="00AD25EE" w:rsidP="009F46EC">
            <w:pPr>
              <w:rPr>
                <w:rFonts w:ascii="Arial" w:hAnsi="Arial" w:cs="Arial"/>
                <w:sz w:val="24"/>
                <w:szCs w:val="24"/>
              </w:rPr>
            </w:pPr>
            <w:r w:rsidRPr="00AD25EE">
              <w:rPr>
                <w:rFonts w:ascii="Arial" w:hAnsi="Arial" w:cs="Arial"/>
                <w:sz w:val="24"/>
                <w:szCs w:val="24"/>
              </w:rPr>
              <w:t>Incident response plans, automated containment</w:t>
            </w:r>
          </w:p>
        </w:tc>
      </w:tr>
      <w:tr w:rsidR="00AD25EE" w:rsidRPr="00AD25EE" w14:paraId="264D39C9" w14:textId="77777777" w:rsidTr="00AD25EE">
        <w:trPr>
          <w:tblCellSpacing w:w="0.75pt" w:type="dxa"/>
        </w:trPr>
        <w:tc>
          <w:tcPr>
            <w:tcW w:w="0pt" w:type="auto"/>
            <w:vAlign w:val="center"/>
            <w:hideMark/>
          </w:tcPr>
          <w:p w14:paraId="59D2F6DE" w14:textId="77777777" w:rsidR="00AD25EE" w:rsidRPr="00AD25EE" w:rsidRDefault="00AD25EE" w:rsidP="009F46EC">
            <w:pPr>
              <w:rPr>
                <w:rFonts w:ascii="Arial" w:hAnsi="Arial" w:cs="Arial"/>
                <w:sz w:val="24"/>
                <w:szCs w:val="24"/>
              </w:rPr>
            </w:pPr>
            <w:r w:rsidRPr="00AD25EE">
              <w:rPr>
                <w:rFonts w:ascii="Arial" w:hAnsi="Arial" w:cs="Arial"/>
                <w:sz w:val="24"/>
                <w:szCs w:val="24"/>
              </w:rPr>
              <w:t>Recover</w:t>
            </w:r>
          </w:p>
        </w:tc>
        <w:tc>
          <w:tcPr>
            <w:tcW w:w="0pt" w:type="auto"/>
            <w:vAlign w:val="center"/>
            <w:hideMark/>
          </w:tcPr>
          <w:p w14:paraId="0D558EA0" w14:textId="77777777" w:rsidR="00AD25EE" w:rsidRPr="00AD25EE" w:rsidRDefault="00AD25EE" w:rsidP="009F46EC">
            <w:pPr>
              <w:rPr>
                <w:rFonts w:ascii="Arial" w:hAnsi="Arial" w:cs="Arial"/>
                <w:sz w:val="24"/>
                <w:szCs w:val="24"/>
              </w:rPr>
            </w:pPr>
            <w:r w:rsidRPr="00AD25EE">
              <w:rPr>
                <w:rFonts w:ascii="Arial" w:hAnsi="Arial" w:cs="Arial"/>
                <w:sz w:val="24"/>
                <w:szCs w:val="24"/>
              </w:rPr>
              <w:t>Backup systems, disaster recovery strategies</w:t>
            </w:r>
          </w:p>
        </w:tc>
      </w:tr>
    </w:tbl>
    <w:p w14:paraId="27915390" w14:textId="77777777" w:rsidR="00AD25EE" w:rsidRDefault="00AD25EE" w:rsidP="00AD25EE">
      <w:pPr>
        <w:rPr>
          <w:rFonts w:ascii="Arial" w:hAnsi="Arial" w:cs="Arial"/>
          <w:sz w:val="24"/>
          <w:szCs w:val="24"/>
        </w:rPr>
      </w:pPr>
    </w:p>
    <w:p w14:paraId="77D3CFEA"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The Identify function involves understanding the </w:t>
      </w:r>
      <w:proofErr w:type="spellStart"/>
      <w:r w:rsidRPr="00AD25EE">
        <w:rPr>
          <w:rFonts w:ascii="Arial" w:hAnsi="Arial" w:cs="Arial"/>
          <w:sz w:val="24"/>
          <w:szCs w:val="24"/>
        </w:rPr>
        <w:t>organisation’s</w:t>
      </w:r>
      <w:proofErr w:type="spellEnd"/>
      <w:r w:rsidRPr="00AD25EE">
        <w:rPr>
          <w:rFonts w:ascii="Arial" w:hAnsi="Arial" w:cs="Arial"/>
          <w:sz w:val="24"/>
          <w:szCs w:val="24"/>
        </w:rPr>
        <w:t xml:space="preserve"> assets, data flows, and risks. This is particularly important in a healthcare environment where sensitive patient data must be protected.</w:t>
      </w:r>
    </w:p>
    <w:p w14:paraId="13DC39CC" w14:textId="77777777" w:rsidR="00AD25EE" w:rsidRDefault="00AD25EE" w:rsidP="00AD25EE">
      <w:pPr>
        <w:rPr>
          <w:rFonts w:ascii="Arial" w:hAnsi="Arial" w:cs="Arial"/>
          <w:sz w:val="24"/>
          <w:szCs w:val="24"/>
        </w:rPr>
      </w:pPr>
      <w:r w:rsidRPr="00AD25EE">
        <w:rPr>
          <w:rFonts w:ascii="Arial" w:hAnsi="Arial" w:cs="Arial"/>
          <w:sz w:val="24"/>
          <w:szCs w:val="24"/>
        </w:rPr>
        <w:t xml:space="preserve">The Protect function focuses on implementing safeguards such as multi-factor authentication, encryption, and </w:t>
      </w:r>
      <w:proofErr w:type="spellStart"/>
      <w:r w:rsidRPr="00AD25EE">
        <w:rPr>
          <w:rFonts w:ascii="Arial" w:hAnsi="Arial" w:cs="Arial"/>
          <w:sz w:val="24"/>
          <w:szCs w:val="24"/>
        </w:rPr>
        <w:t>microsegmentation</w:t>
      </w:r>
      <w:proofErr w:type="spellEnd"/>
      <w:r w:rsidRPr="00AD25EE">
        <w:rPr>
          <w:rFonts w:ascii="Arial" w:hAnsi="Arial" w:cs="Arial"/>
          <w:sz w:val="24"/>
          <w:szCs w:val="24"/>
        </w:rPr>
        <w:t>. These controls ensure that access is limited and continuously verified [1].</w:t>
      </w:r>
    </w:p>
    <w:p w14:paraId="4565B7BE" w14:textId="77777777" w:rsidR="00AD25EE" w:rsidRPr="00AD25EE" w:rsidRDefault="00AD25EE" w:rsidP="00AD25EE">
      <w:pPr>
        <w:rPr>
          <w:rFonts w:ascii="Arial" w:hAnsi="Arial" w:cs="Arial"/>
          <w:sz w:val="24"/>
          <w:szCs w:val="24"/>
        </w:rPr>
      </w:pPr>
    </w:p>
    <w:p w14:paraId="02A20F45"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The Detect function relies on monitoring tools such as SIEM systems and </w:t>
      </w:r>
      <w:proofErr w:type="spellStart"/>
      <w:r w:rsidRPr="00AD25EE">
        <w:rPr>
          <w:rFonts w:ascii="Arial" w:hAnsi="Arial" w:cs="Arial"/>
          <w:sz w:val="24"/>
          <w:szCs w:val="24"/>
        </w:rPr>
        <w:t>behavioural</w:t>
      </w:r>
      <w:proofErr w:type="spellEnd"/>
      <w:r w:rsidRPr="00AD25EE">
        <w:rPr>
          <w:rFonts w:ascii="Arial" w:hAnsi="Arial" w:cs="Arial"/>
          <w:sz w:val="24"/>
          <w:szCs w:val="24"/>
        </w:rPr>
        <w:t xml:space="preserve"> analytics to identify anomalies. This enables early detection of potential threats.</w:t>
      </w:r>
    </w:p>
    <w:p w14:paraId="1E307A79" w14:textId="77777777" w:rsidR="00AD25EE" w:rsidRDefault="00AD25EE" w:rsidP="00AD25EE">
      <w:pPr>
        <w:rPr>
          <w:rFonts w:ascii="Arial" w:hAnsi="Arial" w:cs="Arial"/>
          <w:sz w:val="24"/>
          <w:szCs w:val="24"/>
        </w:rPr>
      </w:pPr>
      <w:r w:rsidRPr="00AD25EE">
        <w:rPr>
          <w:rFonts w:ascii="Arial" w:hAnsi="Arial" w:cs="Arial"/>
          <w:sz w:val="24"/>
          <w:szCs w:val="24"/>
        </w:rPr>
        <w:t>The Respond function includes incident response processes and automated containment mechanisms. These capabilities reduce response times and limit the impact of attacks.</w:t>
      </w:r>
    </w:p>
    <w:p w14:paraId="37352167" w14:textId="77777777" w:rsidR="00AD25EE" w:rsidRPr="00AD25EE" w:rsidRDefault="00AD25EE" w:rsidP="00AD25EE">
      <w:pPr>
        <w:rPr>
          <w:rFonts w:ascii="Arial" w:hAnsi="Arial" w:cs="Arial"/>
          <w:sz w:val="24"/>
          <w:szCs w:val="24"/>
        </w:rPr>
      </w:pPr>
    </w:p>
    <w:p w14:paraId="44D73479" w14:textId="77777777" w:rsidR="00AD25EE" w:rsidRDefault="00AD25EE" w:rsidP="00AD25EE">
      <w:pPr>
        <w:rPr>
          <w:rFonts w:ascii="Arial" w:hAnsi="Arial" w:cs="Arial"/>
          <w:sz w:val="24"/>
          <w:szCs w:val="24"/>
        </w:rPr>
      </w:pPr>
      <w:r w:rsidRPr="00AD25EE">
        <w:rPr>
          <w:rFonts w:ascii="Arial" w:hAnsi="Arial" w:cs="Arial"/>
          <w:sz w:val="24"/>
          <w:szCs w:val="24"/>
        </w:rPr>
        <w:t xml:space="preserve">The Recover function ensures that the </w:t>
      </w:r>
      <w:proofErr w:type="spellStart"/>
      <w:r w:rsidRPr="00AD25EE">
        <w:rPr>
          <w:rFonts w:ascii="Arial" w:hAnsi="Arial" w:cs="Arial"/>
          <w:sz w:val="24"/>
          <w:szCs w:val="24"/>
        </w:rPr>
        <w:t>organisation</w:t>
      </w:r>
      <w:proofErr w:type="spellEnd"/>
      <w:r w:rsidRPr="00AD25EE">
        <w:rPr>
          <w:rFonts w:ascii="Arial" w:hAnsi="Arial" w:cs="Arial"/>
          <w:sz w:val="24"/>
          <w:szCs w:val="24"/>
        </w:rPr>
        <w:t xml:space="preserve"> can restore operations quickly after an incident. This includes maintaining secure backups and regularly testing recovery procedures.</w:t>
      </w:r>
    </w:p>
    <w:p w14:paraId="5433B298" w14:textId="77777777" w:rsidR="00AD25EE" w:rsidRPr="00AD25EE" w:rsidRDefault="00AD25EE" w:rsidP="00AD25EE">
      <w:pPr>
        <w:rPr>
          <w:rFonts w:ascii="Arial" w:hAnsi="Arial" w:cs="Arial"/>
          <w:sz w:val="24"/>
          <w:szCs w:val="24"/>
        </w:rPr>
      </w:pPr>
    </w:p>
    <w:p w14:paraId="0F04DF80" w14:textId="77777777" w:rsidR="00AD25EE" w:rsidRPr="00AD25EE" w:rsidRDefault="00AD25EE" w:rsidP="00AD25EE">
      <w:pPr>
        <w:rPr>
          <w:rFonts w:ascii="Arial" w:hAnsi="Arial" w:cs="Arial"/>
          <w:sz w:val="24"/>
          <w:szCs w:val="24"/>
        </w:rPr>
      </w:pPr>
      <w:r w:rsidRPr="00AD25EE">
        <w:rPr>
          <w:rFonts w:ascii="Arial" w:hAnsi="Arial" w:cs="Arial"/>
          <w:sz w:val="24"/>
          <w:szCs w:val="24"/>
        </w:rPr>
        <w:t xml:space="preserve">Aligning security strategy with business objectives ensures that security investments support </w:t>
      </w:r>
      <w:proofErr w:type="spellStart"/>
      <w:r w:rsidRPr="00AD25EE">
        <w:rPr>
          <w:rFonts w:ascii="Arial" w:hAnsi="Arial" w:cs="Arial"/>
          <w:sz w:val="24"/>
          <w:szCs w:val="24"/>
        </w:rPr>
        <w:t>organisational</w:t>
      </w:r>
      <w:proofErr w:type="spellEnd"/>
      <w:r w:rsidRPr="00AD25EE">
        <w:rPr>
          <w:rFonts w:ascii="Arial" w:hAnsi="Arial" w:cs="Arial"/>
          <w:sz w:val="24"/>
          <w:szCs w:val="24"/>
        </w:rPr>
        <w:t xml:space="preserve"> goals such as patient safety, regulatory compliance, and service reliability.</w:t>
      </w:r>
    </w:p>
    <w:p w14:paraId="11BA0822" w14:textId="77777777" w:rsidR="00AD25EE" w:rsidRPr="00AD25EE" w:rsidRDefault="00AD25EE" w:rsidP="00AD25EE">
      <w:pPr>
        <w:rPr>
          <w:rFonts w:ascii="Arial" w:hAnsi="Arial" w:cs="Arial"/>
          <w:sz w:val="24"/>
          <w:szCs w:val="24"/>
        </w:rPr>
      </w:pPr>
    </w:p>
    <w:p w14:paraId="39BBB817" w14:textId="77777777" w:rsidR="00AD25EE" w:rsidRDefault="00AD25EE" w:rsidP="00AD25EE">
      <w:pPr>
        <w:jc w:val="both"/>
        <w:rPr>
          <w:rFonts w:ascii="Arial" w:hAnsi="Arial" w:cs="Arial"/>
          <w:sz w:val="24"/>
          <w:szCs w:val="24"/>
        </w:rPr>
      </w:pPr>
    </w:p>
    <w:p w14:paraId="54339911" w14:textId="77777777" w:rsidR="00AD25EE" w:rsidRDefault="00AD25EE" w:rsidP="00AD25EE">
      <w:pPr>
        <w:jc w:val="both"/>
        <w:rPr>
          <w:rFonts w:ascii="Arial" w:hAnsi="Arial" w:cs="Arial"/>
          <w:sz w:val="24"/>
          <w:szCs w:val="24"/>
        </w:rPr>
      </w:pPr>
    </w:p>
    <w:p w14:paraId="6E65CB51" w14:textId="25256380" w:rsidR="00AD25EE" w:rsidRDefault="00AD25EE" w:rsidP="00AD25EE">
      <w:pPr>
        <w:pStyle w:val="Heading1"/>
        <w:numPr>
          <w:ilvl w:val="0"/>
          <w:numId w:val="4"/>
        </w:numPr>
        <w:rPr>
          <w:rFonts w:ascii="Arial" w:hAnsi="Arial" w:cs="Arial"/>
          <w:b/>
          <w:bCs/>
          <w:sz w:val="24"/>
          <w:szCs w:val="24"/>
        </w:rPr>
      </w:pPr>
      <w:r w:rsidRPr="00AD25EE">
        <w:rPr>
          <w:rFonts w:ascii="Arial" w:hAnsi="Arial" w:cs="Arial"/>
          <w:b/>
          <w:bCs/>
          <w:sz w:val="24"/>
          <w:szCs w:val="24"/>
        </w:rPr>
        <w:t>Risk Management</w:t>
      </w:r>
    </w:p>
    <w:p w14:paraId="40234BF2" w14:textId="77777777" w:rsidR="00AD25EE" w:rsidRPr="00AD25EE" w:rsidRDefault="00AD25EE" w:rsidP="00AD25EE">
      <w:pPr>
        <w:pStyle w:val="ListParagraph"/>
        <w:ind w:start="18pt"/>
        <w:jc w:val="both"/>
      </w:pPr>
    </w:p>
    <w:p w14:paraId="5235E254" w14:textId="77777777" w:rsidR="00AD25EE" w:rsidRPr="00AD25EE" w:rsidRDefault="00AD25EE" w:rsidP="00AD25EE">
      <w:pPr>
        <w:rPr>
          <w:rFonts w:ascii="Arial" w:hAnsi="Arial" w:cs="Arial"/>
          <w:sz w:val="24"/>
          <w:szCs w:val="24"/>
        </w:rPr>
      </w:pPr>
      <w:proofErr w:type="spellStart"/>
      <w:r w:rsidRPr="00AD25EE">
        <w:rPr>
          <w:rFonts w:ascii="Arial" w:hAnsi="Arial" w:cs="Arial"/>
          <w:sz w:val="24"/>
          <w:szCs w:val="24"/>
        </w:rPr>
        <w:t>MediTrust</w:t>
      </w:r>
      <w:proofErr w:type="spellEnd"/>
      <w:r w:rsidRPr="00AD25EE">
        <w:rPr>
          <w:rFonts w:ascii="Arial" w:hAnsi="Arial" w:cs="Arial"/>
          <w:sz w:val="24"/>
          <w:szCs w:val="24"/>
        </w:rPr>
        <w:t xml:space="preserve"> faces several critical risks associated with its technological environment, particularly in relation to software supply chains and cloud infrastructure.</w:t>
      </w:r>
    </w:p>
    <w:p w14:paraId="16E51BBC" w14:textId="77777777" w:rsidR="00AD25EE" w:rsidRDefault="00AD25EE" w:rsidP="00AD25EE">
      <w:pPr>
        <w:jc w:val="both"/>
        <w:rPr>
          <w:rFonts w:ascii="Arial" w:hAnsi="Arial" w:cs="Arial"/>
          <w:sz w:val="24"/>
          <w:szCs w:val="24"/>
        </w:rPr>
      </w:pPr>
    </w:p>
    <w:p w14:paraId="1A64CC7B" w14:textId="77777777" w:rsidR="00AD25EE" w:rsidRPr="00AD25EE" w:rsidRDefault="00AD25EE" w:rsidP="00AD25EE">
      <w:pPr>
        <w:rPr>
          <w:rFonts w:ascii="Arial" w:hAnsi="Arial" w:cs="Arial"/>
          <w:b/>
          <w:bCs/>
          <w:sz w:val="24"/>
          <w:szCs w:val="24"/>
        </w:rPr>
      </w:pPr>
      <w:r w:rsidRPr="00AD25EE">
        <w:rPr>
          <w:rFonts w:ascii="Arial" w:hAnsi="Arial" w:cs="Arial"/>
          <w:b/>
          <w:bCs/>
          <w:sz w:val="24"/>
          <w:szCs w:val="24"/>
        </w:rPr>
        <w:t>Table 3: High-Level Risk Assessment</w:t>
      </w:r>
    </w:p>
    <w:tbl>
      <w:tblPr>
        <w:tblW w:w="0pt" w:type="auto"/>
        <w:tblCellSpacing w:w="0.75pt" w:type="dxa"/>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CellMar>
          <w:top w:w="0.75pt" w:type="dxa"/>
          <w:start w:w="0.75pt" w:type="dxa"/>
          <w:bottom w:w="0.75pt" w:type="dxa"/>
          <w:end w:w="0.75pt" w:type="dxa"/>
        </w:tblCellMar>
        <w:tblLook w:firstRow="1" w:lastRow="0" w:firstColumn="1" w:lastColumn="0" w:noHBand="0" w:noVBand="1"/>
      </w:tblPr>
      <w:tblGrid>
        <w:gridCol w:w="1335"/>
        <w:gridCol w:w="1614"/>
        <w:gridCol w:w="759"/>
        <w:gridCol w:w="1148"/>
      </w:tblGrid>
      <w:tr w:rsidR="00AD25EE" w:rsidRPr="00AD25EE" w14:paraId="517C2100" w14:textId="77777777" w:rsidTr="009F46EC">
        <w:trPr>
          <w:tblHeader/>
          <w:tblCellSpacing w:w="0.75pt" w:type="dxa"/>
        </w:trPr>
        <w:tc>
          <w:tcPr>
            <w:tcW w:w="0pt" w:type="auto"/>
            <w:vAlign w:val="center"/>
            <w:hideMark/>
          </w:tcPr>
          <w:p w14:paraId="2805547D"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Asset</w:t>
            </w:r>
          </w:p>
        </w:tc>
        <w:tc>
          <w:tcPr>
            <w:tcW w:w="0pt" w:type="auto"/>
            <w:vAlign w:val="center"/>
            <w:hideMark/>
          </w:tcPr>
          <w:p w14:paraId="6F871606"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Risk</w:t>
            </w:r>
          </w:p>
        </w:tc>
        <w:tc>
          <w:tcPr>
            <w:tcW w:w="0pt" w:type="auto"/>
            <w:vAlign w:val="center"/>
            <w:hideMark/>
          </w:tcPr>
          <w:p w14:paraId="2C64E37C"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Impact</w:t>
            </w:r>
          </w:p>
        </w:tc>
        <w:tc>
          <w:tcPr>
            <w:tcW w:w="0pt" w:type="auto"/>
            <w:vAlign w:val="center"/>
            <w:hideMark/>
          </w:tcPr>
          <w:p w14:paraId="3577D6E7" w14:textId="77777777" w:rsidR="00AD25EE" w:rsidRPr="00AD25EE" w:rsidRDefault="00AD25EE" w:rsidP="009F46EC">
            <w:pPr>
              <w:rPr>
                <w:rFonts w:ascii="Arial" w:hAnsi="Arial" w:cs="Arial"/>
                <w:b/>
                <w:bCs/>
                <w:sz w:val="24"/>
                <w:szCs w:val="24"/>
              </w:rPr>
            </w:pPr>
            <w:r w:rsidRPr="00AD25EE">
              <w:rPr>
                <w:rFonts w:ascii="Arial" w:hAnsi="Arial" w:cs="Arial"/>
                <w:b/>
                <w:bCs/>
                <w:sz w:val="24"/>
                <w:szCs w:val="24"/>
              </w:rPr>
              <w:t>Likelihood</w:t>
            </w:r>
          </w:p>
        </w:tc>
      </w:tr>
      <w:tr w:rsidR="00AD25EE" w:rsidRPr="00AD25EE" w14:paraId="7A09CC85" w14:textId="77777777" w:rsidTr="009F46EC">
        <w:trPr>
          <w:tblCellSpacing w:w="0.75pt" w:type="dxa"/>
        </w:trPr>
        <w:tc>
          <w:tcPr>
            <w:tcW w:w="0pt" w:type="auto"/>
            <w:vAlign w:val="center"/>
            <w:hideMark/>
          </w:tcPr>
          <w:p w14:paraId="220AE8F9" w14:textId="77777777" w:rsidR="00AD25EE" w:rsidRPr="00AD25EE" w:rsidRDefault="00AD25EE" w:rsidP="009F46EC">
            <w:pPr>
              <w:rPr>
                <w:rFonts w:ascii="Arial" w:hAnsi="Arial" w:cs="Arial"/>
                <w:sz w:val="24"/>
                <w:szCs w:val="24"/>
              </w:rPr>
            </w:pPr>
            <w:r w:rsidRPr="00AD25EE">
              <w:rPr>
                <w:rFonts w:ascii="Arial" w:hAnsi="Arial" w:cs="Arial"/>
                <w:sz w:val="24"/>
                <w:szCs w:val="24"/>
              </w:rPr>
              <w:t>AI Models and Training Data</w:t>
            </w:r>
          </w:p>
        </w:tc>
        <w:tc>
          <w:tcPr>
            <w:tcW w:w="0pt" w:type="auto"/>
            <w:vAlign w:val="center"/>
            <w:hideMark/>
          </w:tcPr>
          <w:p w14:paraId="1798687C" w14:textId="77777777" w:rsidR="00AD25EE" w:rsidRPr="00AD25EE" w:rsidRDefault="00AD25EE" w:rsidP="009F46EC">
            <w:pPr>
              <w:rPr>
                <w:rFonts w:ascii="Arial" w:hAnsi="Arial" w:cs="Arial"/>
                <w:sz w:val="24"/>
                <w:szCs w:val="24"/>
              </w:rPr>
            </w:pPr>
            <w:r w:rsidRPr="00AD25EE">
              <w:rPr>
                <w:rFonts w:ascii="Arial" w:hAnsi="Arial" w:cs="Arial"/>
                <w:sz w:val="24"/>
                <w:szCs w:val="24"/>
              </w:rPr>
              <w:t>AI Model Poisoning</w:t>
            </w:r>
          </w:p>
        </w:tc>
        <w:tc>
          <w:tcPr>
            <w:tcW w:w="0pt" w:type="auto"/>
            <w:vAlign w:val="center"/>
            <w:hideMark/>
          </w:tcPr>
          <w:p w14:paraId="4CED1039" w14:textId="77777777" w:rsidR="00AD25EE" w:rsidRPr="00AD25EE" w:rsidRDefault="00AD25EE" w:rsidP="009F46EC">
            <w:pPr>
              <w:rPr>
                <w:rFonts w:ascii="Arial" w:hAnsi="Arial" w:cs="Arial"/>
                <w:sz w:val="24"/>
                <w:szCs w:val="24"/>
              </w:rPr>
            </w:pPr>
            <w:r w:rsidRPr="00AD25EE">
              <w:rPr>
                <w:rFonts w:ascii="Arial" w:hAnsi="Arial" w:cs="Arial"/>
                <w:sz w:val="24"/>
                <w:szCs w:val="24"/>
              </w:rPr>
              <w:t>High</w:t>
            </w:r>
          </w:p>
        </w:tc>
        <w:tc>
          <w:tcPr>
            <w:tcW w:w="0pt" w:type="auto"/>
            <w:vAlign w:val="center"/>
            <w:hideMark/>
          </w:tcPr>
          <w:p w14:paraId="3D9436DF" w14:textId="77777777" w:rsidR="00AD25EE" w:rsidRPr="00AD25EE" w:rsidRDefault="00AD25EE" w:rsidP="009F46EC">
            <w:pPr>
              <w:rPr>
                <w:rFonts w:ascii="Arial" w:hAnsi="Arial" w:cs="Arial"/>
                <w:sz w:val="24"/>
                <w:szCs w:val="24"/>
              </w:rPr>
            </w:pPr>
            <w:r w:rsidRPr="00AD25EE">
              <w:rPr>
                <w:rFonts w:ascii="Arial" w:hAnsi="Arial" w:cs="Arial"/>
                <w:sz w:val="24"/>
                <w:szCs w:val="24"/>
              </w:rPr>
              <w:t>Medium</w:t>
            </w:r>
          </w:p>
        </w:tc>
      </w:tr>
      <w:tr w:rsidR="00AD25EE" w:rsidRPr="00AD25EE" w14:paraId="5E3D2EB4" w14:textId="77777777" w:rsidTr="009F46EC">
        <w:trPr>
          <w:tblCellSpacing w:w="0.75pt" w:type="dxa"/>
        </w:trPr>
        <w:tc>
          <w:tcPr>
            <w:tcW w:w="0pt" w:type="auto"/>
            <w:vAlign w:val="center"/>
            <w:hideMark/>
          </w:tcPr>
          <w:p w14:paraId="64F7FD68" w14:textId="77777777" w:rsidR="00AD25EE" w:rsidRPr="00AD25EE" w:rsidRDefault="00AD25EE" w:rsidP="009F46EC">
            <w:pPr>
              <w:rPr>
                <w:rFonts w:ascii="Arial" w:hAnsi="Arial" w:cs="Arial"/>
                <w:sz w:val="24"/>
                <w:szCs w:val="24"/>
              </w:rPr>
            </w:pPr>
            <w:r w:rsidRPr="00AD25EE">
              <w:rPr>
                <w:rFonts w:ascii="Arial" w:hAnsi="Arial" w:cs="Arial"/>
                <w:sz w:val="24"/>
                <w:szCs w:val="24"/>
              </w:rPr>
              <w:t>Cloud Infrastructure and Storage</w:t>
            </w:r>
          </w:p>
        </w:tc>
        <w:tc>
          <w:tcPr>
            <w:tcW w:w="0pt" w:type="auto"/>
            <w:vAlign w:val="center"/>
            <w:hideMark/>
          </w:tcPr>
          <w:p w14:paraId="18C1589F" w14:textId="77777777" w:rsidR="00AD25EE" w:rsidRPr="00AD25EE" w:rsidRDefault="00AD25EE" w:rsidP="009F46EC">
            <w:pPr>
              <w:rPr>
                <w:rFonts w:ascii="Arial" w:hAnsi="Arial" w:cs="Arial"/>
                <w:sz w:val="24"/>
                <w:szCs w:val="24"/>
              </w:rPr>
            </w:pPr>
            <w:r w:rsidRPr="00AD25EE">
              <w:rPr>
                <w:rFonts w:ascii="Arial" w:hAnsi="Arial" w:cs="Arial"/>
                <w:sz w:val="24"/>
                <w:szCs w:val="24"/>
              </w:rPr>
              <w:t>Cloud Misconfiguration</w:t>
            </w:r>
          </w:p>
        </w:tc>
        <w:tc>
          <w:tcPr>
            <w:tcW w:w="0pt" w:type="auto"/>
            <w:vAlign w:val="center"/>
            <w:hideMark/>
          </w:tcPr>
          <w:p w14:paraId="4C719D6F" w14:textId="77777777" w:rsidR="00AD25EE" w:rsidRPr="00AD25EE" w:rsidRDefault="00AD25EE" w:rsidP="009F46EC">
            <w:pPr>
              <w:rPr>
                <w:rFonts w:ascii="Arial" w:hAnsi="Arial" w:cs="Arial"/>
                <w:sz w:val="24"/>
                <w:szCs w:val="24"/>
              </w:rPr>
            </w:pPr>
            <w:r w:rsidRPr="00AD25EE">
              <w:rPr>
                <w:rFonts w:ascii="Arial" w:hAnsi="Arial" w:cs="Arial"/>
                <w:sz w:val="24"/>
                <w:szCs w:val="24"/>
              </w:rPr>
              <w:t>High</w:t>
            </w:r>
          </w:p>
        </w:tc>
        <w:tc>
          <w:tcPr>
            <w:tcW w:w="0pt" w:type="auto"/>
            <w:vAlign w:val="center"/>
            <w:hideMark/>
          </w:tcPr>
          <w:p w14:paraId="3DB184B7" w14:textId="77777777" w:rsidR="00AD25EE" w:rsidRPr="00AD25EE" w:rsidRDefault="00AD25EE" w:rsidP="009F46EC">
            <w:pPr>
              <w:rPr>
                <w:rFonts w:ascii="Arial" w:hAnsi="Arial" w:cs="Arial"/>
                <w:sz w:val="24"/>
                <w:szCs w:val="24"/>
              </w:rPr>
            </w:pPr>
            <w:r w:rsidRPr="00AD25EE">
              <w:rPr>
                <w:rFonts w:ascii="Arial" w:hAnsi="Arial" w:cs="Arial"/>
                <w:sz w:val="24"/>
                <w:szCs w:val="24"/>
              </w:rPr>
              <w:t>High</w:t>
            </w:r>
          </w:p>
        </w:tc>
      </w:tr>
      <w:tr w:rsidR="00AD25EE" w:rsidRPr="00AD25EE" w14:paraId="0F3D7C5B" w14:textId="77777777" w:rsidTr="009F46EC">
        <w:trPr>
          <w:tblCellSpacing w:w="0.75pt" w:type="dxa"/>
        </w:trPr>
        <w:tc>
          <w:tcPr>
            <w:tcW w:w="0pt" w:type="auto"/>
            <w:vAlign w:val="center"/>
            <w:hideMark/>
          </w:tcPr>
          <w:p w14:paraId="6C35A181" w14:textId="77777777" w:rsidR="00AD25EE" w:rsidRPr="00AD25EE" w:rsidRDefault="00AD25EE" w:rsidP="009F46EC">
            <w:pPr>
              <w:rPr>
                <w:rFonts w:ascii="Arial" w:hAnsi="Arial" w:cs="Arial"/>
                <w:sz w:val="24"/>
                <w:szCs w:val="24"/>
              </w:rPr>
            </w:pPr>
            <w:r w:rsidRPr="00AD25EE">
              <w:rPr>
                <w:rFonts w:ascii="Arial" w:hAnsi="Arial" w:cs="Arial"/>
                <w:sz w:val="24"/>
                <w:szCs w:val="24"/>
              </w:rPr>
              <w:t>Software Applications and Codebase</w:t>
            </w:r>
          </w:p>
        </w:tc>
        <w:tc>
          <w:tcPr>
            <w:tcW w:w="0pt" w:type="auto"/>
            <w:vAlign w:val="center"/>
            <w:hideMark/>
          </w:tcPr>
          <w:p w14:paraId="6081C434" w14:textId="77777777" w:rsidR="00AD25EE" w:rsidRPr="00AD25EE" w:rsidRDefault="00AD25EE" w:rsidP="009F46EC">
            <w:pPr>
              <w:rPr>
                <w:rFonts w:ascii="Arial" w:hAnsi="Arial" w:cs="Arial"/>
                <w:sz w:val="24"/>
                <w:szCs w:val="24"/>
              </w:rPr>
            </w:pPr>
            <w:r w:rsidRPr="00AD25EE">
              <w:rPr>
                <w:rFonts w:ascii="Arial" w:hAnsi="Arial" w:cs="Arial"/>
                <w:sz w:val="24"/>
                <w:szCs w:val="24"/>
              </w:rPr>
              <w:t>Vulnerable Dependencies</w:t>
            </w:r>
          </w:p>
        </w:tc>
        <w:tc>
          <w:tcPr>
            <w:tcW w:w="0pt" w:type="auto"/>
            <w:vAlign w:val="center"/>
            <w:hideMark/>
          </w:tcPr>
          <w:p w14:paraId="6D50DFEC" w14:textId="77777777" w:rsidR="00AD25EE" w:rsidRPr="00AD25EE" w:rsidRDefault="00AD25EE" w:rsidP="009F46EC">
            <w:pPr>
              <w:rPr>
                <w:rFonts w:ascii="Arial" w:hAnsi="Arial" w:cs="Arial"/>
                <w:sz w:val="24"/>
                <w:szCs w:val="24"/>
              </w:rPr>
            </w:pPr>
            <w:r w:rsidRPr="00AD25EE">
              <w:rPr>
                <w:rFonts w:ascii="Arial" w:hAnsi="Arial" w:cs="Arial"/>
                <w:sz w:val="24"/>
                <w:szCs w:val="24"/>
              </w:rPr>
              <w:t>High</w:t>
            </w:r>
          </w:p>
        </w:tc>
        <w:tc>
          <w:tcPr>
            <w:tcW w:w="0pt" w:type="auto"/>
            <w:vAlign w:val="center"/>
            <w:hideMark/>
          </w:tcPr>
          <w:p w14:paraId="52AB4330" w14:textId="77777777" w:rsidR="00AD25EE" w:rsidRPr="00AD25EE" w:rsidRDefault="00AD25EE" w:rsidP="009F46EC">
            <w:pPr>
              <w:rPr>
                <w:rFonts w:ascii="Arial" w:hAnsi="Arial" w:cs="Arial"/>
                <w:sz w:val="24"/>
                <w:szCs w:val="24"/>
              </w:rPr>
            </w:pPr>
            <w:r w:rsidRPr="00AD25EE">
              <w:rPr>
                <w:rFonts w:ascii="Arial" w:hAnsi="Arial" w:cs="Arial"/>
                <w:sz w:val="24"/>
                <w:szCs w:val="24"/>
              </w:rPr>
              <w:t>Medium</w:t>
            </w:r>
          </w:p>
        </w:tc>
      </w:tr>
      <w:tr w:rsidR="00AD25EE" w:rsidRPr="00AD25EE" w14:paraId="4BA1082D" w14:textId="77777777" w:rsidTr="009F46EC">
        <w:trPr>
          <w:tblCellSpacing w:w="0.75pt" w:type="dxa"/>
        </w:trPr>
        <w:tc>
          <w:tcPr>
            <w:tcW w:w="0pt" w:type="auto"/>
            <w:vAlign w:val="center"/>
            <w:hideMark/>
          </w:tcPr>
          <w:p w14:paraId="44D86276" w14:textId="77777777" w:rsidR="00AD25EE" w:rsidRPr="00AD25EE" w:rsidRDefault="00AD25EE" w:rsidP="009F46EC">
            <w:pPr>
              <w:rPr>
                <w:rFonts w:ascii="Arial" w:hAnsi="Arial" w:cs="Arial"/>
                <w:sz w:val="24"/>
                <w:szCs w:val="24"/>
              </w:rPr>
            </w:pPr>
            <w:r w:rsidRPr="00AD25EE">
              <w:rPr>
                <w:rFonts w:ascii="Arial" w:hAnsi="Arial" w:cs="Arial"/>
                <w:sz w:val="24"/>
                <w:szCs w:val="24"/>
              </w:rPr>
              <w:t>Third-Party Systems and APIs</w:t>
            </w:r>
          </w:p>
        </w:tc>
        <w:tc>
          <w:tcPr>
            <w:tcW w:w="0pt" w:type="auto"/>
            <w:vAlign w:val="center"/>
            <w:hideMark/>
          </w:tcPr>
          <w:p w14:paraId="3C461392" w14:textId="77777777" w:rsidR="00AD25EE" w:rsidRPr="00AD25EE" w:rsidRDefault="00AD25EE" w:rsidP="009F46EC">
            <w:pPr>
              <w:rPr>
                <w:rFonts w:ascii="Arial" w:hAnsi="Arial" w:cs="Arial"/>
                <w:sz w:val="24"/>
                <w:szCs w:val="24"/>
              </w:rPr>
            </w:pPr>
            <w:r w:rsidRPr="00AD25EE">
              <w:rPr>
                <w:rFonts w:ascii="Arial" w:hAnsi="Arial" w:cs="Arial"/>
                <w:sz w:val="24"/>
                <w:szCs w:val="24"/>
              </w:rPr>
              <w:t>Third-Party Supply Chain Attacks</w:t>
            </w:r>
          </w:p>
        </w:tc>
        <w:tc>
          <w:tcPr>
            <w:tcW w:w="0pt" w:type="auto"/>
            <w:vAlign w:val="center"/>
            <w:hideMark/>
          </w:tcPr>
          <w:p w14:paraId="6769A58C" w14:textId="77777777" w:rsidR="00AD25EE" w:rsidRPr="00AD25EE" w:rsidRDefault="00AD25EE" w:rsidP="009F46EC">
            <w:pPr>
              <w:rPr>
                <w:rFonts w:ascii="Arial" w:hAnsi="Arial" w:cs="Arial"/>
                <w:sz w:val="24"/>
                <w:szCs w:val="24"/>
              </w:rPr>
            </w:pPr>
            <w:r w:rsidRPr="00AD25EE">
              <w:rPr>
                <w:rFonts w:ascii="Arial" w:hAnsi="Arial" w:cs="Arial"/>
                <w:sz w:val="24"/>
                <w:szCs w:val="24"/>
              </w:rPr>
              <w:t>High</w:t>
            </w:r>
          </w:p>
        </w:tc>
        <w:tc>
          <w:tcPr>
            <w:tcW w:w="0pt" w:type="auto"/>
            <w:vAlign w:val="center"/>
            <w:hideMark/>
          </w:tcPr>
          <w:p w14:paraId="5B00E012" w14:textId="77777777" w:rsidR="00AD25EE" w:rsidRPr="00AD25EE" w:rsidRDefault="00AD25EE" w:rsidP="009F46EC">
            <w:pPr>
              <w:rPr>
                <w:rFonts w:ascii="Arial" w:hAnsi="Arial" w:cs="Arial"/>
                <w:sz w:val="24"/>
                <w:szCs w:val="24"/>
              </w:rPr>
            </w:pPr>
            <w:r w:rsidRPr="00AD25EE">
              <w:rPr>
                <w:rFonts w:ascii="Arial" w:hAnsi="Arial" w:cs="Arial"/>
                <w:sz w:val="24"/>
                <w:szCs w:val="24"/>
              </w:rPr>
              <w:t>Medium</w:t>
            </w:r>
          </w:p>
        </w:tc>
      </w:tr>
    </w:tbl>
    <w:p w14:paraId="4D92F8EF" w14:textId="77777777" w:rsidR="00AD25EE" w:rsidRPr="00AD25EE" w:rsidRDefault="00AD25EE" w:rsidP="00AD25EE">
      <w:pPr>
        <w:jc w:val="both"/>
        <w:rPr>
          <w:rFonts w:ascii="Arial" w:hAnsi="Arial" w:cs="Arial"/>
          <w:sz w:val="24"/>
          <w:szCs w:val="24"/>
        </w:rPr>
      </w:pPr>
    </w:p>
    <w:p w14:paraId="5A8B3907" w14:textId="77777777" w:rsidR="00AD25EE" w:rsidRPr="00AD25EE" w:rsidRDefault="00AD25EE" w:rsidP="00AD25EE">
      <w:pPr>
        <w:rPr>
          <w:rFonts w:ascii="Arial" w:hAnsi="Arial" w:cs="Arial"/>
          <w:sz w:val="24"/>
          <w:szCs w:val="24"/>
        </w:rPr>
      </w:pPr>
      <w:r w:rsidRPr="00AD25EE">
        <w:rPr>
          <w:rFonts w:ascii="Arial" w:hAnsi="Arial" w:cs="Arial"/>
          <w:sz w:val="24"/>
          <w:szCs w:val="24"/>
        </w:rPr>
        <w:t>Software supply chain risks are particularly significant in modern development environments. Attackers may exploit vulnerable dependencies or inject malicious code into software components. Implementing secure development practices and automated dependency scanning tools can help mitigate these risks [6].</w:t>
      </w:r>
    </w:p>
    <w:p w14:paraId="2A179517" w14:textId="77777777" w:rsidR="00AD25EE" w:rsidRPr="00AD25EE" w:rsidRDefault="00AD25EE" w:rsidP="00AD25EE">
      <w:pPr>
        <w:rPr>
          <w:rFonts w:ascii="Arial" w:hAnsi="Arial" w:cs="Arial"/>
          <w:sz w:val="24"/>
          <w:szCs w:val="24"/>
        </w:rPr>
      </w:pPr>
      <w:r w:rsidRPr="00AD25EE">
        <w:rPr>
          <w:rFonts w:ascii="Arial" w:hAnsi="Arial" w:cs="Arial"/>
          <w:sz w:val="24"/>
          <w:szCs w:val="24"/>
        </w:rPr>
        <w:t>Cloud misconfigurations are another major concern. Incorrectly configured storage or access controls can expose sensitive data. Continuous monitoring and automated remediation tools are essential for reducing this risk.</w:t>
      </w:r>
    </w:p>
    <w:p w14:paraId="65BF5B23" w14:textId="77777777" w:rsidR="00AD25EE" w:rsidRDefault="00AD25EE" w:rsidP="00AD25EE">
      <w:pPr>
        <w:rPr>
          <w:rFonts w:ascii="Arial" w:hAnsi="Arial" w:cs="Arial"/>
          <w:sz w:val="24"/>
          <w:szCs w:val="24"/>
        </w:rPr>
      </w:pPr>
      <w:r w:rsidRPr="00AD25EE">
        <w:rPr>
          <w:rFonts w:ascii="Arial" w:hAnsi="Arial" w:cs="Arial"/>
          <w:sz w:val="24"/>
          <w:szCs w:val="24"/>
        </w:rPr>
        <w:t>Zero Trust mitigates these risks by enforcing strict access controls, continuous monitoring, and segmentation, reducing both the likelihood and impact of security incidents.</w:t>
      </w:r>
    </w:p>
    <w:p w14:paraId="29268334" w14:textId="77777777" w:rsidR="00AD25EE" w:rsidRDefault="00AD25EE" w:rsidP="00AD25EE">
      <w:pPr>
        <w:rPr>
          <w:rFonts w:ascii="Arial" w:hAnsi="Arial" w:cs="Arial"/>
          <w:sz w:val="24"/>
          <w:szCs w:val="24"/>
        </w:rPr>
      </w:pPr>
    </w:p>
    <w:p w14:paraId="7811DEDC" w14:textId="77777777" w:rsidR="00AD25EE" w:rsidRDefault="00AD25EE" w:rsidP="00AD25EE">
      <w:pPr>
        <w:rPr>
          <w:rFonts w:ascii="Arial" w:hAnsi="Arial" w:cs="Arial"/>
          <w:sz w:val="24"/>
          <w:szCs w:val="24"/>
        </w:rPr>
      </w:pPr>
    </w:p>
    <w:p w14:paraId="64E13632" w14:textId="77777777" w:rsidR="00AD25EE" w:rsidRDefault="00AD25EE" w:rsidP="00AD25EE">
      <w:pPr>
        <w:rPr>
          <w:rFonts w:ascii="Arial" w:hAnsi="Arial" w:cs="Arial"/>
          <w:sz w:val="24"/>
          <w:szCs w:val="24"/>
        </w:rPr>
      </w:pPr>
    </w:p>
    <w:p w14:paraId="3F87B89B" w14:textId="77777777" w:rsidR="00AD25EE" w:rsidRDefault="00AD25EE" w:rsidP="00AD25EE">
      <w:pPr>
        <w:rPr>
          <w:rFonts w:ascii="Arial" w:hAnsi="Arial" w:cs="Arial"/>
          <w:sz w:val="24"/>
          <w:szCs w:val="24"/>
        </w:rPr>
      </w:pPr>
    </w:p>
    <w:p w14:paraId="2E56A1EF" w14:textId="77777777" w:rsidR="00AD25EE" w:rsidRDefault="00AD25EE" w:rsidP="00AD25EE">
      <w:pPr>
        <w:rPr>
          <w:rFonts w:ascii="Arial" w:hAnsi="Arial" w:cs="Arial"/>
          <w:sz w:val="24"/>
          <w:szCs w:val="24"/>
        </w:rPr>
      </w:pPr>
    </w:p>
    <w:p w14:paraId="395BECE8" w14:textId="77777777" w:rsidR="00AD25EE" w:rsidRPr="00EF41FB" w:rsidRDefault="00AD25EE" w:rsidP="00EF41FB">
      <w:pPr>
        <w:pStyle w:val="Heading1"/>
        <w:rPr>
          <w:rFonts w:ascii="Arial" w:hAnsi="Arial" w:cs="Arial"/>
          <w:b/>
          <w:bCs/>
          <w:sz w:val="24"/>
          <w:szCs w:val="24"/>
        </w:rPr>
      </w:pPr>
      <w:r w:rsidRPr="00EF41FB">
        <w:rPr>
          <w:rFonts w:ascii="Arial" w:hAnsi="Arial" w:cs="Arial"/>
          <w:b/>
          <w:bCs/>
          <w:sz w:val="24"/>
          <w:szCs w:val="24"/>
        </w:rPr>
        <w:lastRenderedPageBreak/>
        <w:t>7. Contingency Planning</w:t>
      </w:r>
    </w:p>
    <w:p w14:paraId="169C4D4F" w14:textId="77777777" w:rsidR="00AD25EE" w:rsidRPr="00EF41FB" w:rsidRDefault="00AD25EE" w:rsidP="00AD25EE">
      <w:pPr>
        <w:rPr>
          <w:rFonts w:ascii="Arial" w:hAnsi="Arial" w:cs="Arial"/>
          <w:b/>
          <w:bCs/>
          <w:sz w:val="24"/>
          <w:szCs w:val="24"/>
        </w:rPr>
      </w:pPr>
      <w:r w:rsidRPr="00EF41FB">
        <w:rPr>
          <w:rFonts w:ascii="Arial" w:hAnsi="Arial" w:cs="Arial"/>
          <w:b/>
          <w:bCs/>
          <w:sz w:val="24"/>
          <w:szCs w:val="24"/>
        </w:rPr>
        <w:t>7. Contingency Planning</w:t>
      </w:r>
    </w:p>
    <w:p w14:paraId="054E9F0D"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A comprehensive disaster recovery plan is essential for ensuring business continuity in the event of a ransomware attack affecting </w:t>
      </w:r>
      <w:proofErr w:type="spellStart"/>
      <w:r w:rsidRPr="00EF41FB">
        <w:rPr>
          <w:rFonts w:ascii="Arial" w:hAnsi="Arial" w:cs="Arial"/>
          <w:sz w:val="24"/>
          <w:szCs w:val="24"/>
        </w:rPr>
        <w:t>MediTrust’s</w:t>
      </w:r>
      <w:proofErr w:type="spellEnd"/>
      <w:r w:rsidRPr="00EF41FB">
        <w:rPr>
          <w:rFonts w:ascii="Arial" w:hAnsi="Arial" w:cs="Arial"/>
          <w:sz w:val="24"/>
          <w:szCs w:val="24"/>
        </w:rPr>
        <w:t xml:space="preserve"> AI training data and source code repositories.</w:t>
      </w:r>
    </w:p>
    <w:p w14:paraId="343876E9" w14:textId="77777777" w:rsidR="00AD25EE" w:rsidRPr="00EF41FB" w:rsidRDefault="00AD25EE" w:rsidP="00AD25EE">
      <w:pPr>
        <w:rPr>
          <w:rFonts w:ascii="Arial" w:hAnsi="Arial" w:cs="Arial"/>
          <w:b/>
          <w:bCs/>
          <w:sz w:val="24"/>
          <w:szCs w:val="24"/>
        </w:rPr>
      </w:pPr>
      <w:r w:rsidRPr="00EF41FB">
        <w:rPr>
          <w:rFonts w:ascii="Arial" w:hAnsi="Arial" w:cs="Arial"/>
          <w:b/>
          <w:bCs/>
          <w:sz w:val="24"/>
          <w:szCs w:val="24"/>
        </w:rPr>
        <w:t>Ransomware Response Plan</w:t>
      </w:r>
    </w:p>
    <w:p w14:paraId="5AB73F1A" w14:textId="77777777" w:rsidR="00EF41FB" w:rsidRPr="00EF41FB" w:rsidRDefault="00EF41FB" w:rsidP="00AD25EE">
      <w:pPr>
        <w:rPr>
          <w:rFonts w:ascii="Arial" w:hAnsi="Arial" w:cs="Arial"/>
          <w:b/>
          <w:bCs/>
          <w:sz w:val="24"/>
          <w:szCs w:val="24"/>
        </w:rPr>
      </w:pPr>
    </w:p>
    <w:p w14:paraId="71144A47" w14:textId="77777777" w:rsidR="00EF41FB" w:rsidRDefault="00AD25EE" w:rsidP="00AD25EE">
      <w:pPr>
        <w:rPr>
          <w:rFonts w:ascii="Arial" w:hAnsi="Arial" w:cs="Arial"/>
          <w:b/>
          <w:bCs/>
          <w:sz w:val="24"/>
          <w:szCs w:val="24"/>
        </w:rPr>
      </w:pPr>
      <w:r w:rsidRPr="00EF41FB">
        <w:rPr>
          <w:rFonts w:ascii="Arial" w:hAnsi="Arial" w:cs="Arial"/>
          <w:b/>
          <w:bCs/>
          <w:sz w:val="24"/>
          <w:szCs w:val="24"/>
        </w:rPr>
        <w:t>1. Detection and Identification</w:t>
      </w:r>
    </w:p>
    <w:p w14:paraId="7536A388" w14:textId="42FCA35F" w:rsidR="00AD25EE" w:rsidRDefault="00AD25EE" w:rsidP="00AD25EE">
      <w:pPr>
        <w:rPr>
          <w:rFonts w:ascii="Arial" w:hAnsi="Arial" w:cs="Arial"/>
          <w:sz w:val="24"/>
          <w:szCs w:val="24"/>
        </w:rPr>
      </w:pPr>
      <w:r w:rsidRPr="00EF41FB">
        <w:rPr>
          <w:rFonts w:ascii="Arial" w:hAnsi="Arial" w:cs="Arial"/>
          <w:sz w:val="24"/>
          <w:szCs w:val="24"/>
        </w:rPr>
        <w:br/>
        <w:t xml:space="preserve">Security monitoring tools such as SIEM and Endpoint Detection and Response systems continuously </w:t>
      </w:r>
      <w:proofErr w:type="spellStart"/>
      <w:r w:rsidRPr="00EF41FB">
        <w:rPr>
          <w:rFonts w:ascii="Arial" w:hAnsi="Arial" w:cs="Arial"/>
          <w:sz w:val="24"/>
          <w:szCs w:val="24"/>
        </w:rPr>
        <w:t>analyse</w:t>
      </w:r>
      <w:proofErr w:type="spellEnd"/>
      <w:r w:rsidRPr="00EF41FB">
        <w:rPr>
          <w:rFonts w:ascii="Arial" w:hAnsi="Arial" w:cs="Arial"/>
          <w:sz w:val="24"/>
          <w:szCs w:val="24"/>
        </w:rPr>
        <w:t xml:space="preserve"> system activity to detect anomalies. Suspicious </w:t>
      </w:r>
      <w:proofErr w:type="spellStart"/>
      <w:r w:rsidRPr="00EF41FB">
        <w:rPr>
          <w:rFonts w:ascii="Arial" w:hAnsi="Arial" w:cs="Arial"/>
          <w:sz w:val="24"/>
          <w:szCs w:val="24"/>
        </w:rPr>
        <w:t>behaviours</w:t>
      </w:r>
      <w:proofErr w:type="spellEnd"/>
      <w:r w:rsidRPr="00EF41FB">
        <w:rPr>
          <w:rFonts w:ascii="Arial" w:hAnsi="Arial" w:cs="Arial"/>
          <w:sz w:val="24"/>
          <w:szCs w:val="24"/>
        </w:rPr>
        <w:t xml:space="preserve">, such as unusual file encryption or </w:t>
      </w:r>
      <w:proofErr w:type="spellStart"/>
      <w:r w:rsidRPr="00EF41FB">
        <w:rPr>
          <w:rFonts w:ascii="Arial" w:hAnsi="Arial" w:cs="Arial"/>
          <w:sz w:val="24"/>
          <w:szCs w:val="24"/>
        </w:rPr>
        <w:t>unauthorised</w:t>
      </w:r>
      <w:proofErr w:type="spellEnd"/>
      <w:r w:rsidRPr="00EF41FB">
        <w:rPr>
          <w:rFonts w:ascii="Arial" w:hAnsi="Arial" w:cs="Arial"/>
          <w:sz w:val="24"/>
          <w:szCs w:val="24"/>
        </w:rPr>
        <w:t xml:space="preserve"> access attempts, trigger alerts and initiate incident response procedures.</w:t>
      </w:r>
    </w:p>
    <w:p w14:paraId="3196F961" w14:textId="77777777" w:rsidR="00EF41FB" w:rsidRPr="00EF41FB" w:rsidRDefault="00EF41FB" w:rsidP="00AD25EE">
      <w:pPr>
        <w:rPr>
          <w:rFonts w:ascii="Arial" w:hAnsi="Arial" w:cs="Arial"/>
          <w:sz w:val="24"/>
          <w:szCs w:val="24"/>
        </w:rPr>
      </w:pPr>
    </w:p>
    <w:p w14:paraId="34FEBD9E" w14:textId="77777777" w:rsidR="00EF41FB" w:rsidRDefault="00AD25EE" w:rsidP="00AD25EE">
      <w:pPr>
        <w:rPr>
          <w:rFonts w:ascii="Arial" w:hAnsi="Arial" w:cs="Arial"/>
          <w:b/>
          <w:bCs/>
          <w:sz w:val="24"/>
          <w:szCs w:val="24"/>
        </w:rPr>
      </w:pPr>
      <w:r w:rsidRPr="00EF41FB">
        <w:rPr>
          <w:rFonts w:ascii="Arial" w:hAnsi="Arial" w:cs="Arial"/>
          <w:b/>
          <w:bCs/>
          <w:sz w:val="24"/>
          <w:szCs w:val="24"/>
        </w:rPr>
        <w:t>2. Containment</w:t>
      </w:r>
    </w:p>
    <w:p w14:paraId="4C2C7EE8" w14:textId="01D3CA26" w:rsidR="00AD25EE" w:rsidRDefault="00AD25EE" w:rsidP="00AD25EE">
      <w:pPr>
        <w:rPr>
          <w:rFonts w:ascii="Arial" w:hAnsi="Arial" w:cs="Arial"/>
          <w:sz w:val="24"/>
          <w:szCs w:val="24"/>
        </w:rPr>
      </w:pPr>
      <w:r w:rsidRPr="00EF41FB">
        <w:rPr>
          <w:rFonts w:ascii="Arial" w:hAnsi="Arial" w:cs="Arial"/>
          <w:sz w:val="24"/>
          <w:szCs w:val="24"/>
        </w:rPr>
        <w:br/>
        <w:t>Once a ransomware attack is detected, affected systems must be immediately isolated from the network using Zero Trust segmentation controls. Access to compromised accounts is revoked, and network communication is restricted to prevent lateral movement.</w:t>
      </w:r>
    </w:p>
    <w:p w14:paraId="0D857C35" w14:textId="77777777" w:rsidR="00EF41FB" w:rsidRPr="00EF41FB" w:rsidRDefault="00EF41FB" w:rsidP="00AD25EE">
      <w:pPr>
        <w:rPr>
          <w:rFonts w:ascii="Arial" w:hAnsi="Arial" w:cs="Arial"/>
          <w:sz w:val="24"/>
          <w:szCs w:val="24"/>
        </w:rPr>
      </w:pPr>
    </w:p>
    <w:p w14:paraId="103BE784" w14:textId="77777777" w:rsidR="00EF41FB" w:rsidRDefault="00AD25EE" w:rsidP="00AD25EE">
      <w:pPr>
        <w:rPr>
          <w:rFonts w:ascii="Arial" w:hAnsi="Arial" w:cs="Arial"/>
          <w:b/>
          <w:bCs/>
          <w:sz w:val="24"/>
          <w:szCs w:val="24"/>
        </w:rPr>
      </w:pPr>
      <w:r w:rsidRPr="00EF41FB">
        <w:rPr>
          <w:rFonts w:ascii="Arial" w:hAnsi="Arial" w:cs="Arial"/>
          <w:b/>
          <w:bCs/>
          <w:sz w:val="24"/>
          <w:szCs w:val="24"/>
        </w:rPr>
        <w:t>3. Eradication</w:t>
      </w:r>
    </w:p>
    <w:p w14:paraId="620D76B3" w14:textId="2BBD1784" w:rsidR="00AD25EE" w:rsidRDefault="00AD25EE" w:rsidP="00AD25EE">
      <w:pPr>
        <w:rPr>
          <w:rFonts w:ascii="Arial" w:hAnsi="Arial" w:cs="Arial"/>
          <w:sz w:val="24"/>
          <w:szCs w:val="24"/>
        </w:rPr>
      </w:pPr>
      <w:r w:rsidRPr="00EF41FB">
        <w:rPr>
          <w:rFonts w:ascii="Arial" w:hAnsi="Arial" w:cs="Arial"/>
          <w:sz w:val="24"/>
          <w:szCs w:val="24"/>
        </w:rPr>
        <w:br/>
        <w:t>The next step involves removing malicious software from infected systems. This includes identifying the attack vector, patching vulnerabilities, and resetting compromised credentials. Security teams ensure that all affected endpoints are clean before restoration begins.</w:t>
      </w:r>
    </w:p>
    <w:p w14:paraId="307470A3" w14:textId="77777777" w:rsidR="00EF41FB" w:rsidRPr="00EF41FB" w:rsidRDefault="00EF41FB" w:rsidP="00AD25EE">
      <w:pPr>
        <w:rPr>
          <w:rFonts w:ascii="Arial" w:hAnsi="Arial" w:cs="Arial"/>
          <w:sz w:val="24"/>
          <w:szCs w:val="24"/>
        </w:rPr>
      </w:pPr>
    </w:p>
    <w:p w14:paraId="1AE76E51" w14:textId="77777777" w:rsidR="00EF41FB" w:rsidRDefault="00AD25EE" w:rsidP="00AD25EE">
      <w:pPr>
        <w:rPr>
          <w:rFonts w:ascii="Arial" w:hAnsi="Arial" w:cs="Arial"/>
          <w:b/>
          <w:bCs/>
          <w:sz w:val="24"/>
          <w:szCs w:val="24"/>
        </w:rPr>
      </w:pPr>
      <w:r w:rsidRPr="00EF41FB">
        <w:rPr>
          <w:rFonts w:ascii="Arial" w:hAnsi="Arial" w:cs="Arial"/>
          <w:b/>
          <w:bCs/>
          <w:sz w:val="24"/>
          <w:szCs w:val="24"/>
        </w:rPr>
        <w:t>4. Recovery</w:t>
      </w:r>
    </w:p>
    <w:p w14:paraId="398FAADD" w14:textId="652D6E25" w:rsidR="00AD25EE" w:rsidRDefault="00AD25EE" w:rsidP="00AD25EE">
      <w:pPr>
        <w:rPr>
          <w:rFonts w:ascii="Arial" w:hAnsi="Arial" w:cs="Arial"/>
          <w:sz w:val="24"/>
          <w:szCs w:val="24"/>
        </w:rPr>
      </w:pPr>
      <w:r w:rsidRPr="00EF41FB">
        <w:rPr>
          <w:rFonts w:ascii="Arial" w:hAnsi="Arial" w:cs="Arial"/>
          <w:sz w:val="24"/>
          <w:szCs w:val="24"/>
        </w:rPr>
        <w:br/>
        <w:t>Critical systems and data are restored using secure, offline, and immutable backups. Backup integrity is verified before restoration to ensure no malicious data is reintroduced. Systems are gradually brought back online in a controlled manner.</w:t>
      </w:r>
    </w:p>
    <w:p w14:paraId="32103D8F" w14:textId="77777777" w:rsidR="00EF41FB" w:rsidRDefault="00EF41FB" w:rsidP="00AD25EE">
      <w:pPr>
        <w:rPr>
          <w:rFonts w:ascii="Arial" w:hAnsi="Arial" w:cs="Arial"/>
          <w:sz w:val="24"/>
          <w:szCs w:val="24"/>
        </w:rPr>
      </w:pPr>
    </w:p>
    <w:p w14:paraId="4046AF4A" w14:textId="77777777" w:rsidR="00EF41FB" w:rsidRDefault="00EF41FB" w:rsidP="00AD25EE">
      <w:pPr>
        <w:rPr>
          <w:rFonts w:ascii="Arial" w:hAnsi="Arial" w:cs="Arial"/>
          <w:sz w:val="24"/>
          <w:szCs w:val="24"/>
        </w:rPr>
      </w:pPr>
    </w:p>
    <w:p w14:paraId="35308448" w14:textId="77777777" w:rsidR="00EF41FB" w:rsidRDefault="00EF41FB" w:rsidP="00AD25EE">
      <w:pPr>
        <w:rPr>
          <w:rFonts w:ascii="Arial" w:hAnsi="Arial" w:cs="Arial"/>
          <w:sz w:val="24"/>
          <w:szCs w:val="24"/>
        </w:rPr>
      </w:pPr>
    </w:p>
    <w:p w14:paraId="03030048" w14:textId="77777777" w:rsidR="00EF41FB" w:rsidRPr="00EF41FB" w:rsidRDefault="00EF41FB" w:rsidP="00AD25EE">
      <w:pPr>
        <w:rPr>
          <w:rFonts w:ascii="Arial" w:hAnsi="Arial" w:cs="Arial"/>
          <w:sz w:val="24"/>
          <w:szCs w:val="24"/>
        </w:rPr>
      </w:pPr>
    </w:p>
    <w:p w14:paraId="5945A5D5" w14:textId="77777777" w:rsidR="00EF41FB" w:rsidRDefault="00AD25EE" w:rsidP="00AD25EE">
      <w:pPr>
        <w:rPr>
          <w:rFonts w:ascii="Arial" w:hAnsi="Arial" w:cs="Arial"/>
          <w:b/>
          <w:bCs/>
          <w:sz w:val="24"/>
          <w:szCs w:val="24"/>
        </w:rPr>
      </w:pPr>
      <w:r w:rsidRPr="00EF41FB">
        <w:rPr>
          <w:rFonts w:ascii="Arial" w:hAnsi="Arial" w:cs="Arial"/>
          <w:b/>
          <w:bCs/>
          <w:sz w:val="24"/>
          <w:szCs w:val="24"/>
        </w:rPr>
        <w:t>5. Post-Incident Review and Improvement</w:t>
      </w:r>
    </w:p>
    <w:p w14:paraId="579AA119" w14:textId="34165EF5" w:rsidR="00AD25EE" w:rsidRPr="00EF41FB" w:rsidRDefault="00AD25EE" w:rsidP="00AD25EE">
      <w:pPr>
        <w:rPr>
          <w:rFonts w:ascii="Arial" w:hAnsi="Arial" w:cs="Arial"/>
          <w:sz w:val="24"/>
          <w:szCs w:val="24"/>
        </w:rPr>
      </w:pPr>
      <w:r w:rsidRPr="00EF41FB">
        <w:rPr>
          <w:rFonts w:ascii="Arial" w:hAnsi="Arial" w:cs="Arial"/>
          <w:sz w:val="24"/>
          <w:szCs w:val="24"/>
        </w:rPr>
        <w:br/>
        <w:t>After recovery, a detailed analysis of the incident is conducted to identify weaknesses in the security posture. Lessons learned are used to improve security policies, enhance detection mechanisms, and strengthen response procedures.</w:t>
      </w:r>
    </w:p>
    <w:p w14:paraId="62231A7D" w14:textId="77777777" w:rsidR="00AD25EE" w:rsidRPr="00EF41FB" w:rsidRDefault="00AD25EE" w:rsidP="00AD25EE">
      <w:pPr>
        <w:rPr>
          <w:rFonts w:ascii="Arial" w:hAnsi="Arial" w:cs="Arial"/>
          <w:sz w:val="24"/>
          <w:szCs w:val="24"/>
        </w:rPr>
      </w:pPr>
    </w:p>
    <w:p w14:paraId="77BC2884" w14:textId="77777777" w:rsidR="00AD25EE" w:rsidRDefault="00AD25EE" w:rsidP="00AD25EE">
      <w:pPr>
        <w:rPr>
          <w:rFonts w:ascii="Arial" w:hAnsi="Arial" w:cs="Arial"/>
          <w:b/>
          <w:bCs/>
          <w:sz w:val="24"/>
          <w:szCs w:val="24"/>
        </w:rPr>
      </w:pPr>
      <w:r w:rsidRPr="00EF41FB">
        <w:rPr>
          <w:rFonts w:ascii="Arial" w:hAnsi="Arial" w:cs="Arial"/>
          <w:b/>
          <w:bCs/>
          <w:sz w:val="24"/>
          <w:szCs w:val="24"/>
        </w:rPr>
        <w:t>Justification</w:t>
      </w:r>
    </w:p>
    <w:p w14:paraId="03E13E2B" w14:textId="77777777" w:rsidR="00EF41FB" w:rsidRPr="00EF41FB" w:rsidRDefault="00EF41FB" w:rsidP="00AD25EE">
      <w:pPr>
        <w:rPr>
          <w:rFonts w:ascii="Arial" w:hAnsi="Arial" w:cs="Arial"/>
          <w:b/>
          <w:bCs/>
          <w:sz w:val="24"/>
          <w:szCs w:val="24"/>
        </w:rPr>
      </w:pPr>
    </w:p>
    <w:p w14:paraId="086B3A81"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This structured approach ensures a rapid and coordinated response to ransomware incidents, </w:t>
      </w:r>
      <w:proofErr w:type="spellStart"/>
      <w:r w:rsidRPr="00EF41FB">
        <w:rPr>
          <w:rFonts w:ascii="Arial" w:hAnsi="Arial" w:cs="Arial"/>
          <w:sz w:val="24"/>
          <w:szCs w:val="24"/>
        </w:rPr>
        <w:t>minimising</w:t>
      </w:r>
      <w:proofErr w:type="spellEnd"/>
      <w:r w:rsidRPr="00EF41FB">
        <w:rPr>
          <w:rFonts w:ascii="Arial" w:hAnsi="Arial" w:cs="Arial"/>
          <w:sz w:val="24"/>
          <w:szCs w:val="24"/>
        </w:rPr>
        <w:t xml:space="preserve"> downtime and data loss. Zero Trust principles enhance contingency planning by limiting the spread of attacks, enforcing strict access controls, and enabling faster containment and recovery [5].</w:t>
      </w:r>
    </w:p>
    <w:p w14:paraId="14B025BB" w14:textId="77777777" w:rsidR="00AD25EE" w:rsidRPr="00EF41FB" w:rsidRDefault="00AD25EE" w:rsidP="00AD25EE">
      <w:pPr>
        <w:rPr>
          <w:rFonts w:ascii="Arial" w:hAnsi="Arial" w:cs="Arial"/>
          <w:sz w:val="24"/>
          <w:szCs w:val="24"/>
        </w:rPr>
      </w:pPr>
    </w:p>
    <w:p w14:paraId="44A4399F" w14:textId="4FDBEA0F" w:rsidR="00AD25EE" w:rsidRDefault="00AD25EE" w:rsidP="00EF41FB">
      <w:pPr>
        <w:pStyle w:val="Heading1"/>
        <w:numPr>
          <w:ilvl w:val="0"/>
          <w:numId w:val="4"/>
        </w:numPr>
        <w:rPr>
          <w:rFonts w:ascii="Arial" w:hAnsi="Arial" w:cs="Arial"/>
          <w:b/>
          <w:bCs/>
          <w:sz w:val="24"/>
          <w:szCs w:val="24"/>
        </w:rPr>
      </w:pPr>
      <w:r w:rsidRPr="00EF41FB">
        <w:rPr>
          <w:rFonts w:ascii="Arial" w:hAnsi="Arial" w:cs="Arial"/>
          <w:b/>
          <w:bCs/>
          <w:sz w:val="24"/>
          <w:szCs w:val="24"/>
        </w:rPr>
        <w:t>Protection Mechanisms</w:t>
      </w:r>
    </w:p>
    <w:p w14:paraId="5FF4DD55" w14:textId="77777777" w:rsidR="00EF41FB" w:rsidRPr="00EF41FB" w:rsidRDefault="00EF41FB" w:rsidP="00EF41FB">
      <w:pPr>
        <w:pStyle w:val="ListParagraph"/>
        <w:numPr>
          <w:ilvl w:val="0"/>
          <w:numId w:val="4"/>
        </w:numPr>
      </w:pPr>
    </w:p>
    <w:p w14:paraId="6B435590"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To support the Zero Trust security </w:t>
      </w:r>
      <w:proofErr w:type="spellStart"/>
      <w:r w:rsidRPr="00EF41FB">
        <w:rPr>
          <w:rFonts w:ascii="Arial" w:hAnsi="Arial" w:cs="Arial"/>
          <w:sz w:val="24"/>
          <w:szCs w:val="24"/>
        </w:rPr>
        <w:t>programme</w:t>
      </w:r>
      <w:proofErr w:type="spellEnd"/>
      <w:r w:rsidRPr="00EF41FB">
        <w:rPr>
          <w:rFonts w:ascii="Arial" w:hAnsi="Arial" w:cs="Arial"/>
          <w:sz w:val="24"/>
          <w:szCs w:val="24"/>
        </w:rPr>
        <w:t xml:space="preserve">, </w:t>
      </w:r>
      <w:proofErr w:type="spellStart"/>
      <w:r w:rsidRPr="00EF41FB">
        <w:rPr>
          <w:rFonts w:ascii="Arial" w:hAnsi="Arial" w:cs="Arial"/>
          <w:sz w:val="24"/>
          <w:szCs w:val="24"/>
        </w:rPr>
        <w:t>MediTrust</w:t>
      </w:r>
      <w:proofErr w:type="spellEnd"/>
      <w:r w:rsidRPr="00EF41FB">
        <w:rPr>
          <w:rFonts w:ascii="Arial" w:hAnsi="Arial" w:cs="Arial"/>
          <w:sz w:val="24"/>
          <w:szCs w:val="24"/>
        </w:rPr>
        <w:t xml:space="preserve"> should implement modern security controls that provide continuous protection and monitoring.</w:t>
      </w:r>
    </w:p>
    <w:p w14:paraId="1136561F"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Cloud Security Posture Management tools help identify and remediate misconfigurations in cloud environments. Security Information and Event Management systems provide </w:t>
      </w:r>
      <w:proofErr w:type="spellStart"/>
      <w:r w:rsidRPr="00EF41FB">
        <w:rPr>
          <w:rFonts w:ascii="Arial" w:hAnsi="Arial" w:cs="Arial"/>
          <w:sz w:val="24"/>
          <w:szCs w:val="24"/>
        </w:rPr>
        <w:t>centralised</w:t>
      </w:r>
      <w:proofErr w:type="spellEnd"/>
      <w:r w:rsidRPr="00EF41FB">
        <w:rPr>
          <w:rFonts w:ascii="Arial" w:hAnsi="Arial" w:cs="Arial"/>
          <w:sz w:val="24"/>
          <w:szCs w:val="24"/>
        </w:rPr>
        <w:t xml:space="preserve"> visibility and enable real-time analysis of security events.</w:t>
      </w:r>
    </w:p>
    <w:p w14:paraId="6C92B0CF" w14:textId="77777777" w:rsidR="00AD25EE" w:rsidRPr="00EF41FB" w:rsidRDefault="00AD25EE" w:rsidP="00AD25EE">
      <w:pPr>
        <w:rPr>
          <w:rFonts w:ascii="Arial" w:hAnsi="Arial" w:cs="Arial"/>
          <w:sz w:val="24"/>
          <w:szCs w:val="24"/>
        </w:rPr>
      </w:pPr>
      <w:r w:rsidRPr="00EF41FB">
        <w:rPr>
          <w:rFonts w:ascii="Arial" w:hAnsi="Arial" w:cs="Arial"/>
          <w:sz w:val="24"/>
          <w:szCs w:val="24"/>
        </w:rPr>
        <w:t>Endpoint Detection and Response solutions with automated response capabilities can detect and contain threats at the endpoint level. Phishing-resistant multi-factor authentication reduces the risk of credential theft, which is a major attack vector [2].</w:t>
      </w:r>
    </w:p>
    <w:p w14:paraId="5295F553" w14:textId="77777777" w:rsidR="00AD25EE" w:rsidRPr="00EF41FB" w:rsidRDefault="00AD25EE" w:rsidP="00AD25EE">
      <w:pPr>
        <w:rPr>
          <w:rFonts w:ascii="Arial" w:hAnsi="Arial" w:cs="Arial"/>
          <w:sz w:val="24"/>
          <w:szCs w:val="24"/>
        </w:rPr>
      </w:pPr>
      <w:r w:rsidRPr="00EF41FB">
        <w:rPr>
          <w:rFonts w:ascii="Arial" w:hAnsi="Arial" w:cs="Arial"/>
          <w:sz w:val="24"/>
          <w:szCs w:val="24"/>
        </w:rPr>
        <w:t>Zero Trust Network Access solutions replace traditional VPNs by enforcing identity-based access control. This ensures that access decisions are based on user identity, device posture, and contextual factors rather than network location.</w:t>
      </w:r>
    </w:p>
    <w:p w14:paraId="5DF1625E" w14:textId="77777777" w:rsidR="00AD25EE" w:rsidRPr="00EF41FB" w:rsidRDefault="00AD25EE" w:rsidP="00AD25EE">
      <w:pPr>
        <w:rPr>
          <w:rFonts w:ascii="Arial" w:hAnsi="Arial" w:cs="Arial"/>
          <w:sz w:val="24"/>
          <w:szCs w:val="24"/>
        </w:rPr>
      </w:pPr>
      <w:r w:rsidRPr="00EF41FB">
        <w:rPr>
          <w:rFonts w:ascii="Arial" w:hAnsi="Arial" w:cs="Arial"/>
          <w:sz w:val="24"/>
          <w:szCs w:val="24"/>
        </w:rPr>
        <w:t>These controls collectively support Zero Trust principles by enforcing continuous verification, reducing attack surfaces, and enabling rapid response to threats.</w:t>
      </w:r>
    </w:p>
    <w:p w14:paraId="10579B99" w14:textId="77777777" w:rsidR="00AD25EE" w:rsidRDefault="00AD25EE" w:rsidP="00AD25EE">
      <w:pPr>
        <w:rPr>
          <w:rFonts w:ascii="Arial" w:hAnsi="Arial" w:cs="Arial"/>
          <w:sz w:val="24"/>
          <w:szCs w:val="24"/>
        </w:rPr>
      </w:pPr>
    </w:p>
    <w:p w14:paraId="7A5484E0" w14:textId="77777777" w:rsidR="00EF41FB" w:rsidRPr="00EF41FB" w:rsidRDefault="00EF41FB" w:rsidP="00AD25EE">
      <w:pPr>
        <w:rPr>
          <w:rFonts w:ascii="Arial" w:hAnsi="Arial" w:cs="Arial"/>
          <w:sz w:val="24"/>
          <w:szCs w:val="24"/>
        </w:rPr>
      </w:pPr>
    </w:p>
    <w:p w14:paraId="0BF90232" w14:textId="77777777" w:rsidR="00AD25EE" w:rsidRDefault="00AD25EE" w:rsidP="00EF41FB">
      <w:pPr>
        <w:pStyle w:val="Heading1"/>
        <w:rPr>
          <w:rFonts w:ascii="Arial" w:hAnsi="Arial" w:cs="Arial"/>
          <w:b/>
          <w:bCs/>
          <w:sz w:val="24"/>
          <w:szCs w:val="24"/>
        </w:rPr>
      </w:pPr>
      <w:r w:rsidRPr="00EF41FB">
        <w:rPr>
          <w:rFonts w:ascii="Arial" w:hAnsi="Arial" w:cs="Arial"/>
          <w:b/>
          <w:bCs/>
          <w:sz w:val="24"/>
          <w:szCs w:val="24"/>
        </w:rPr>
        <w:lastRenderedPageBreak/>
        <w:t>9. Conclusion</w:t>
      </w:r>
    </w:p>
    <w:p w14:paraId="19FD721A" w14:textId="77777777" w:rsidR="00EF41FB" w:rsidRPr="00EF41FB" w:rsidRDefault="00EF41FB" w:rsidP="00EF41FB"/>
    <w:p w14:paraId="6AD5E1D2"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This report has presented a comprehensive Zero Trust-aligned security </w:t>
      </w:r>
      <w:proofErr w:type="spellStart"/>
      <w:r w:rsidRPr="00EF41FB">
        <w:rPr>
          <w:rFonts w:ascii="Arial" w:hAnsi="Arial" w:cs="Arial"/>
          <w:sz w:val="24"/>
          <w:szCs w:val="24"/>
        </w:rPr>
        <w:t>programme</w:t>
      </w:r>
      <w:proofErr w:type="spellEnd"/>
      <w:r w:rsidRPr="00EF41FB">
        <w:rPr>
          <w:rFonts w:ascii="Arial" w:hAnsi="Arial" w:cs="Arial"/>
          <w:sz w:val="24"/>
          <w:szCs w:val="24"/>
        </w:rPr>
        <w:t xml:space="preserve"> for </w:t>
      </w:r>
      <w:proofErr w:type="spellStart"/>
      <w:r w:rsidRPr="00EF41FB">
        <w:rPr>
          <w:rFonts w:ascii="Arial" w:hAnsi="Arial" w:cs="Arial"/>
          <w:sz w:val="24"/>
          <w:szCs w:val="24"/>
        </w:rPr>
        <w:t>MediTrust</w:t>
      </w:r>
      <w:proofErr w:type="spellEnd"/>
      <w:r w:rsidRPr="00EF41FB">
        <w:rPr>
          <w:rFonts w:ascii="Arial" w:hAnsi="Arial" w:cs="Arial"/>
          <w:sz w:val="24"/>
          <w:szCs w:val="24"/>
        </w:rPr>
        <w:t xml:space="preserve"> Analytics Ltd. By integrating </w:t>
      </w:r>
      <w:proofErr w:type="spellStart"/>
      <w:r w:rsidRPr="00EF41FB">
        <w:rPr>
          <w:rFonts w:ascii="Arial" w:hAnsi="Arial" w:cs="Arial"/>
          <w:sz w:val="24"/>
          <w:szCs w:val="24"/>
        </w:rPr>
        <w:t>organisational</w:t>
      </w:r>
      <w:proofErr w:type="spellEnd"/>
      <w:r w:rsidRPr="00EF41FB">
        <w:rPr>
          <w:rFonts w:ascii="Arial" w:hAnsi="Arial" w:cs="Arial"/>
          <w:sz w:val="24"/>
          <w:szCs w:val="24"/>
        </w:rPr>
        <w:t xml:space="preserve"> structure, policies, governance, risk management, and advanced technical controls, the proposed design addresses the complex challenges associated with cloud computing, artificial intelligence, and hybrid work environments.</w:t>
      </w:r>
    </w:p>
    <w:p w14:paraId="2A453531"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The adoption of Zero Trust strengthens the </w:t>
      </w:r>
      <w:proofErr w:type="spellStart"/>
      <w:r w:rsidRPr="00EF41FB">
        <w:rPr>
          <w:rFonts w:ascii="Arial" w:hAnsi="Arial" w:cs="Arial"/>
          <w:sz w:val="24"/>
          <w:szCs w:val="24"/>
        </w:rPr>
        <w:t>organisation’s</w:t>
      </w:r>
      <w:proofErr w:type="spellEnd"/>
      <w:r w:rsidRPr="00EF41FB">
        <w:rPr>
          <w:rFonts w:ascii="Arial" w:hAnsi="Arial" w:cs="Arial"/>
          <w:sz w:val="24"/>
          <w:szCs w:val="24"/>
        </w:rPr>
        <w:t xml:space="preserve"> ability to prevent, detect, and respond to cyber threats while ensuring compliance with regulatory frameworks such as DORA and NIS2. Although implementation requires careful planning and investment, the long-term benefits include improved resilience, reduced risk exposure, and enhanced trust among stakeholders.</w:t>
      </w:r>
    </w:p>
    <w:p w14:paraId="3C16750A"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Ultimately, Zero Trust represents a strategic transformation that aligns security with business objectives, enabling </w:t>
      </w:r>
      <w:proofErr w:type="spellStart"/>
      <w:r w:rsidRPr="00EF41FB">
        <w:rPr>
          <w:rFonts w:ascii="Arial" w:hAnsi="Arial" w:cs="Arial"/>
          <w:sz w:val="24"/>
          <w:szCs w:val="24"/>
        </w:rPr>
        <w:t>MediTrust</w:t>
      </w:r>
      <w:proofErr w:type="spellEnd"/>
      <w:r w:rsidRPr="00EF41FB">
        <w:rPr>
          <w:rFonts w:ascii="Arial" w:hAnsi="Arial" w:cs="Arial"/>
          <w:sz w:val="24"/>
          <w:szCs w:val="24"/>
        </w:rPr>
        <w:t xml:space="preserve"> to operate securely and effectively in a rapidly evolving digital landscape.</w:t>
      </w:r>
    </w:p>
    <w:p w14:paraId="4494CB1D" w14:textId="77777777" w:rsidR="00AD25EE" w:rsidRPr="00EF41FB" w:rsidRDefault="00AD25EE" w:rsidP="00AD25EE">
      <w:pPr>
        <w:rPr>
          <w:rFonts w:ascii="Arial" w:hAnsi="Arial" w:cs="Arial"/>
          <w:sz w:val="24"/>
          <w:szCs w:val="24"/>
        </w:rPr>
      </w:pPr>
    </w:p>
    <w:p w14:paraId="1B40E025" w14:textId="77777777" w:rsidR="00AD25EE" w:rsidRPr="00EF41FB" w:rsidRDefault="00AD25EE" w:rsidP="00EF41FB">
      <w:pPr>
        <w:pStyle w:val="Heading1"/>
        <w:rPr>
          <w:rFonts w:ascii="Arial" w:hAnsi="Arial" w:cs="Arial"/>
          <w:b/>
          <w:bCs/>
          <w:sz w:val="24"/>
          <w:szCs w:val="24"/>
        </w:rPr>
      </w:pPr>
      <w:r w:rsidRPr="00EF41FB">
        <w:rPr>
          <w:rFonts w:ascii="Arial" w:hAnsi="Arial" w:cs="Arial"/>
          <w:b/>
          <w:bCs/>
          <w:sz w:val="24"/>
          <w:szCs w:val="24"/>
        </w:rPr>
        <w:t>References (IEEE)</w:t>
      </w:r>
    </w:p>
    <w:p w14:paraId="22E39F4B" w14:textId="77777777" w:rsidR="00AD25EE" w:rsidRPr="00EF41FB" w:rsidRDefault="00AD25EE" w:rsidP="00AD25EE">
      <w:pPr>
        <w:rPr>
          <w:rFonts w:ascii="Arial" w:hAnsi="Arial" w:cs="Arial"/>
          <w:sz w:val="24"/>
          <w:szCs w:val="24"/>
        </w:rPr>
      </w:pPr>
      <w:r w:rsidRPr="00EF41FB">
        <w:rPr>
          <w:rFonts w:ascii="Arial" w:hAnsi="Arial" w:cs="Arial"/>
          <w:sz w:val="24"/>
          <w:szCs w:val="24"/>
        </w:rPr>
        <w:t xml:space="preserve">[1] S. Rose et al., </w:t>
      </w:r>
      <w:r w:rsidRPr="00EF41FB">
        <w:rPr>
          <w:rFonts w:ascii="Arial" w:hAnsi="Arial" w:cs="Arial"/>
          <w:i/>
          <w:iCs/>
          <w:sz w:val="24"/>
          <w:szCs w:val="24"/>
        </w:rPr>
        <w:t>Zero Trust Architecture</w:t>
      </w:r>
      <w:r w:rsidRPr="00EF41FB">
        <w:rPr>
          <w:rFonts w:ascii="Arial" w:hAnsi="Arial" w:cs="Arial"/>
          <w:sz w:val="24"/>
          <w:szCs w:val="24"/>
        </w:rPr>
        <w:t>, NIST SP 800-207, 2020.</w:t>
      </w:r>
      <w:r w:rsidRPr="00EF41FB">
        <w:rPr>
          <w:rFonts w:ascii="Arial" w:hAnsi="Arial" w:cs="Arial"/>
          <w:sz w:val="24"/>
          <w:szCs w:val="24"/>
        </w:rPr>
        <w:br/>
        <w:t xml:space="preserve">[2] NIST, </w:t>
      </w:r>
      <w:r w:rsidRPr="00EF41FB">
        <w:rPr>
          <w:rFonts w:ascii="Arial" w:hAnsi="Arial" w:cs="Arial"/>
          <w:i/>
          <w:iCs/>
          <w:sz w:val="24"/>
          <w:szCs w:val="24"/>
        </w:rPr>
        <w:t>Digital Identity Guidelines</w:t>
      </w:r>
      <w:r w:rsidRPr="00EF41FB">
        <w:rPr>
          <w:rFonts w:ascii="Arial" w:hAnsi="Arial" w:cs="Arial"/>
          <w:sz w:val="24"/>
          <w:szCs w:val="24"/>
        </w:rPr>
        <w:t>, SP 800-63-3, 2017.</w:t>
      </w:r>
      <w:r w:rsidRPr="00EF41FB">
        <w:rPr>
          <w:rFonts w:ascii="Arial" w:hAnsi="Arial" w:cs="Arial"/>
          <w:sz w:val="24"/>
          <w:szCs w:val="24"/>
        </w:rPr>
        <w:br/>
        <w:t xml:space="preserve">[3] European Commission, </w:t>
      </w:r>
      <w:r w:rsidRPr="00EF41FB">
        <w:rPr>
          <w:rFonts w:ascii="Arial" w:hAnsi="Arial" w:cs="Arial"/>
          <w:i/>
          <w:iCs/>
          <w:sz w:val="24"/>
          <w:szCs w:val="24"/>
        </w:rPr>
        <w:t>Digital Operational Resilience Act (DORA)</w:t>
      </w:r>
      <w:r w:rsidRPr="00EF41FB">
        <w:rPr>
          <w:rFonts w:ascii="Arial" w:hAnsi="Arial" w:cs="Arial"/>
          <w:sz w:val="24"/>
          <w:szCs w:val="24"/>
        </w:rPr>
        <w:t>, 2022.</w:t>
      </w:r>
      <w:r w:rsidRPr="00EF41FB">
        <w:rPr>
          <w:rFonts w:ascii="Arial" w:hAnsi="Arial" w:cs="Arial"/>
          <w:sz w:val="24"/>
          <w:szCs w:val="24"/>
        </w:rPr>
        <w:br/>
        <w:t xml:space="preserve">[4] European Union, </w:t>
      </w:r>
      <w:r w:rsidRPr="00EF41FB">
        <w:rPr>
          <w:rFonts w:ascii="Arial" w:hAnsi="Arial" w:cs="Arial"/>
          <w:i/>
          <w:iCs/>
          <w:sz w:val="24"/>
          <w:szCs w:val="24"/>
        </w:rPr>
        <w:t>NIS2 Directive</w:t>
      </w:r>
      <w:r w:rsidRPr="00EF41FB">
        <w:rPr>
          <w:rFonts w:ascii="Arial" w:hAnsi="Arial" w:cs="Arial"/>
          <w:sz w:val="24"/>
          <w:szCs w:val="24"/>
        </w:rPr>
        <w:t>, 2022.</w:t>
      </w:r>
      <w:r w:rsidRPr="00EF41FB">
        <w:rPr>
          <w:rFonts w:ascii="Arial" w:hAnsi="Arial" w:cs="Arial"/>
          <w:sz w:val="24"/>
          <w:szCs w:val="24"/>
        </w:rPr>
        <w:br/>
        <w:t xml:space="preserve">[5] P. Gilman and D. Barth, </w:t>
      </w:r>
      <w:r w:rsidRPr="00EF41FB">
        <w:rPr>
          <w:rFonts w:ascii="Arial" w:hAnsi="Arial" w:cs="Arial"/>
          <w:i/>
          <w:iCs/>
          <w:sz w:val="24"/>
          <w:szCs w:val="24"/>
        </w:rPr>
        <w:t>Zero Trust Networks</w:t>
      </w:r>
      <w:r w:rsidRPr="00EF41FB">
        <w:rPr>
          <w:rFonts w:ascii="Arial" w:hAnsi="Arial" w:cs="Arial"/>
          <w:sz w:val="24"/>
          <w:szCs w:val="24"/>
        </w:rPr>
        <w:t>, O’Reilly, 2017.</w:t>
      </w:r>
      <w:r w:rsidRPr="00EF41FB">
        <w:rPr>
          <w:rFonts w:ascii="Arial" w:hAnsi="Arial" w:cs="Arial"/>
          <w:sz w:val="24"/>
          <w:szCs w:val="24"/>
        </w:rPr>
        <w:br/>
        <w:t xml:space="preserve">[6] ENISA, </w:t>
      </w:r>
      <w:r w:rsidRPr="00EF41FB">
        <w:rPr>
          <w:rFonts w:ascii="Arial" w:hAnsi="Arial" w:cs="Arial"/>
          <w:i/>
          <w:iCs/>
          <w:sz w:val="24"/>
          <w:szCs w:val="24"/>
        </w:rPr>
        <w:t>Supply Chain Attacks Report</w:t>
      </w:r>
      <w:r w:rsidRPr="00EF41FB">
        <w:rPr>
          <w:rFonts w:ascii="Arial" w:hAnsi="Arial" w:cs="Arial"/>
          <w:sz w:val="24"/>
          <w:szCs w:val="24"/>
        </w:rPr>
        <w:t>, 2021.</w:t>
      </w:r>
      <w:r w:rsidRPr="00EF41FB">
        <w:rPr>
          <w:rFonts w:ascii="Arial" w:hAnsi="Arial" w:cs="Arial"/>
          <w:sz w:val="24"/>
          <w:szCs w:val="24"/>
        </w:rPr>
        <w:br/>
        <w:t>[7] R. Sandhu et al., “Role-Based Access Control Models,” IEEE Computer, 1996.</w:t>
      </w:r>
      <w:r w:rsidRPr="00EF41FB">
        <w:rPr>
          <w:rFonts w:ascii="Arial" w:hAnsi="Arial" w:cs="Arial"/>
          <w:sz w:val="24"/>
          <w:szCs w:val="24"/>
        </w:rPr>
        <w:br/>
        <w:t xml:space="preserve">[8] A. </w:t>
      </w:r>
      <w:proofErr w:type="spellStart"/>
      <w:r w:rsidRPr="00EF41FB">
        <w:rPr>
          <w:rFonts w:ascii="Arial" w:hAnsi="Arial" w:cs="Arial"/>
          <w:sz w:val="24"/>
          <w:szCs w:val="24"/>
        </w:rPr>
        <w:t>Ometov</w:t>
      </w:r>
      <w:proofErr w:type="spellEnd"/>
      <w:r w:rsidRPr="00EF41FB">
        <w:rPr>
          <w:rFonts w:ascii="Arial" w:hAnsi="Arial" w:cs="Arial"/>
          <w:sz w:val="24"/>
          <w:szCs w:val="24"/>
        </w:rPr>
        <w:t xml:space="preserve"> et al., “Multi-Factor Authentication: A Survey,” IEEE Access, 2018.</w:t>
      </w:r>
    </w:p>
    <w:p w14:paraId="068C84F7" w14:textId="77777777" w:rsidR="00AD25EE" w:rsidRPr="00EF41FB" w:rsidRDefault="00AD25EE" w:rsidP="00AD25EE">
      <w:pPr>
        <w:rPr>
          <w:rFonts w:ascii="Arial" w:hAnsi="Arial" w:cs="Arial"/>
          <w:sz w:val="24"/>
          <w:szCs w:val="24"/>
        </w:rPr>
      </w:pPr>
    </w:p>
    <w:p w14:paraId="04661047" w14:textId="77777777" w:rsidR="00AD25EE" w:rsidRPr="00EF41FB" w:rsidRDefault="00AD25EE" w:rsidP="00AD25EE">
      <w:pPr>
        <w:jc w:val="both"/>
        <w:rPr>
          <w:rFonts w:ascii="Arial" w:hAnsi="Arial" w:cs="Arial"/>
          <w:sz w:val="24"/>
          <w:szCs w:val="24"/>
        </w:rPr>
      </w:pPr>
    </w:p>
    <w:p w14:paraId="0E893590" w14:textId="77777777" w:rsidR="00B97197" w:rsidRPr="00EF41FB" w:rsidRDefault="00B97197" w:rsidP="00B97197">
      <w:pPr>
        <w:rPr>
          <w:rFonts w:ascii="Arial" w:hAnsi="Arial" w:cs="Arial"/>
          <w:sz w:val="24"/>
          <w:szCs w:val="24"/>
        </w:rPr>
      </w:pPr>
    </w:p>
    <w:p w14:paraId="67EFA0E2" w14:textId="77777777" w:rsidR="00B97197" w:rsidRPr="00EF41FB" w:rsidRDefault="00B97197" w:rsidP="00B97197">
      <w:pPr>
        <w:rPr>
          <w:rFonts w:ascii="Arial" w:hAnsi="Arial" w:cs="Arial"/>
          <w:sz w:val="24"/>
          <w:szCs w:val="24"/>
        </w:rPr>
      </w:pPr>
    </w:p>
    <w:p w14:paraId="018A21D4" w14:textId="77777777" w:rsidR="00B97197" w:rsidRPr="00EF41FB" w:rsidRDefault="00B97197" w:rsidP="00B97197">
      <w:pPr>
        <w:jc w:val="both"/>
        <w:rPr>
          <w:rFonts w:ascii="Arial" w:hAnsi="Arial" w:cs="Arial"/>
          <w:sz w:val="24"/>
          <w:szCs w:val="24"/>
        </w:rPr>
      </w:pPr>
    </w:p>
    <w:p w14:paraId="49947C7A" w14:textId="77777777" w:rsidR="00B97197" w:rsidRPr="00EF41FB" w:rsidRDefault="00B97197" w:rsidP="00B97197">
      <w:pPr>
        <w:rPr>
          <w:rFonts w:ascii="Arial" w:hAnsi="Arial" w:cs="Arial"/>
          <w:sz w:val="24"/>
          <w:szCs w:val="24"/>
        </w:rPr>
      </w:pPr>
    </w:p>
    <w:p w14:paraId="26012309" w14:textId="77777777" w:rsidR="00B97197" w:rsidRPr="00AD25EE" w:rsidRDefault="00B97197" w:rsidP="00B97197">
      <w:pPr>
        <w:jc w:val="both"/>
        <w:rPr>
          <w:rFonts w:ascii="Arial" w:hAnsi="Arial" w:cs="Arial"/>
          <w:sz w:val="24"/>
          <w:szCs w:val="24"/>
        </w:rPr>
      </w:pPr>
    </w:p>
    <w:p w14:paraId="62626226" w14:textId="77777777" w:rsidR="00B97197" w:rsidRPr="00AD25EE" w:rsidRDefault="00B97197" w:rsidP="00B97197">
      <w:pPr>
        <w:rPr>
          <w:rFonts w:ascii="Arial" w:hAnsi="Arial" w:cs="Arial"/>
          <w:sz w:val="24"/>
          <w:szCs w:val="24"/>
        </w:rPr>
      </w:pPr>
    </w:p>
    <w:p w14:paraId="0A0D14CA" w14:textId="77777777" w:rsidR="00B97197" w:rsidRPr="00AD25EE" w:rsidRDefault="00B97197" w:rsidP="00B97197">
      <w:pPr>
        <w:pStyle w:val="ListParagraph"/>
        <w:ind w:start="18pt"/>
        <w:jc w:val="both"/>
        <w:rPr>
          <w:rFonts w:ascii="Arial" w:hAnsi="Arial" w:cs="Arial"/>
          <w:sz w:val="24"/>
          <w:szCs w:val="24"/>
        </w:rPr>
      </w:pPr>
    </w:p>
    <w:p w14:paraId="1411651B" w14:textId="77777777" w:rsidR="00B97197" w:rsidRPr="00AD25EE" w:rsidRDefault="00B97197" w:rsidP="009E19AB">
      <w:pPr>
        <w:jc w:val="both"/>
        <w:rPr>
          <w:rFonts w:ascii="Arial" w:hAnsi="Arial" w:cs="Arial"/>
          <w:sz w:val="24"/>
          <w:szCs w:val="24"/>
        </w:rPr>
      </w:pPr>
    </w:p>
    <w:p w14:paraId="06564CF0" w14:textId="77777777" w:rsidR="002C092C" w:rsidRPr="00AD25EE" w:rsidRDefault="002C092C" w:rsidP="009E19AB">
      <w:pPr>
        <w:jc w:val="both"/>
        <w:rPr>
          <w:rFonts w:ascii="Arial" w:hAnsi="Arial" w:cs="Arial"/>
          <w:sz w:val="24"/>
          <w:szCs w:val="24"/>
        </w:rPr>
      </w:pPr>
    </w:p>
    <w:sectPr w:rsidR="002C092C" w:rsidRPr="00AD25EE" w:rsidSect="00C12482">
      <w:type w:val="continuous"/>
      <w:pgSz w:w="595.30pt" w:h="841.90pt" w:code="9"/>
      <w:pgMar w:top="54pt" w:right="45.35pt" w:bottom="72pt" w:left="45.35pt" w:header="36pt" w:footer="36pt" w:gutter="0pt"/>
      <w:cols w:num="2" w:space="18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1495044F" w14:textId="77777777" w:rsidR="00AC699A" w:rsidRDefault="00AC699A" w:rsidP="001A3B3D">
      <w:r>
        <w:separator/>
      </w:r>
    </w:p>
  </w:endnote>
  <w:endnote w:type="continuationSeparator" w:id="0">
    <w:p w14:paraId="424B008D" w14:textId="77777777" w:rsidR="00AC699A" w:rsidRDefault="00AC699A"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200247B" w:usb2="00000009" w:usb3="00000000" w:csb0="000001FF" w:csb1="00000000"/>
  </w:font>
  <w:font w:name="Arial">
    <w:panose1 w:val="020B0604020202020204"/>
    <w:charset w:characterSet="iso-8859-1"/>
    <w:family w:val="swiss"/>
    <w:pitch w:val="variable"/>
    <w:sig w:usb0="E0002EFF" w:usb1="C000785B" w:usb2="00000009" w:usb3="00000000" w:csb0="000001FF" w:csb1="00000000"/>
  </w:font>
  <w:font w:name="Calibri Light">
    <w:panose1 w:val="020F03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9E75918" w14:textId="30968573" w:rsidR="001A3B3D" w:rsidRDefault="001A3B3D" w:rsidP="0056610F">
    <w:pPr>
      <w:pStyle w:val="Footer"/>
      <w:jc w:val="start"/>
      <w:rPr>
        <w:sz w:val="16"/>
        <w:szCs w:val="16"/>
        <w:lang w:val="en-GB"/>
      </w:rPr>
    </w:pPr>
  </w:p>
  <w:p w14:paraId="6AF1CB33" w14:textId="77777777" w:rsidR="0019224A" w:rsidRPr="0019224A" w:rsidRDefault="0019224A" w:rsidP="0056610F">
    <w:pPr>
      <w:pStyle w:val="Footer"/>
      <w:jc w:val="start"/>
      <w:rPr>
        <w:sz w:val="16"/>
        <w:szCs w:val="16"/>
        <w:lang w:val="en-GB"/>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091478E8" w14:textId="77777777" w:rsidR="00AC699A" w:rsidRDefault="00AC699A" w:rsidP="001A3B3D">
      <w:r>
        <w:separator/>
      </w:r>
    </w:p>
  </w:footnote>
  <w:footnote w:type="continuationSeparator" w:id="0">
    <w:p w14:paraId="4F123C3F" w14:textId="77777777" w:rsidR="00AC699A" w:rsidRDefault="00AC699A"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28B25D97"/>
    <w:multiLevelType w:val="multilevel"/>
    <w:tmpl w:val="44C8336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1E5C28E0"/>
    <w:lvl w:ilvl="0">
      <w:start w:val="1"/>
      <w:numFmt w:val="decimal"/>
      <w:lvlText w:val="%1."/>
      <w:lvlJc w:val="start"/>
      <w:pPr>
        <w:ind w:start="18pt" w:hanging="18pt"/>
      </w:pPr>
      <w:rPr>
        <w:rFonts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decimal"/>
      <w:lvlText w:val="%1.%2."/>
      <w:lvlJc w:val="start"/>
      <w:pPr>
        <w:ind w:start="39.60pt" w:hanging="21.60pt"/>
      </w:pPr>
      <w:rPr>
        <w:rFonts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lvlText w:val="%1.%2.%3."/>
      <w:lvlJc w:val="start"/>
      <w:pPr>
        <w:ind w:start="61.20pt" w:hanging="25.20pt"/>
      </w:pPr>
      <w:rPr>
        <w:rFonts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decimal"/>
      <w:lvlText w:val="%1.%2.%3.%4."/>
      <w:lvlJc w:val="start"/>
      <w:pPr>
        <w:ind w:start="86.40pt" w:hanging="32.40pt"/>
      </w:pPr>
      <w:rPr>
        <w:rFonts w:hint="default"/>
        <w:b w:val="0"/>
        <w:bCs w:val="0"/>
        <w:i/>
        <w:iCs/>
        <w:sz w:val="20"/>
        <w:szCs w:val="20"/>
      </w:rPr>
    </w:lvl>
    <w:lvl w:ilvl="4">
      <w:start w:val="1"/>
      <w:numFmt w:val="decimal"/>
      <w:lvlText w:val="%1.%2.%3.%4.%5."/>
      <w:lvlJc w:val="start"/>
      <w:pPr>
        <w:ind w:start="111.60pt" w:hanging="39.60pt"/>
      </w:pPr>
      <w:rPr>
        <w:rFonts w:hint="default"/>
      </w:rPr>
    </w:lvl>
    <w:lvl w:ilvl="5">
      <w:start w:val="1"/>
      <w:numFmt w:val="decimal"/>
      <w:lvlText w:val="%1.%2.%3.%4.%5.%6."/>
      <w:lvlJc w:val="start"/>
      <w:pPr>
        <w:ind w:start="136.80pt" w:hanging="46.80pt"/>
      </w:pPr>
      <w:rPr>
        <w:rFonts w:hint="default"/>
      </w:rPr>
    </w:lvl>
    <w:lvl w:ilvl="6">
      <w:start w:val="1"/>
      <w:numFmt w:val="decimal"/>
      <w:lvlText w:val="%1.%2.%3.%4.%5.%6.%7."/>
      <w:lvlJc w:val="start"/>
      <w:pPr>
        <w:ind w:start="162pt" w:hanging="54pt"/>
      </w:pPr>
      <w:rPr>
        <w:rFonts w:hint="default"/>
      </w:rPr>
    </w:lvl>
    <w:lvl w:ilvl="7">
      <w:start w:val="1"/>
      <w:numFmt w:val="decimal"/>
      <w:lvlText w:val="%1.%2.%3.%4.%5.%6.%7.%8."/>
      <w:lvlJc w:val="start"/>
      <w:pPr>
        <w:ind w:start="187.20pt" w:hanging="61.20pt"/>
      </w:pPr>
      <w:rPr>
        <w:rFonts w:hint="default"/>
      </w:rPr>
    </w:lvl>
    <w:lvl w:ilvl="8">
      <w:start w:val="1"/>
      <w:numFmt w:val="decimal"/>
      <w:lvlText w:val="%1.%2.%3.%4.%5.%6.%7.%8.%9."/>
      <w:lvlJc w:val="start"/>
      <w:pPr>
        <w:ind w:start="216pt" w:hanging="72pt"/>
      </w:pPr>
      <w:rPr>
        <w:rFonts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541D314F"/>
    <w:multiLevelType w:val="multilevel"/>
    <w:tmpl w:val="A12E0CFC"/>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369909383">
    <w:abstractNumId w:val="15"/>
  </w:num>
  <w:num w:numId="2" w16cid:durableId="568543031">
    <w:abstractNumId w:val="21"/>
  </w:num>
  <w:num w:numId="3" w16cid:durableId="1207790780">
    <w:abstractNumId w:val="13"/>
  </w:num>
  <w:num w:numId="4" w16cid:durableId="629168631">
    <w:abstractNumId w:val="17"/>
  </w:num>
  <w:num w:numId="5" w16cid:durableId="1032806882">
    <w:abstractNumId w:val="17"/>
  </w:num>
  <w:num w:numId="6" w16cid:durableId="1614826021">
    <w:abstractNumId w:val="17"/>
  </w:num>
  <w:num w:numId="7" w16cid:durableId="1871990542">
    <w:abstractNumId w:val="17"/>
  </w:num>
  <w:num w:numId="8" w16cid:durableId="2088458160">
    <w:abstractNumId w:val="19"/>
  </w:num>
  <w:num w:numId="9" w16cid:durableId="231694775">
    <w:abstractNumId w:val="22"/>
  </w:num>
  <w:num w:numId="10" w16cid:durableId="2126189682">
    <w:abstractNumId w:val="16"/>
  </w:num>
  <w:num w:numId="11" w16cid:durableId="771515552">
    <w:abstractNumId w:val="12"/>
  </w:num>
  <w:num w:numId="12" w16cid:durableId="1603688421">
    <w:abstractNumId w:val="11"/>
  </w:num>
  <w:num w:numId="13" w16cid:durableId="308025467">
    <w:abstractNumId w:val="0"/>
  </w:num>
  <w:num w:numId="14" w16cid:durableId="915015855">
    <w:abstractNumId w:val="10"/>
  </w:num>
  <w:num w:numId="15" w16cid:durableId="124853704">
    <w:abstractNumId w:val="8"/>
  </w:num>
  <w:num w:numId="16" w16cid:durableId="378433823">
    <w:abstractNumId w:val="7"/>
  </w:num>
  <w:num w:numId="17" w16cid:durableId="178550123">
    <w:abstractNumId w:val="6"/>
  </w:num>
  <w:num w:numId="18" w16cid:durableId="1882938436">
    <w:abstractNumId w:val="5"/>
  </w:num>
  <w:num w:numId="19" w16cid:durableId="1292051459">
    <w:abstractNumId w:val="9"/>
  </w:num>
  <w:num w:numId="20" w16cid:durableId="439644133">
    <w:abstractNumId w:val="4"/>
  </w:num>
  <w:num w:numId="21" w16cid:durableId="277882354">
    <w:abstractNumId w:val="3"/>
  </w:num>
  <w:num w:numId="22" w16cid:durableId="85808594">
    <w:abstractNumId w:val="2"/>
  </w:num>
  <w:num w:numId="23" w16cid:durableId="306714086">
    <w:abstractNumId w:val="1"/>
  </w:num>
  <w:num w:numId="24" w16cid:durableId="276639338">
    <w:abstractNumId w:val="18"/>
  </w:num>
  <w:num w:numId="25" w16cid:durableId="983588053">
    <w:abstractNumId w:val="14"/>
  </w:num>
  <w:num w:numId="26" w16cid:durableId="1189105431">
    <w:abstractNumId w:val="20"/>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8758A"/>
    <w:rsid w:val="000C1E68"/>
    <w:rsid w:val="001354F1"/>
    <w:rsid w:val="0019224A"/>
    <w:rsid w:val="001A2EFD"/>
    <w:rsid w:val="001A3B3D"/>
    <w:rsid w:val="001B67DC"/>
    <w:rsid w:val="001C6C55"/>
    <w:rsid w:val="00214074"/>
    <w:rsid w:val="002254A9"/>
    <w:rsid w:val="00233D97"/>
    <w:rsid w:val="002347A2"/>
    <w:rsid w:val="00237240"/>
    <w:rsid w:val="002850E3"/>
    <w:rsid w:val="002C092C"/>
    <w:rsid w:val="00354FCF"/>
    <w:rsid w:val="003A19E2"/>
    <w:rsid w:val="003B2B40"/>
    <w:rsid w:val="003B4E04"/>
    <w:rsid w:val="003F5A08"/>
    <w:rsid w:val="00420716"/>
    <w:rsid w:val="004325FB"/>
    <w:rsid w:val="004432BA"/>
    <w:rsid w:val="0044407E"/>
    <w:rsid w:val="00447BB9"/>
    <w:rsid w:val="0046031D"/>
    <w:rsid w:val="00473AC9"/>
    <w:rsid w:val="004D72B5"/>
    <w:rsid w:val="00551B7F"/>
    <w:rsid w:val="0056610F"/>
    <w:rsid w:val="00575BCA"/>
    <w:rsid w:val="005B0344"/>
    <w:rsid w:val="005B520E"/>
    <w:rsid w:val="005E2800"/>
    <w:rsid w:val="00605825"/>
    <w:rsid w:val="00645D22"/>
    <w:rsid w:val="00651634"/>
    <w:rsid w:val="00651A08"/>
    <w:rsid w:val="00654204"/>
    <w:rsid w:val="00666374"/>
    <w:rsid w:val="00670434"/>
    <w:rsid w:val="006A5D82"/>
    <w:rsid w:val="006B6B66"/>
    <w:rsid w:val="006F6D3D"/>
    <w:rsid w:val="00715BEA"/>
    <w:rsid w:val="00740EEA"/>
    <w:rsid w:val="00794804"/>
    <w:rsid w:val="007B33F1"/>
    <w:rsid w:val="007B6DDA"/>
    <w:rsid w:val="007C0308"/>
    <w:rsid w:val="007C2FF2"/>
    <w:rsid w:val="007D6232"/>
    <w:rsid w:val="007F1F99"/>
    <w:rsid w:val="007F768F"/>
    <w:rsid w:val="0080791D"/>
    <w:rsid w:val="008147B5"/>
    <w:rsid w:val="00816D3B"/>
    <w:rsid w:val="00836367"/>
    <w:rsid w:val="00873603"/>
    <w:rsid w:val="008A2C7D"/>
    <w:rsid w:val="008B6524"/>
    <w:rsid w:val="008C4B23"/>
    <w:rsid w:val="008F6E2C"/>
    <w:rsid w:val="009303D9"/>
    <w:rsid w:val="00933C64"/>
    <w:rsid w:val="00972203"/>
    <w:rsid w:val="009E19AB"/>
    <w:rsid w:val="009F1D79"/>
    <w:rsid w:val="00A059B3"/>
    <w:rsid w:val="00AC699A"/>
    <w:rsid w:val="00AD25EE"/>
    <w:rsid w:val="00AE3409"/>
    <w:rsid w:val="00B11A60"/>
    <w:rsid w:val="00B22613"/>
    <w:rsid w:val="00B44A76"/>
    <w:rsid w:val="00B768D1"/>
    <w:rsid w:val="00B97197"/>
    <w:rsid w:val="00BA1025"/>
    <w:rsid w:val="00BC3420"/>
    <w:rsid w:val="00BD670B"/>
    <w:rsid w:val="00BE7D3C"/>
    <w:rsid w:val="00BF5FF6"/>
    <w:rsid w:val="00C0207F"/>
    <w:rsid w:val="00C12482"/>
    <w:rsid w:val="00C16117"/>
    <w:rsid w:val="00C20838"/>
    <w:rsid w:val="00C3075A"/>
    <w:rsid w:val="00C919A4"/>
    <w:rsid w:val="00CA4392"/>
    <w:rsid w:val="00CC393F"/>
    <w:rsid w:val="00CD4501"/>
    <w:rsid w:val="00D2176E"/>
    <w:rsid w:val="00D632BE"/>
    <w:rsid w:val="00D72D06"/>
    <w:rsid w:val="00D7522C"/>
    <w:rsid w:val="00D7536F"/>
    <w:rsid w:val="00D76668"/>
    <w:rsid w:val="00E07383"/>
    <w:rsid w:val="00E165BC"/>
    <w:rsid w:val="00E61E12"/>
    <w:rsid w:val="00E7596C"/>
    <w:rsid w:val="00E878F2"/>
    <w:rsid w:val="00ED0149"/>
    <w:rsid w:val="00EF41FB"/>
    <w:rsid w:val="00EF7DE3"/>
    <w:rsid w:val="00F03103"/>
    <w:rsid w:val="00F271DE"/>
    <w:rsid w:val="00F627DA"/>
    <w:rsid w:val="00F7288F"/>
    <w:rsid w:val="00F847A6"/>
    <w:rsid w:val="00F9441B"/>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CE0A2271-2611-4E66-88A9-B27B9B124B0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caption" w:semiHidden="1" w:unhideWhenUsed="1" w:qFormat="1"/>
    <w:lsdException w:name="annotation reference" w:uiPriority="99"/>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spacing w:before="6pt" w:after="3pt"/>
      <w:jc w:val="start"/>
      <w:outlineLvl w:val="1"/>
    </w:pPr>
    <w:rPr>
      <w:i/>
      <w:iCs/>
      <w:noProof/>
    </w:rPr>
  </w:style>
  <w:style w:type="paragraph" w:styleId="Heading3">
    <w:name w:val="heading 3"/>
    <w:basedOn w:val="Normal"/>
    <w:next w:val="Normal"/>
    <w:qFormat/>
    <w:rsid w:val="00794804"/>
    <w:pPr>
      <w:spacing w:line="12pt" w:lineRule="exact"/>
      <w:jc w:val="both"/>
      <w:outlineLvl w:val="2"/>
    </w:pPr>
    <w:rPr>
      <w:i/>
      <w:iCs/>
      <w:noProof/>
    </w:rPr>
  </w:style>
  <w:style w:type="paragraph" w:styleId="Heading4">
    <w:name w:val="heading 4"/>
    <w:basedOn w:val="Normal"/>
    <w:next w:val="Normal"/>
    <w:qFormat/>
    <w:rsid w:val="00794804"/>
    <w:pPr>
      <w:tabs>
        <w:tab w:val="start" w:pos="36pt"/>
      </w:tabs>
      <w:spacing w:before="2pt" w:after="2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ListParagraph">
    <w:name w:val="List Paragraph"/>
    <w:basedOn w:val="Normal"/>
    <w:uiPriority w:val="34"/>
    <w:qFormat/>
    <w:rsid w:val="00666374"/>
    <w:pPr>
      <w:ind w:start="36pt"/>
      <w:contextualSpacing/>
    </w:pPr>
  </w:style>
  <w:style w:type="character" w:styleId="CommentReference">
    <w:name w:val="annotation reference"/>
    <w:basedOn w:val="DefaultParagraphFont"/>
    <w:uiPriority w:val="99"/>
    <w:unhideWhenUsed/>
    <w:rsid w:val="00B97197"/>
    <w:rPr>
      <w:sz w:val="16"/>
      <w:szCs w:val="16"/>
    </w:rPr>
  </w:style>
  <w:style w:type="paragraph" w:styleId="CommentText">
    <w:name w:val="annotation text"/>
    <w:basedOn w:val="Normal"/>
    <w:link w:val="CommentTextChar"/>
    <w:uiPriority w:val="99"/>
    <w:unhideWhenUsed/>
    <w:rsid w:val="00B97197"/>
    <w:pPr>
      <w:spacing w:after="8pt"/>
      <w:jc w:val="start"/>
    </w:pPr>
    <w:rPr>
      <w:rFonts w:asciiTheme="minorHAnsi" w:eastAsiaTheme="minorHAnsi" w:hAnsiTheme="minorHAnsi" w:cstheme="minorBidi"/>
      <w:kern w:val="2"/>
      <w:lang w:val="en-GB"/>
      <w14:ligatures w14:val="standardContextual"/>
    </w:rPr>
  </w:style>
  <w:style w:type="character" w:customStyle="1" w:styleId="CommentTextChar">
    <w:name w:val="Comment Text Char"/>
    <w:basedOn w:val="DefaultParagraphFont"/>
    <w:link w:val="CommentText"/>
    <w:uiPriority w:val="99"/>
    <w:rsid w:val="00B97197"/>
    <w:rPr>
      <w:rFonts w:asciiTheme="minorHAnsi" w:eastAsiaTheme="minorHAnsi" w:hAnsiTheme="minorHAnsi" w:cstheme="minorBidi"/>
      <w:kern w:val="2"/>
      <w:lang w:val="en-GB"/>
      <w14:ligatures w14:val="standardContextual"/>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image" Target="media/image5.png"/><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jpeg"/><Relationship Id="rId5" Type="http://purl.oclc.org/ooxml/officeDocument/relationships/webSettings" Target="webSettings.xml"/><Relationship Id="rId15" Type="http://purl.oclc.org/ooxml/officeDocument/relationships/theme" Target="theme/theme1.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jpeg"/><Relationship Id="rId14" Type="http://purl.oclc.org/ooxml/officeDocument/relationships/fontTable" Target="fontTable.xm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123</TotalTime>
  <Pages>12</Pages>
  <Words>5152</Words>
  <Characters>29372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dc:description/>
  <cp:lastModifiedBy>Radu Boros</cp:lastModifiedBy>
  <cp:revision>4</cp:revision>
  <dcterms:created xsi:type="dcterms:W3CDTF">2024-07-16T13:42:00Z</dcterms:created>
  <dcterms:modified xsi:type="dcterms:W3CDTF">2026-04-06T19:50:00Z</dcterms:modified>
</cp:coreProperties>
</file>