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1FEE4B" w14:textId="77777777" w:rsidR="00DC2468" w:rsidRPr="00010573" w:rsidRDefault="00DC2468" w:rsidP="00DC2468">
      <w:pPr>
        <w:spacing w:line="276" w:lineRule="auto"/>
        <w:rPr>
          <w:lang w:eastAsia="en-GB"/>
        </w:rPr>
      </w:pPr>
      <w:r w:rsidRPr="00010573">
        <w:rPr>
          <w:lang w:eastAsia="en-GB"/>
        </w:rPr>
        <w:t>BMPE6001.</w:t>
      </w:r>
    </w:p>
    <w:p w14:paraId="5E0581B2" w14:textId="77777777" w:rsidR="00DC2468" w:rsidRPr="00010573" w:rsidRDefault="00DC2468" w:rsidP="00DC2468">
      <w:pPr>
        <w:spacing w:line="276" w:lineRule="auto"/>
        <w:rPr>
          <w:lang w:eastAsia="en-GB"/>
        </w:rPr>
      </w:pPr>
      <w:r w:rsidRPr="00010573">
        <w:rPr>
          <w:lang w:eastAsia="en-GB"/>
        </w:rPr>
        <w:t>2204294.</w:t>
      </w:r>
    </w:p>
    <w:p w14:paraId="144D6A53" w14:textId="77777777" w:rsidR="00DC2468" w:rsidRPr="00010573" w:rsidRDefault="00DC2468" w:rsidP="00DC2468">
      <w:pPr>
        <w:spacing w:line="276" w:lineRule="auto"/>
        <w:rPr>
          <w:lang w:eastAsia="en-GB"/>
        </w:rPr>
      </w:pPr>
      <w:r w:rsidRPr="00010573">
        <w:rPr>
          <w:lang w:eastAsia="en-GB"/>
        </w:rPr>
        <w:t>Harry Butcher.</w:t>
      </w:r>
    </w:p>
    <w:p w14:paraId="78F4B1C3" w14:textId="77777777" w:rsidR="00DC2468" w:rsidRPr="00A46A09" w:rsidRDefault="00DC2468" w:rsidP="00DC2468">
      <w:pPr>
        <w:spacing w:line="276" w:lineRule="auto"/>
        <w:rPr>
          <w:lang w:eastAsia="en-GB"/>
        </w:rPr>
      </w:pPr>
      <w:r w:rsidRPr="00A46A09">
        <w:rPr>
          <w:lang w:eastAsia="en-GB"/>
        </w:rPr>
        <w:t>Designing, Applying and Critically Evaluating an Inclusive Physical Literacy Observation Rubric in Primary Physical Education (Ages 9–11)</w:t>
      </w:r>
    </w:p>
    <w:p w14:paraId="7207FD64" w14:textId="087857F6" w:rsidR="00865E56" w:rsidRPr="00865E56" w:rsidRDefault="00865E56" w:rsidP="00865E56">
      <w:pPr>
        <w:spacing w:line="276" w:lineRule="auto"/>
        <w:rPr>
          <w:lang w:eastAsia="en-GB"/>
        </w:rPr>
      </w:pPr>
      <w:r w:rsidRPr="00865E56">
        <w:rPr>
          <w:lang w:eastAsia="en-GB"/>
        </w:rPr>
        <w:t>Introduction</w:t>
      </w:r>
    </w:p>
    <w:p w14:paraId="3790E2FC" w14:textId="77777777" w:rsidR="00865E56" w:rsidRPr="00865E56" w:rsidRDefault="00865E56" w:rsidP="00865E56">
      <w:pPr>
        <w:spacing w:line="276" w:lineRule="auto"/>
        <w:rPr>
          <w:lang w:eastAsia="en-GB"/>
        </w:rPr>
      </w:pPr>
      <w:r w:rsidRPr="00865E56">
        <w:rPr>
          <w:lang w:eastAsia="en-GB"/>
        </w:rPr>
        <w:t>Traditionally, assessment in Physical Education (PE) has focused on sporting performance, technical skills, and physical fitness. While these areas matter in some situations, they do not always capture the full educational value of PE, especially in primary schools. At this stage, PE should help children build confidence, motivation, teamwork, creativity, decision-making, and a lasting interest in movement (Hay and Penney, 2013). If assessments mainly reward those who are already skilled or have sports experience, they can increase inequality and leave out pupils who have less confidence, fewer opportunities, or additional learning needs (Lynch, 2019).</w:t>
      </w:r>
    </w:p>
    <w:p w14:paraId="4C60A88D" w14:textId="48F51BDA" w:rsidR="00865E56" w:rsidRPr="00865E56" w:rsidRDefault="00865E56" w:rsidP="00865E56">
      <w:pPr>
        <w:spacing w:line="276" w:lineRule="auto"/>
        <w:rPr>
          <w:lang w:eastAsia="en-GB"/>
        </w:rPr>
      </w:pPr>
      <w:r w:rsidRPr="00865E56">
        <w:rPr>
          <w:lang w:eastAsia="en-GB"/>
        </w:rPr>
        <w:t xml:space="preserve">Contemporary scholarship increasingly challenges these traditional </w:t>
      </w:r>
      <w:r>
        <w:rPr>
          <w:lang w:eastAsia="en-GB"/>
        </w:rPr>
        <w:t xml:space="preserve">ways of assessing PE. </w:t>
      </w:r>
      <w:r w:rsidRPr="00865E56">
        <w:rPr>
          <w:lang w:eastAsia="en-GB"/>
        </w:rPr>
        <w:t xml:space="preserve">Recent research questions these traditional ways of assessing PE. Instead of seeing PE </w:t>
      </w:r>
      <w:r>
        <w:rPr>
          <w:lang w:eastAsia="en-GB"/>
        </w:rPr>
        <w:t>sole</w:t>
      </w:r>
      <w:r w:rsidRPr="00865E56">
        <w:rPr>
          <w:lang w:eastAsia="en-GB"/>
        </w:rPr>
        <w:t xml:space="preserve">ly </w:t>
      </w:r>
      <w:proofErr w:type="gramStart"/>
      <w:r w:rsidRPr="00865E56">
        <w:rPr>
          <w:lang w:eastAsia="en-GB"/>
        </w:rPr>
        <w:t xml:space="preserve">as a </w:t>
      </w:r>
      <w:r>
        <w:rPr>
          <w:lang w:eastAsia="en-GB"/>
        </w:rPr>
        <w:t>means</w:t>
      </w:r>
      <w:r w:rsidRPr="00865E56">
        <w:rPr>
          <w:lang w:eastAsia="en-GB"/>
        </w:rPr>
        <w:t xml:space="preserve"> to</w:t>
      </w:r>
      <w:proofErr w:type="gramEnd"/>
      <w:r w:rsidRPr="00865E56">
        <w:rPr>
          <w:lang w:eastAsia="en-GB"/>
        </w:rPr>
        <w:t xml:space="preserve"> measure performance, many experts believe it should support physical, mental, emotional, and social learning </w:t>
      </w:r>
      <w:r>
        <w:rPr>
          <w:lang w:eastAsia="en-GB"/>
        </w:rPr>
        <w:t>simultaneously</w:t>
      </w:r>
      <w:r w:rsidRPr="00865E56">
        <w:rPr>
          <w:lang w:eastAsia="en-GB"/>
        </w:rPr>
        <w:t xml:space="preserve"> (Kirk, 2010). This view has increased interest in more holistic assessments that recogni</w:t>
      </w:r>
      <w:r>
        <w:rPr>
          <w:lang w:eastAsia="en-GB"/>
        </w:rPr>
        <w:t>s</w:t>
      </w:r>
      <w:r w:rsidRPr="00865E56">
        <w:rPr>
          <w:lang w:eastAsia="en-GB"/>
        </w:rPr>
        <w:t xml:space="preserve">e a wider range of learning. One key idea is physical literacy, which means having the motivation, confidence, skills, knowledge, and understanding to value and take responsibility for being active throughout life (Whitehead, 2010). This approach is especially important in primary schools, where early movement experiences may shape future habits and self-image (Barnett et al., 2008). </w:t>
      </w:r>
      <w:r>
        <w:rPr>
          <w:lang w:eastAsia="en-GB"/>
        </w:rPr>
        <w:t>The c</w:t>
      </w:r>
      <w:r w:rsidRPr="00865E56">
        <w:rPr>
          <w:lang w:eastAsia="en-GB"/>
        </w:rPr>
        <w:t xml:space="preserve">urriculum focuses on Health and Well-being, </w:t>
      </w:r>
      <w:r>
        <w:rPr>
          <w:lang w:eastAsia="en-GB"/>
        </w:rPr>
        <w:t>aim</w:t>
      </w:r>
      <w:r w:rsidRPr="00865E56">
        <w:rPr>
          <w:lang w:eastAsia="en-GB"/>
        </w:rPr>
        <w:t>ing to develop healthy, confident individuals (Welsh Government, 2022). PE’s role stretches beyond game performance and competence. Sport Wales also promotes inclusive participation, enjoyment and lifelong engagement for young people (Sport Wales, 2022).</w:t>
      </w:r>
    </w:p>
    <w:p w14:paraId="332EFC3F" w14:textId="5E2D846B" w:rsidR="00865E56" w:rsidRPr="00865E56" w:rsidRDefault="00865E56" w:rsidP="00865E56">
      <w:pPr>
        <w:spacing w:line="276" w:lineRule="auto"/>
        <w:rPr>
          <w:lang w:eastAsia="en-GB"/>
        </w:rPr>
      </w:pPr>
      <w:r w:rsidRPr="00865E56">
        <w:rPr>
          <w:lang w:eastAsia="en-GB"/>
        </w:rPr>
        <w:t xml:space="preserve">Because of these changes, there is a real need for </w:t>
      </w:r>
      <w:r>
        <w:rPr>
          <w:lang w:eastAsia="en-GB"/>
        </w:rPr>
        <w:t>fair,</w:t>
      </w:r>
      <w:r w:rsidRPr="00865E56">
        <w:rPr>
          <w:lang w:eastAsia="en-GB"/>
        </w:rPr>
        <w:t xml:space="preserve"> well-researched assessment tools that </w:t>
      </w:r>
      <w:r>
        <w:rPr>
          <w:lang w:eastAsia="en-GB"/>
        </w:rPr>
        <w:t>align wit</w:t>
      </w:r>
      <w:r w:rsidRPr="00865E56">
        <w:rPr>
          <w:lang w:eastAsia="en-GB"/>
        </w:rPr>
        <w:t>h today’s educational values. This portfolio responds to that need by creating, using, and reviewing a Physical Literacy Observation Rubric for pupils aged 9 to 11. The rubric uses the SOLO taxonomy (Biggs and Collis, 1982) to show progress from hesitant participation to more confident, thoughtful, and responsible movement.</w:t>
      </w:r>
    </w:p>
    <w:p w14:paraId="2C8FBA41" w14:textId="118FC844" w:rsidR="00865E56" w:rsidRPr="00865E56" w:rsidRDefault="00865E56" w:rsidP="00865E56">
      <w:pPr>
        <w:spacing w:line="276" w:lineRule="auto"/>
        <w:rPr>
          <w:lang w:eastAsia="en-GB"/>
        </w:rPr>
      </w:pPr>
      <w:r w:rsidRPr="00865E56">
        <w:rPr>
          <w:lang w:eastAsia="en-GB"/>
        </w:rPr>
        <w:t>This portfolio has four main sections. First, it explains why the rubric was created. Next, it describes how the rubric was designed. Then it shows how the tool was used in a PE lesson and discusses peer</w:t>
      </w:r>
      <w:r>
        <w:rPr>
          <w:lang w:eastAsia="en-GB"/>
        </w:rPr>
        <w:t xml:space="preserve"> feedback</w:t>
      </w:r>
      <w:r w:rsidRPr="00865E56">
        <w:rPr>
          <w:lang w:eastAsia="en-GB"/>
        </w:rPr>
        <w:t xml:space="preserve">. Finally, it </w:t>
      </w:r>
      <w:r>
        <w:rPr>
          <w:lang w:eastAsia="en-GB"/>
        </w:rPr>
        <w:t>examines</w:t>
      </w:r>
      <w:r w:rsidRPr="00865E56">
        <w:rPr>
          <w:lang w:eastAsia="en-GB"/>
        </w:rPr>
        <w:t xml:space="preserve"> the strengths, weaknesses, and po</w:t>
      </w:r>
      <w:r>
        <w:rPr>
          <w:lang w:eastAsia="en-GB"/>
        </w:rPr>
        <w:t>tential</w:t>
      </w:r>
      <w:r w:rsidRPr="00865E56">
        <w:rPr>
          <w:lang w:eastAsia="en-GB"/>
        </w:rPr>
        <w:t xml:space="preserve"> improvements </w:t>
      </w:r>
      <w:r>
        <w:rPr>
          <w:lang w:eastAsia="en-GB"/>
        </w:rPr>
        <w:t>to</w:t>
      </w:r>
      <w:r w:rsidRPr="00865E56">
        <w:rPr>
          <w:lang w:eastAsia="en-GB"/>
        </w:rPr>
        <w:t xml:space="preserve"> the assessment process. Overall, the assignment suggests that a well-designed observation rubric based on physical literacy can be a </w:t>
      </w:r>
      <w:r w:rsidRPr="00865E56">
        <w:rPr>
          <w:lang w:eastAsia="en-GB"/>
        </w:rPr>
        <w:lastRenderedPageBreak/>
        <w:t>valuable alternative to traditional, performance-focused assessment in Welsh primary PE.</w:t>
      </w:r>
    </w:p>
    <w:p w14:paraId="20E92063" w14:textId="77777777" w:rsidR="00865E56" w:rsidRPr="00865E56" w:rsidRDefault="00865E56" w:rsidP="00865E56">
      <w:pPr>
        <w:spacing w:line="276" w:lineRule="auto"/>
        <w:rPr>
          <w:lang w:eastAsia="en-GB"/>
        </w:rPr>
      </w:pPr>
      <w:r w:rsidRPr="00865E56">
        <w:rPr>
          <w:lang w:eastAsia="en-GB"/>
        </w:rPr>
        <w:t>Part 1: Rationale Underpinning the Creation of the Rubric</w:t>
      </w:r>
    </w:p>
    <w:p w14:paraId="2A8C4876" w14:textId="77777777" w:rsidR="00865E56" w:rsidRPr="00865E56" w:rsidRDefault="00865E56" w:rsidP="00865E56">
      <w:pPr>
        <w:spacing w:line="276" w:lineRule="auto"/>
        <w:rPr>
          <w:lang w:eastAsia="en-GB"/>
        </w:rPr>
      </w:pPr>
      <w:r w:rsidRPr="00865E56">
        <w:rPr>
          <w:lang w:eastAsia="en-GB"/>
        </w:rPr>
        <w:t>A key challenge in PE assessment concerns deciding what forms of learning should be valued. Historically, school PE has often privileged outcomes that are easy to measure, such as speed, strength, endurance, technique or game success. While these indicators may appear objective, they represent only a partial account of learning and can distort the educational purposes of the subject (Hay and Penney, 2013). A pupil may not be the fastest runner or most skilful player, yet may demonstrate persistence, game intelligence, communication skills or increasing confidence. If assessment systems fail to recognise such achievements, then important learning remains invisible.</w:t>
      </w:r>
    </w:p>
    <w:p w14:paraId="62C4B02E" w14:textId="77777777" w:rsidR="00865E56" w:rsidRPr="00865E56" w:rsidRDefault="00865E56" w:rsidP="00865E56">
      <w:pPr>
        <w:spacing w:line="276" w:lineRule="auto"/>
        <w:rPr>
          <w:lang w:eastAsia="en-GB"/>
        </w:rPr>
      </w:pPr>
      <w:r w:rsidRPr="00865E56">
        <w:rPr>
          <w:lang w:eastAsia="en-GB"/>
        </w:rPr>
        <w:t>This issue is especially significant in primary education. Children aged nine to eleven are still developing identities as learners and movers, and their confidence can be strongly influenced by repeated experiences of success or failure. Barnett et al. (2008) found that childhood motor competence was associated with later physical activity participation, suggesting that early movement experiences may have lasting consequences. Lubans et al. (2010) similarly argue that enjoyment, perceived competence and positive engagement are significant predictors of continued participation. Assessment in PE, therefore, has implications that reach past immediate lesson outcomes.</w:t>
      </w:r>
    </w:p>
    <w:p w14:paraId="2EA7C255" w14:textId="23737260" w:rsidR="00865E56" w:rsidRPr="00865E56" w:rsidRDefault="00865E56" w:rsidP="00865E56">
      <w:pPr>
        <w:spacing w:line="276" w:lineRule="auto"/>
        <w:rPr>
          <w:lang w:eastAsia="en-GB"/>
        </w:rPr>
      </w:pPr>
      <w:r w:rsidRPr="00865E56">
        <w:rPr>
          <w:lang w:eastAsia="en-GB"/>
        </w:rPr>
        <w:t xml:space="preserve">For these reasons, physical literacy was selected as the conceptual foundation of the rubric. Whitehead (2010) defines physical literacy as the motivation, confidence, physical competence, knowledge and understanding to value and take responsibility for physical activity across the life course. This definition is important because it positions movement participation as multidimensional. Technical skill </w:t>
      </w:r>
      <w:r>
        <w:rPr>
          <w:lang w:eastAsia="en-GB"/>
        </w:rPr>
        <w:t>remains</w:t>
      </w:r>
      <w:r w:rsidRPr="00865E56">
        <w:rPr>
          <w:lang w:eastAsia="en-GB"/>
        </w:rPr>
        <w:t xml:space="preserve"> relevant, but it is inseparable from emotional, cognitive</w:t>
      </w:r>
      <w:r>
        <w:rPr>
          <w:lang w:eastAsia="en-GB"/>
        </w:rPr>
        <w:t>,</w:t>
      </w:r>
      <w:r w:rsidRPr="00865E56">
        <w:rPr>
          <w:lang w:eastAsia="en-GB"/>
        </w:rPr>
        <w:t xml:space="preserve"> and communal factors. A child who possesses competence but lacks confidence may still avoid participation, while a moderately skilled child with strong motivation and steadfastness may remain active and engaged.</w:t>
      </w:r>
    </w:p>
    <w:p w14:paraId="74D706C0" w14:textId="77777777" w:rsidR="00865E56" w:rsidRPr="00865E56" w:rsidRDefault="00865E56" w:rsidP="00865E56">
      <w:pPr>
        <w:spacing w:line="276" w:lineRule="auto"/>
        <w:rPr>
          <w:lang w:eastAsia="en-GB"/>
        </w:rPr>
      </w:pPr>
      <w:r w:rsidRPr="00865E56">
        <w:rPr>
          <w:lang w:eastAsia="en-GB"/>
        </w:rPr>
        <w:t>Physical literacy is also valuable because it offers a more encompassing lens for assessment. Traditional PE assessment can privilege pupils who have access to community sport, supportive family cultures of activity or prior coaching experiences. Children who lack these advantages may be labelled low achievers despite substantial personal progress. Lynch (2019) argues that inclusive PE requires teachers to reconsider narrow definitions of success and to recognise diverse ways of achieving success. Through valuing motivation, teamwork, decision-making and confidence alongside competence, physical literacy broadens what counts as achievement.</w:t>
      </w:r>
    </w:p>
    <w:p w14:paraId="782AE5B6" w14:textId="77777777" w:rsidR="00865E56" w:rsidRPr="00865E56" w:rsidRDefault="00865E56" w:rsidP="00865E56">
      <w:pPr>
        <w:spacing w:line="276" w:lineRule="auto"/>
        <w:rPr>
          <w:lang w:eastAsia="en-GB"/>
        </w:rPr>
      </w:pPr>
      <w:r w:rsidRPr="00865E56">
        <w:rPr>
          <w:lang w:eastAsia="en-GB"/>
        </w:rPr>
        <w:t xml:space="preserve">Within Wales, this perspective corresponds strongly with current educational policy. The Curriculum for Wales identifies the purpose of schooling as developing ambitious, </w:t>
      </w:r>
      <w:r w:rsidRPr="00865E56">
        <w:rPr>
          <w:lang w:eastAsia="en-GB"/>
        </w:rPr>
        <w:lastRenderedPageBreak/>
        <w:t>capable learners; healthy, confident individuals; enterprising, creative contributors; and ethical, informed citizens (Welsh Government, 2022). PE contributes to all four purposes through movement experiences that build resilience, communication, self-awareness and joint effort. It would therefore be inconsistent for PE assessment to focus solely on technical performance.</w:t>
      </w:r>
    </w:p>
    <w:p w14:paraId="20BB81F6" w14:textId="7817B5AA" w:rsidR="00865E56" w:rsidRPr="00865E56" w:rsidRDefault="00865E56" w:rsidP="00865E56">
      <w:pPr>
        <w:spacing w:line="276" w:lineRule="auto"/>
        <w:rPr>
          <w:lang w:eastAsia="en-GB"/>
        </w:rPr>
      </w:pPr>
      <w:r w:rsidRPr="00865E56">
        <w:rPr>
          <w:lang w:eastAsia="en-GB"/>
        </w:rPr>
        <w:t>Observation was selected as the primary method of assessment because PE learning is practical, embodied</w:t>
      </w:r>
      <w:r>
        <w:rPr>
          <w:lang w:eastAsia="en-GB"/>
        </w:rPr>
        <w:t>,</w:t>
      </w:r>
      <w:r w:rsidRPr="00865E56">
        <w:rPr>
          <w:lang w:eastAsia="en-GB"/>
        </w:rPr>
        <w:t xml:space="preserve"> and </w:t>
      </w:r>
      <w:proofErr w:type="gramStart"/>
      <w:r w:rsidRPr="00865E56">
        <w:rPr>
          <w:lang w:eastAsia="en-GB"/>
        </w:rPr>
        <w:t>context</w:t>
      </w:r>
      <w:r>
        <w:rPr>
          <w:lang w:eastAsia="en-GB"/>
        </w:rPr>
        <w:t>-</w:t>
      </w:r>
      <w:r w:rsidRPr="00865E56">
        <w:rPr>
          <w:lang w:eastAsia="en-GB"/>
        </w:rPr>
        <w:t>specific</w:t>
      </w:r>
      <w:proofErr w:type="gramEnd"/>
      <w:r w:rsidRPr="00865E56">
        <w:rPr>
          <w:lang w:eastAsia="en-GB"/>
        </w:rPr>
        <w:t>. Many valued outcomes emerge only during live participation. Tactical insight may be revealed through movement into space, cooperation through supportive communication, and stamina through responses to challenge. Hay and Penney (2013) note that authentic assessment in PE should reflect the situated nature of learning rather than rely exclusively on written or decontextualised measures.</w:t>
      </w:r>
    </w:p>
    <w:p w14:paraId="5475842C" w14:textId="77777777" w:rsidR="00865E56" w:rsidRPr="00865E56" w:rsidRDefault="00865E56" w:rsidP="00865E56">
      <w:pPr>
        <w:spacing w:line="276" w:lineRule="auto"/>
        <w:rPr>
          <w:lang w:eastAsia="en-GB"/>
        </w:rPr>
      </w:pPr>
      <w:r w:rsidRPr="00865E56">
        <w:rPr>
          <w:lang w:eastAsia="en-GB"/>
        </w:rPr>
        <w:t>However, observation alone can be subjective. Teacher judgements may vary depending on which behaviours are noticed, how the criteria are interpreted, or what previous beliefs are held about pupils. This creates a requirement for structured tools that improve openness plus consistency. Rubrics are useful in this regard because they provide explicit criteria across progressive levels of achievement. Andrade (2005) argues that rubrics can improve feedback quality, learner understanding and equity by making expectations clear.</w:t>
      </w:r>
    </w:p>
    <w:p w14:paraId="3B5C629A" w14:textId="77777777" w:rsidR="00865E56" w:rsidRPr="00865E56" w:rsidRDefault="00865E56" w:rsidP="00865E56">
      <w:pPr>
        <w:spacing w:line="276" w:lineRule="auto"/>
        <w:rPr>
          <w:lang w:eastAsia="en-GB"/>
        </w:rPr>
      </w:pPr>
      <w:r w:rsidRPr="00865E56">
        <w:rPr>
          <w:lang w:eastAsia="en-GB"/>
        </w:rPr>
        <w:t>The SOLO taxonomy was selected to organise the rubric because it offers a developmental model of increasing complexity. Biggs and Collis (1982) identify five levels: prestructural, unistructural, multistructural, relational and extended abstract. This system is particularly appropriate for PE because movement learning is rarely linear. A pupil may perform several isolated skills without understanding when to apply them, while another may show modest technique but sophisticated strategic awareness. SOLO permits teachers to distinguish between the accumulation of separate elements and an integrated understanding. (Biggs &amp; Collis, 1982)</w:t>
      </w:r>
    </w:p>
    <w:p w14:paraId="623F86E2" w14:textId="1090DC45" w:rsidR="00865E56" w:rsidRPr="00865E56" w:rsidRDefault="00865E56" w:rsidP="00865E56">
      <w:pPr>
        <w:spacing w:line="276" w:lineRule="auto"/>
        <w:rPr>
          <w:lang w:eastAsia="en-GB"/>
        </w:rPr>
      </w:pPr>
      <w:r w:rsidRPr="00865E56">
        <w:rPr>
          <w:lang w:eastAsia="en-GB"/>
        </w:rPr>
        <w:t xml:space="preserve">Compared with </w:t>
      </w:r>
      <w:r>
        <w:rPr>
          <w:lang w:eastAsia="en-GB"/>
        </w:rPr>
        <w:t>other</w:t>
      </w:r>
      <w:r w:rsidRPr="00865E56">
        <w:rPr>
          <w:lang w:eastAsia="en-GB"/>
        </w:rPr>
        <w:t xml:space="preserve"> frameworks</w:t>
      </w:r>
      <w:r>
        <w:rPr>
          <w:lang w:eastAsia="en-GB"/>
        </w:rPr>
        <w:t>,</w:t>
      </w:r>
      <w:r w:rsidRPr="00865E56">
        <w:rPr>
          <w:lang w:eastAsia="en-GB"/>
        </w:rPr>
        <w:t xml:space="preserve"> such as Bloom’s taxonomy, SOLO was considered more suitable because it focuses on the structural quality of learning </w:t>
      </w:r>
      <w:r>
        <w:rPr>
          <w:lang w:eastAsia="en-GB"/>
        </w:rPr>
        <w:t>rather</w:t>
      </w:r>
      <w:r w:rsidRPr="00865E56">
        <w:rPr>
          <w:lang w:eastAsia="en-GB"/>
        </w:rPr>
        <w:t xml:space="preserve"> </w:t>
      </w:r>
      <w:r>
        <w:rPr>
          <w:lang w:eastAsia="en-GB"/>
        </w:rPr>
        <w:t>than</w:t>
      </w:r>
      <w:r w:rsidRPr="00865E56">
        <w:rPr>
          <w:lang w:eastAsia="en-GB"/>
        </w:rPr>
        <w:t xml:space="preserve"> solely on mental processes. In PE terms, performing isolated passes may represent multistructural learning, whereas combining passing, movement</w:t>
      </w:r>
      <w:r>
        <w:rPr>
          <w:lang w:eastAsia="en-GB"/>
        </w:rPr>
        <w:t>,</w:t>
      </w:r>
      <w:r w:rsidRPr="00865E56">
        <w:rPr>
          <w:lang w:eastAsia="en-GB"/>
        </w:rPr>
        <w:t xml:space="preserve"> and decision</w:t>
      </w:r>
      <w:r>
        <w:rPr>
          <w:lang w:eastAsia="en-GB"/>
        </w:rPr>
        <w:t>-</w:t>
      </w:r>
      <w:r w:rsidRPr="00865E56">
        <w:rPr>
          <w:lang w:eastAsia="en-GB"/>
        </w:rPr>
        <w:t>making to create space may represent relational learning. Adapting tactics creatively in response to opposition pressure may demonstrate extended abstract learning (Chan et al., 2017). (Dudley, 2015, pp. 236-260)</w:t>
      </w:r>
    </w:p>
    <w:p w14:paraId="3A267D3E" w14:textId="77777777" w:rsidR="00865E56" w:rsidRPr="00865E56" w:rsidRDefault="00865E56" w:rsidP="00865E56">
      <w:pPr>
        <w:spacing w:line="276" w:lineRule="auto"/>
        <w:rPr>
          <w:lang w:eastAsia="en-GB"/>
        </w:rPr>
      </w:pPr>
      <w:r w:rsidRPr="00865E56">
        <w:rPr>
          <w:lang w:eastAsia="en-GB"/>
        </w:rPr>
        <w:t xml:space="preserve">Equity was a central design principle. UNESCO (2015) argues that quality PE should be learner-centred, inclusive plus developmentally appropriate. In response, the rubric was designed to be criterion-referenced rather than norm-referenced, meaning pupils are judged against explicit descriptors or criteria rather than compared directly with peers. It was also intended to be strengths-based, recognising progress from individual </w:t>
      </w:r>
      <w:r w:rsidRPr="00865E56">
        <w:rPr>
          <w:lang w:eastAsia="en-GB"/>
        </w:rPr>
        <w:lastRenderedPageBreak/>
        <w:t>starting points and valuing multiple domains of success. Furthermore, the rubric was designed to be transferable across games, dance, gymnastics and athletics, thereby increasing practical usefulness within a broad primary curriculum. (Strengths-Based Approach – Wellbeing and Physical Education, 2018)</w:t>
      </w:r>
    </w:p>
    <w:p w14:paraId="719F9800" w14:textId="77777777" w:rsidR="00865E56" w:rsidRPr="00865E56" w:rsidRDefault="00865E56" w:rsidP="00865E56">
      <w:pPr>
        <w:spacing w:line="276" w:lineRule="auto"/>
        <w:rPr>
          <w:lang w:eastAsia="en-GB"/>
        </w:rPr>
      </w:pPr>
      <w:r w:rsidRPr="00865E56">
        <w:rPr>
          <w:lang w:eastAsia="en-GB"/>
        </w:rPr>
        <w:t>Ultimately, the rationale for the rubric is that PE assessment should not simply rank pupils according to current sporting ability. Instead, it should support learning, recognise diverse achievement and encourage positive relationships with movement. A physical literacy observation rubric structured through SOLO progression offers one practical means of achieving this aim. (</w:t>
      </w:r>
      <w:proofErr w:type="spellStart"/>
      <w:r w:rsidRPr="00865E56">
        <w:rPr>
          <w:lang w:eastAsia="en-GB"/>
        </w:rPr>
        <w:t>DinanThompson</w:t>
      </w:r>
      <w:proofErr w:type="spellEnd"/>
      <w:r w:rsidRPr="00865E56">
        <w:rPr>
          <w:lang w:eastAsia="en-GB"/>
        </w:rPr>
        <w:t xml:space="preserve"> &amp; Penney, 2015, pp. 485-503)</w:t>
      </w:r>
    </w:p>
    <w:p w14:paraId="12972819" w14:textId="77777777" w:rsidR="00865E56" w:rsidRPr="00865E56" w:rsidRDefault="00865E56" w:rsidP="00865E56">
      <w:pPr>
        <w:spacing w:line="276" w:lineRule="auto"/>
        <w:rPr>
          <w:lang w:eastAsia="en-GB"/>
        </w:rPr>
      </w:pPr>
      <w:r w:rsidRPr="00865E56">
        <w:rPr>
          <w:lang w:eastAsia="en-GB"/>
        </w:rPr>
        <w:t>Part 2: Design of the Assessment Rubric</w:t>
      </w:r>
    </w:p>
    <w:p w14:paraId="4BE9F05E" w14:textId="77777777" w:rsidR="00865E56" w:rsidRPr="00865E56" w:rsidRDefault="00865E56" w:rsidP="00865E56">
      <w:pPr>
        <w:spacing w:line="276" w:lineRule="auto"/>
        <w:rPr>
          <w:lang w:eastAsia="en-GB"/>
        </w:rPr>
      </w:pPr>
      <w:r w:rsidRPr="00865E56">
        <w:rPr>
          <w:lang w:eastAsia="en-GB"/>
        </w:rPr>
        <w:t>Physical Literacy Observation Rubric</w:t>
      </w:r>
    </w:p>
    <w:tbl>
      <w:tblPr>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1626"/>
        <w:gridCol w:w="1146"/>
        <w:gridCol w:w="1368"/>
        <w:gridCol w:w="1691"/>
        <w:gridCol w:w="1794"/>
        <w:gridCol w:w="1385"/>
      </w:tblGrid>
      <w:tr w:rsidR="00865E56" w:rsidRPr="00865E56" w14:paraId="169FFE99" w14:textId="77777777">
        <w:trPr>
          <w:trHeight w:val="540"/>
        </w:trPr>
        <w:tc>
          <w:tcPr>
            <w:tcW w:w="2250" w:type="dxa"/>
            <w:tcBorders>
              <w:top w:val="single" w:sz="6" w:space="0" w:color="E0E0E0"/>
              <w:left w:val="single" w:sz="6" w:space="0" w:color="E0E0E0"/>
              <w:bottom w:val="single" w:sz="6" w:space="0" w:color="E0E0E0"/>
              <w:right w:val="single" w:sz="6" w:space="0" w:color="E0E0E0"/>
            </w:tcBorders>
            <w:hideMark/>
          </w:tcPr>
          <w:p w14:paraId="68B72335" w14:textId="77777777" w:rsidR="00865E56" w:rsidRPr="00865E56" w:rsidRDefault="00865E56" w:rsidP="00865E56">
            <w:pPr>
              <w:spacing w:line="276" w:lineRule="auto"/>
              <w:rPr>
                <w:lang w:eastAsia="en-GB"/>
              </w:rPr>
            </w:pPr>
            <w:r w:rsidRPr="00865E56">
              <w:rPr>
                <w:lang w:eastAsia="en-GB"/>
              </w:rPr>
              <w:t>Prestructural</w:t>
            </w:r>
          </w:p>
        </w:tc>
        <w:tc>
          <w:tcPr>
            <w:tcW w:w="2250" w:type="dxa"/>
            <w:tcBorders>
              <w:top w:val="single" w:sz="6" w:space="0" w:color="E0E0E0"/>
              <w:left w:val="single" w:sz="6" w:space="0" w:color="E0E0E0"/>
              <w:bottom w:val="single" w:sz="6" w:space="0" w:color="E0E0E0"/>
              <w:right w:val="single" w:sz="6" w:space="0" w:color="E0E0E0"/>
            </w:tcBorders>
            <w:hideMark/>
          </w:tcPr>
          <w:p w14:paraId="54CE9905" w14:textId="77777777" w:rsidR="00865E56" w:rsidRPr="00865E56" w:rsidRDefault="00865E56" w:rsidP="00865E56">
            <w:pPr>
              <w:spacing w:line="276" w:lineRule="auto"/>
              <w:rPr>
                <w:lang w:eastAsia="en-GB"/>
              </w:rPr>
            </w:pPr>
            <w:r w:rsidRPr="00865E56">
              <w:rPr>
                <w:lang w:eastAsia="en-GB"/>
              </w:rPr>
              <w:t>“I’m not sure what to do yet”</w:t>
            </w:r>
          </w:p>
        </w:tc>
        <w:tc>
          <w:tcPr>
            <w:tcW w:w="2250" w:type="dxa"/>
            <w:tcBorders>
              <w:top w:val="single" w:sz="6" w:space="0" w:color="E0E0E0"/>
              <w:left w:val="single" w:sz="6" w:space="0" w:color="E0E0E0"/>
              <w:bottom w:val="single" w:sz="6" w:space="0" w:color="E0E0E0"/>
              <w:right w:val="single" w:sz="6" w:space="0" w:color="E0E0E0"/>
            </w:tcBorders>
            <w:hideMark/>
          </w:tcPr>
          <w:p w14:paraId="14D13CD2" w14:textId="77777777" w:rsidR="00865E56" w:rsidRPr="00865E56" w:rsidRDefault="00865E56" w:rsidP="00865E56">
            <w:pPr>
              <w:spacing w:line="276" w:lineRule="auto"/>
              <w:rPr>
                <w:lang w:eastAsia="en-GB"/>
              </w:rPr>
            </w:pPr>
            <w:r w:rsidRPr="00865E56">
              <w:rPr>
                <w:lang w:eastAsia="en-GB"/>
              </w:rPr>
              <w:t>Limited control; hesitant movement</w:t>
            </w:r>
          </w:p>
        </w:tc>
        <w:tc>
          <w:tcPr>
            <w:tcW w:w="2250" w:type="dxa"/>
            <w:tcBorders>
              <w:top w:val="single" w:sz="6" w:space="0" w:color="E0E0E0"/>
              <w:left w:val="single" w:sz="6" w:space="0" w:color="E0E0E0"/>
              <w:bottom w:val="single" w:sz="6" w:space="0" w:color="E0E0E0"/>
              <w:right w:val="single" w:sz="6" w:space="0" w:color="E0E0E0"/>
            </w:tcBorders>
            <w:hideMark/>
          </w:tcPr>
          <w:p w14:paraId="3A16FC43" w14:textId="77777777" w:rsidR="00865E56" w:rsidRPr="00865E56" w:rsidRDefault="00865E56" w:rsidP="00865E56">
            <w:pPr>
              <w:spacing w:line="276" w:lineRule="auto"/>
              <w:rPr>
                <w:lang w:eastAsia="en-GB"/>
              </w:rPr>
            </w:pPr>
            <w:r w:rsidRPr="00865E56">
              <w:rPr>
                <w:lang w:eastAsia="en-GB"/>
              </w:rPr>
              <w:t>Little understanding of task</w:t>
            </w:r>
          </w:p>
        </w:tc>
        <w:tc>
          <w:tcPr>
            <w:tcW w:w="2250" w:type="dxa"/>
            <w:tcBorders>
              <w:top w:val="single" w:sz="6" w:space="0" w:color="E0E0E0"/>
              <w:left w:val="single" w:sz="6" w:space="0" w:color="E0E0E0"/>
              <w:bottom w:val="single" w:sz="6" w:space="0" w:color="E0E0E0"/>
              <w:right w:val="single" w:sz="6" w:space="0" w:color="E0E0E0"/>
            </w:tcBorders>
            <w:hideMark/>
          </w:tcPr>
          <w:p w14:paraId="1ED8641E" w14:textId="77777777" w:rsidR="00865E56" w:rsidRPr="00865E56" w:rsidRDefault="00865E56" w:rsidP="00865E56">
            <w:pPr>
              <w:spacing w:line="276" w:lineRule="auto"/>
              <w:rPr>
                <w:lang w:eastAsia="en-GB"/>
              </w:rPr>
            </w:pPr>
            <w:r w:rsidRPr="00865E56">
              <w:rPr>
                <w:lang w:eastAsia="en-GB"/>
              </w:rPr>
              <w:t>Low confidence; reliant on teacher</w:t>
            </w:r>
          </w:p>
        </w:tc>
        <w:tc>
          <w:tcPr>
            <w:tcW w:w="2250" w:type="dxa"/>
            <w:tcBorders>
              <w:top w:val="single" w:sz="6" w:space="0" w:color="E0E0E0"/>
              <w:left w:val="single" w:sz="6" w:space="0" w:color="E0E0E0"/>
              <w:bottom w:val="single" w:sz="6" w:space="0" w:color="E0E0E0"/>
              <w:right w:val="single" w:sz="6" w:space="0" w:color="E0E0E0"/>
            </w:tcBorders>
            <w:hideMark/>
          </w:tcPr>
          <w:p w14:paraId="6E859B34" w14:textId="77777777" w:rsidR="00865E56" w:rsidRPr="00865E56" w:rsidRDefault="00865E56" w:rsidP="00865E56">
            <w:pPr>
              <w:spacing w:line="276" w:lineRule="auto"/>
              <w:rPr>
                <w:lang w:eastAsia="en-GB"/>
              </w:rPr>
            </w:pPr>
            <w:r w:rsidRPr="00865E56">
              <w:rPr>
                <w:lang w:eastAsia="en-GB"/>
              </w:rPr>
              <w:t>Watches others, stands still</w:t>
            </w:r>
          </w:p>
        </w:tc>
      </w:tr>
      <w:tr w:rsidR="00865E56" w:rsidRPr="00865E56" w14:paraId="65A6D298" w14:textId="77777777">
        <w:trPr>
          <w:trHeight w:val="540"/>
        </w:trPr>
        <w:tc>
          <w:tcPr>
            <w:tcW w:w="0" w:type="auto"/>
            <w:tcBorders>
              <w:top w:val="nil"/>
              <w:left w:val="single" w:sz="6" w:space="0" w:color="auto"/>
              <w:bottom w:val="single" w:sz="6" w:space="0" w:color="auto"/>
              <w:right w:val="single" w:sz="6" w:space="0" w:color="auto"/>
            </w:tcBorders>
            <w:hideMark/>
          </w:tcPr>
          <w:p w14:paraId="12F6EBDB" w14:textId="77777777" w:rsidR="00865E56" w:rsidRPr="00865E56" w:rsidRDefault="00865E56" w:rsidP="00865E56">
            <w:pPr>
              <w:spacing w:line="276" w:lineRule="auto"/>
              <w:rPr>
                <w:lang w:eastAsia="en-GB"/>
              </w:rPr>
            </w:pPr>
            <w:r w:rsidRPr="00865E56">
              <w:rPr>
                <w:lang w:eastAsia="en-GB"/>
              </w:rPr>
              <w:t>Unistructural</w:t>
            </w:r>
          </w:p>
        </w:tc>
        <w:tc>
          <w:tcPr>
            <w:tcW w:w="0" w:type="auto"/>
            <w:tcBorders>
              <w:top w:val="nil"/>
              <w:left w:val="single" w:sz="6" w:space="0" w:color="auto"/>
              <w:bottom w:val="single" w:sz="6" w:space="0" w:color="auto"/>
              <w:right w:val="single" w:sz="6" w:space="0" w:color="auto"/>
            </w:tcBorders>
            <w:hideMark/>
          </w:tcPr>
          <w:p w14:paraId="25C2F3D9" w14:textId="77777777" w:rsidR="00865E56" w:rsidRPr="00865E56" w:rsidRDefault="00865E56" w:rsidP="00865E56">
            <w:pPr>
              <w:spacing w:line="276" w:lineRule="auto"/>
              <w:rPr>
                <w:lang w:eastAsia="en-GB"/>
              </w:rPr>
            </w:pPr>
            <w:r w:rsidRPr="00865E56">
              <w:rPr>
                <w:lang w:eastAsia="en-GB"/>
              </w:rPr>
              <w:t>“I can do one thing”</w:t>
            </w:r>
          </w:p>
        </w:tc>
        <w:tc>
          <w:tcPr>
            <w:tcW w:w="0" w:type="auto"/>
            <w:tcBorders>
              <w:top w:val="nil"/>
              <w:left w:val="single" w:sz="6" w:space="0" w:color="auto"/>
              <w:bottom w:val="single" w:sz="6" w:space="0" w:color="auto"/>
              <w:right w:val="single" w:sz="6" w:space="0" w:color="auto"/>
            </w:tcBorders>
            <w:hideMark/>
          </w:tcPr>
          <w:p w14:paraId="431183A7" w14:textId="77777777" w:rsidR="00865E56" w:rsidRPr="00865E56" w:rsidRDefault="00865E56" w:rsidP="00865E56">
            <w:pPr>
              <w:spacing w:line="276" w:lineRule="auto"/>
              <w:rPr>
                <w:lang w:eastAsia="en-GB"/>
              </w:rPr>
            </w:pPr>
            <w:r w:rsidRPr="00865E56">
              <w:rPr>
                <w:lang w:eastAsia="en-GB"/>
              </w:rPr>
              <w:t>Performs one basic skill</w:t>
            </w:r>
          </w:p>
        </w:tc>
        <w:tc>
          <w:tcPr>
            <w:tcW w:w="0" w:type="auto"/>
            <w:tcBorders>
              <w:top w:val="nil"/>
              <w:left w:val="single" w:sz="6" w:space="0" w:color="auto"/>
              <w:bottom w:val="single" w:sz="6" w:space="0" w:color="auto"/>
              <w:right w:val="single" w:sz="6" w:space="0" w:color="auto"/>
            </w:tcBorders>
            <w:hideMark/>
          </w:tcPr>
          <w:p w14:paraId="11F483E0" w14:textId="77777777" w:rsidR="00865E56" w:rsidRPr="00865E56" w:rsidRDefault="00865E56" w:rsidP="00865E56">
            <w:pPr>
              <w:spacing w:line="276" w:lineRule="auto"/>
              <w:rPr>
                <w:lang w:eastAsia="en-GB"/>
              </w:rPr>
            </w:pPr>
            <w:r w:rsidRPr="00865E56">
              <w:rPr>
                <w:lang w:eastAsia="en-GB"/>
              </w:rPr>
              <w:t>Understands one rule</w:t>
            </w:r>
          </w:p>
        </w:tc>
        <w:tc>
          <w:tcPr>
            <w:tcW w:w="0" w:type="auto"/>
            <w:tcBorders>
              <w:top w:val="nil"/>
              <w:left w:val="single" w:sz="6" w:space="0" w:color="auto"/>
              <w:bottom w:val="single" w:sz="6" w:space="0" w:color="auto"/>
              <w:right w:val="single" w:sz="6" w:space="0" w:color="auto"/>
            </w:tcBorders>
            <w:hideMark/>
          </w:tcPr>
          <w:p w14:paraId="6C73D28F" w14:textId="77777777" w:rsidR="00865E56" w:rsidRPr="00865E56" w:rsidRDefault="00865E56" w:rsidP="00865E56">
            <w:pPr>
              <w:spacing w:line="276" w:lineRule="auto"/>
              <w:rPr>
                <w:lang w:eastAsia="en-GB"/>
              </w:rPr>
            </w:pPr>
            <w:r w:rsidRPr="00865E56">
              <w:rPr>
                <w:lang w:eastAsia="en-GB"/>
              </w:rPr>
              <w:t>Engages with prompts</w:t>
            </w:r>
          </w:p>
        </w:tc>
        <w:tc>
          <w:tcPr>
            <w:tcW w:w="0" w:type="auto"/>
            <w:tcBorders>
              <w:top w:val="nil"/>
              <w:left w:val="single" w:sz="6" w:space="0" w:color="auto"/>
              <w:bottom w:val="single" w:sz="6" w:space="0" w:color="auto"/>
              <w:right w:val="single" w:sz="6" w:space="0" w:color="auto"/>
            </w:tcBorders>
            <w:hideMark/>
          </w:tcPr>
          <w:p w14:paraId="32619BE8" w14:textId="77777777" w:rsidR="00865E56" w:rsidRPr="00865E56" w:rsidRDefault="00865E56" w:rsidP="00865E56">
            <w:pPr>
              <w:spacing w:line="276" w:lineRule="auto"/>
              <w:rPr>
                <w:lang w:eastAsia="en-GB"/>
              </w:rPr>
            </w:pPr>
            <w:r w:rsidRPr="00865E56">
              <w:rPr>
                <w:lang w:eastAsia="en-GB"/>
              </w:rPr>
              <w:t>Throws accurately but remains static</w:t>
            </w:r>
          </w:p>
        </w:tc>
      </w:tr>
      <w:tr w:rsidR="00865E56" w:rsidRPr="00865E56" w14:paraId="6EA1133E" w14:textId="77777777">
        <w:trPr>
          <w:trHeight w:val="540"/>
        </w:trPr>
        <w:tc>
          <w:tcPr>
            <w:tcW w:w="0" w:type="auto"/>
            <w:tcBorders>
              <w:top w:val="nil"/>
              <w:left w:val="single" w:sz="6" w:space="0" w:color="auto"/>
              <w:bottom w:val="single" w:sz="6" w:space="0" w:color="auto"/>
              <w:right w:val="single" w:sz="6" w:space="0" w:color="auto"/>
            </w:tcBorders>
            <w:hideMark/>
          </w:tcPr>
          <w:p w14:paraId="4BE9FDB7" w14:textId="77777777" w:rsidR="00865E56" w:rsidRPr="00865E56" w:rsidRDefault="00865E56" w:rsidP="00865E56">
            <w:pPr>
              <w:spacing w:line="276" w:lineRule="auto"/>
              <w:rPr>
                <w:lang w:eastAsia="en-GB"/>
              </w:rPr>
            </w:pPr>
            <w:r w:rsidRPr="00865E56">
              <w:rPr>
                <w:lang w:eastAsia="en-GB"/>
              </w:rPr>
              <w:t>Multistructural</w:t>
            </w:r>
          </w:p>
        </w:tc>
        <w:tc>
          <w:tcPr>
            <w:tcW w:w="0" w:type="auto"/>
            <w:tcBorders>
              <w:top w:val="nil"/>
              <w:left w:val="single" w:sz="6" w:space="0" w:color="auto"/>
              <w:bottom w:val="single" w:sz="6" w:space="0" w:color="auto"/>
              <w:right w:val="single" w:sz="6" w:space="0" w:color="auto"/>
            </w:tcBorders>
            <w:hideMark/>
          </w:tcPr>
          <w:p w14:paraId="6AB72FEB" w14:textId="77777777" w:rsidR="00865E56" w:rsidRPr="00865E56" w:rsidRDefault="00865E56" w:rsidP="00865E56">
            <w:pPr>
              <w:spacing w:line="276" w:lineRule="auto"/>
              <w:rPr>
                <w:lang w:eastAsia="en-GB"/>
              </w:rPr>
            </w:pPr>
            <w:r w:rsidRPr="00865E56">
              <w:rPr>
                <w:lang w:eastAsia="en-GB"/>
              </w:rPr>
              <w:t>“I can do several things”</w:t>
            </w:r>
          </w:p>
        </w:tc>
        <w:tc>
          <w:tcPr>
            <w:tcW w:w="0" w:type="auto"/>
            <w:tcBorders>
              <w:top w:val="nil"/>
              <w:left w:val="single" w:sz="6" w:space="0" w:color="auto"/>
              <w:bottom w:val="single" w:sz="6" w:space="0" w:color="auto"/>
              <w:right w:val="single" w:sz="6" w:space="0" w:color="auto"/>
            </w:tcBorders>
            <w:hideMark/>
          </w:tcPr>
          <w:p w14:paraId="10B62D6E" w14:textId="77777777" w:rsidR="00865E56" w:rsidRPr="00865E56" w:rsidRDefault="00865E56" w:rsidP="00865E56">
            <w:pPr>
              <w:spacing w:line="276" w:lineRule="auto"/>
              <w:rPr>
                <w:lang w:eastAsia="en-GB"/>
              </w:rPr>
            </w:pPr>
            <w:r w:rsidRPr="00865E56">
              <w:rPr>
                <w:lang w:eastAsia="en-GB"/>
              </w:rPr>
              <w:t>Performs several skills separately</w:t>
            </w:r>
          </w:p>
        </w:tc>
        <w:tc>
          <w:tcPr>
            <w:tcW w:w="0" w:type="auto"/>
            <w:tcBorders>
              <w:top w:val="nil"/>
              <w:left w:val="single" w:sz="6" w:space="0" w:color="auto"/>
              <w:bottom w:val="single" w:sz="6" w:space="0" w:color="auto"/>
              <w:right w:val="single" w:sz="6" w:space="0" w:color="auto"/>
            </w:tcBorders>
            <w:hideMark/>
          </w:tcPr>
          <w:p w14:paraId="37F98D62" w14:textId="77777777" w:rsidR="00865E56" w:rsidRPr="00865E56" w:rsidRDefault="00865E56" w:rsidP="00865E56">
            <w:pPr>
              <w:spacing w:line="276" w:lineRule="auto"/>
              <w:rPr>
                <w:lang w:eastAsia="en-GB"/>
              </w:rPr>
            </w:pPr>
            <w:r w:rsidRPr="00865E56">
              <w:rPr>
                <w:lang w:eastAsia="en-GB"/>
              </w:rPr>
              <w:t>Understands simple rules</w:t>
            </w:r>
          </w:p>
        </w:tc>
        <w:tc>
          <w:tcPr>
            <w:tcW w:w="0" w:type="auto"/>
            <w:tcBorders>
              <w:top w:val="nil"/>
              <w:left w:val="single" w:sz="6" w:space="0" w:color="auto"/>
              <w:bottom w:val="single" w:sz="6" w:space="0" w:color="auto"/>
              <w:right w:val="single" w:sz="6" w:space="0" w:color="auto"/>
            </w:tcBorders>
            <w:hideMark/>
          </w:tcPr>
          <w:p w14:paraId="7BB1B9D2" w14:textId="77777777" w:rsidR="00865E56" w:rsidRPr="00865E56" w:rsidRDefault="00865E56" w:rsidP="00865E56">
            <w:pPr>
              <w:spacing w:line="276" w:lineRule="auto"/>
              <w:rPr>
                <w:lang w:eastAsia="en-GB"/>
              </w:rPr>
            </w:pPr>
            <w:r w:rsidRPr="00865E56">
              <w:rPr>
                <w:lang w:eastAsia="en-GB"/>
              </w:rPr>
              <w:t>Participates consistently</w:t>
            </w:r>
          </w:p>
        </w:tc>
        <w:tc>
          <w:tcPr>
            <w:tcW w:w="0" w:type="auto"/>
            <w:tcBorders>
              <w:top w:val="nil"/>
              <w:left w:val="single" w:sz="6" w:space="0" w:color="auto"/>
              <w:bottom w:val="single" w:sz="6" w:space="0" w:color="auto"/>
              <w:right w:val="single" w:sz="6" w:space="0" w:color="auto"/>
            </w:tcBorders>
            <w:hideMark/>
          </w:tcPr>
          <w:p w14:paraId="6C32A998" w14:textId="77777777" w:rsidR="00865E56" w:rsidRPr="00865E56" w:rsidRDefault="00865E56" w:rsidP="00865E56">
            <w:pPr>
              <w:spacing w:line="276" w:lineRule="auto"/>
              <w:rPr>
                <w:lang w:eastAsia="en-GB"/>
              </w:rPr>
            </w:pPr>
            <w:r w:rsidRPr="00865E56">
              <w:rPr>
                <w:lang w:eastAsia="en-GB"/>
              </w:rPr>
              <w:t>Runs, catches and passes separately</w:t>
            </w:r>
          </w:p>
        </w:tc>
      </w:tr>
      <w:tr w:rsidR="00865E56" w:rsidRPr="00865E56" w14:paraId="6AC63329" w14:textId="77777777">
        <w:trPr>
          <w:trHeight w:val="540"/>
        </w:trPr>
        <w:tc>
          <w:tcPr>
            <w:tcW w:w="0" w:type="auto"/>
            <w:tcBorders>
              <w:top w:val="nil"/>
              <w:left w:val="single" w:sz="6" w:space="0" w:color="auto"/>
              <w:bottom w:val="single" w:sz="6" w:space="0" w:color="auto"/>
              <w:right w:val="single" w:sz="6" w:space="0" w:color="auto"/>
            </w:tcBorders>
            <w:hideMark/>
          </w:tcPr>
          <w:p w14:paraId="346C2870" w14:textId="77777777" w:rsidR="00865E56" w:rsidRPr="00865E56" w:rsidRDefault="00865E56" w:rsidP="00865E56">
            <w:pPr>
              <w:spacing w:line="276" w:lineRule="auto"/>
              <w:rPr>
                <w:lang w:eastAsia="en-GB"/>
              </w:rPr>
            </w:pPr>
            <w:r w:rsidRPr="00865E56">
              <w:rPr>
                <w:lang w:eastAsia="en-GB"/>
              </w:rPr>
              <w:t>Relational</w:t>
            </w:r>
          </w:p>
        </w:tc>
        <w:tc>
          <w:tcPr>
            <w:tcW w:w="0" w:type="auto"/>
            <w:tcBorders>
              <w:top w:val="nil"/>
              <w:left w:val="single" w:sz="6" w:space="0" w:color="auto"/>
              <w:bottom w:val="single" w:sz="6" w:space="0" w:color="auto"/>
              <w:right w:val="single" w:sz="6" w:space="0" w:color="auto"/>
            </w:tcBorders>
            <w:hideMark/>
          </w:tcPr>
          <w:p w14:paraId="34580E5B" w14:textId="77777777" w:rsidR="00865E56" w:rsidRPr="00865E56" w:rsidRDefault="00865E56" w:rsidP="00865E56">
            <w:pPr>
              <w:spacing w:line="276" w:lineRule="auto"/>
              <w:rPr>
                <w:lang w:eastAsia="en-GB"/>
              </w:rPr>
            </w:pPr>
            <w:r w:rsidRPr="00865E56">
              <w:rPr>
                <w:lang w:eastAsia="en-GB"/>
              </w:rPr>
              <w:t>“I can connect my skills”</w:t>
            </w:r>
          </w:p>
        </w:tc>
        <w:tc>
          <w:tcPr>
            <w:tcW w:w="0" w:type="auto"/>
            <w:tcBorders>
              <w:top w:val="nil"/>
              <w:left w:val="single" w:sz="6" w:space="0" w:color="auto"/>
              <w:bottom w:val="single" w:sz="6" w:space="0" w:color="auto"/>
              <w:right w:val="single" w:sz="6" w:space="0" w:color="auto"/>
            </w:tcBorders>
            <w:hideMark/>
          </w:tcPr>
          <w:p w14:paraId="312B7F58" w14:textId="77777777" w:rsidR="00865E56" w:rsidRPr="00865E56" w:rsidRDefault="00865E56" w:rsidP="00865E56">
            <w:pPr>
              <w:spacing w:line="276" w:lineRule="auto"/>
              <w:rPr>
                <w:lang w:eastAsia="en-GB"/>
              </w:rPr>
            </w:pPr>
            <w:r w:rsidRPr="00865E56">
              <w:rPr>
                <w:lang w:eastAsia="en-GB"/>
              </w:rPr>
              <w:t>Combines skills smoothly</w:t>
            </w:r>
          </w:p>
        </w:tc>
        <w:tc>
          <w:tcPr>
            <w:tcW w:w="0" w:type="auto"/>
            <w:tcBorders>
              <w:top w:val="nil"/>
              <w:left w:val="single" w:sz="6" w:space="0" w:color="auto"/>
              <w:bottom w:val="single" w:sz="6" w:space="0" w:color="auto"/>
              <w:right w:val="single" w:sz="6" w:space="0" w:color="auto"/>
            </w:tcBorders>
            <w:hideMark/>
          </w:tcPr>
          <w:p w14:paraId="6CC114FA" w14:textId="77777777" w:rsidR="00865E56" w:rsidRPr="00865E56" w:rsidRDefault="00865E56" w:rsidP="00865E56">
            <w:pPr>
              <w:spacing w:line="276" w:lineRule="auto"/>
              <w:rPr>
                <w:lang w:eastAsia="en-GB"/>
              </w:rPr>
            </w:pPr>
            <w:r w:rsidRPr="00865E56">
              <w:rPr>
                <w:lang w:eastAsia="en-GB"/>
              </w:rPr>
              <w:t>Applies tactics and decisions</w:t>
            </w:r>
          </w:p>
        </w:tc>
        <w:tc>
          <w:tcPr>
            <w:tcW w:w="0" w:type="auto"/>
            <w:tcBorders>
              <w:top w:val="nil"/>
              <w:left w:val="single" w:sz="6" w:space="0" w:color="auto"/>
              <w:bottom w:val="single" w:sz="6" w:space="0" w:color="auto"/>
              <w:right w:val="single" w:sz="6" w:space="0" w:color="auto"/>
            </w:tcBorders>
            <w:hideMark/>
          </w:tcPr>
          <w:p w14:paraId="464EBBFF" w14:textId="77777777" w:rsidR="00865E56" w:rsidRPr="00865E56" w:rsidRDefault="00865E56" w:rsidP="00865E56">
            <w:pPr>
              <w:spacing w:line="276" w:lineRule="auto"/>
              <w:rPr>
                <w:lang w:eastAsia="en-GB"/>
              </w:rPr>
            </w:pPr>
            <w:r w:rsidRPr="00865E56">
              <w:rPr>
                <w:lang w:eastAsia="en-GB"/>
              </w:rPr>
              <w:t>Communicates and cooperates</w:t>
            </w:r>
          </w:p>
        </w:tc>
        <w:tc>
          <w:tcPr>
            <w:tcW w:w="0" w:type="auto"/>
            <w:tcBorders>
              <w:top w:val="nil"/>
              <w:left w:val="single" w:sz="6" w:space="0" w:color="auto"/>
              <w:bottom w:val="single" w:sz="6" w:space="0" w:color="auto"/>
              <w:right w:val="single" w:sz="6" w:space="0" w:color="auto"/>
            </w:tcBorders>
            <w:hideMark/>
          </w:tcPr>
          <w:p w14:paraId="558F052B" w14:textId="77777777" w:rsidR="00865E56" w:rsidRPr="00865E56" w:rsidRDefault="00865E56" w:rsidP="00865E56">
            <w:pPr>
              <w:spacing w:line="276" w:lineRule="auto"/>
              <w:rPr>
                <w:lang w:eastAsia="en-GB"/>
              </w:rPr>
            </w:pPr>
            <w:r w:rsidRPr="00865E56">
              <w:rPr>
                <w:lang w:eastAsia="en-GB"/>
              </w:rPr>
              <w:t>Moves into space and receives pass</w:t>
            </w:r>
          </w:p>
        </w:tc>
      </w:tr>
      <w:tr w:rsidR="00865E56" w:rsidRPr="00865E56" w14:paraId="7FECDBB0" w14:textId="77777777">
        <w:trPr>
          <w:trHeight w:val="540"/>
        </w:trPr>
        <w:tc>
          <w:tcPr>
            <w:tcW w:w="0" w:type="auto"/>
            <w:tcBorders>
              <w:top w:val="nil"/>
              <w:left w:val="single" w:sz="6" w:space="0" w:color="auto"/>
              <w:bottom w:val="single" w:sz="6" w:space="0" w:color="auto"/>
              <w:right w:val="single" w:sz="6" w:space="0" w:color="auto"/>
            </w:tcBorders>
            <w:hideMark/>
          </w:tcPr>
          <w:p w14:paraId="50A5A55A" w14:textId="77777777" w:rsidR="00865E56" w:rsidRPr="00865E56" w:rsidRDefault="00865E56" w:rsidP="00865E56">
            <w:pPr>
              <w:spacing w:line="276" w:lineRule="auto"/>
              <w:rPr>
                <w:lang w:eastAsia="en-GB"/>
              </w:rPr>
            </w:pPr>
            <w:r w:rsidRPr="00865E56">
              <w:rPr>
                <w:lang w:eastAsia="en-GB"/>
              </w:rPr>
              <w:t>Extended Abstract</w:t>
            </w:r>
          </w:p>
        </w:tc>
        <w:tc>
          <w:tcPr>
            <w:tcW w:w="0" w:type="auto"/>
            <w:tcBorders>
              <w:top w:val="nil"/>
              <w:left w:val="single" w:sz="6" w:space="0" w:color="auto"/>
              <w:bottom w:val="single" w:sz="6" w:space="0" w:color="auto"/>
              <w:right w:val="single" w:sz="6" w:space="0" w:color="auto"/>
            </w:tcBorders>
            <w:hideMark/>
          </w:tcPr>
          <w:p w14:paraId="7DC55877" w14:textId="77777777" w:rsidR="00865E56" w:rsidRPr="00865E56" w:rsidRDefault="00865E56" w:rsidP="00865E56">
            <w:pPr>
              <w:spacing w:line="276" w:lineRule="auto"/>
              <w:rPr>
                <w:lang w:eastAsia="en-GB"/>
              </w:rPr>
            </w:pPr>
            <w:r w:rsidRPr="00865E56">
              <w:rPr>
                <w:lang w:eastAsia="en-GB"/>
              </w:rPr>
              <w:t>“I can adapt and improve”</w:t>
            </w:r>
          </w:p>
        </w:tc>
        <w:tc>
          <w:tcPr>
            <w:tcW w:w="0" w:type="auto"/>
            <w:tcBorders>
              <w:top w:val="nil"/>
              <w:left w:val="single" w:sz="6" w:space="0" w:color="auto"/>
              <w:bottom w:val="single" w:sz="6" w:space="0" w:color="auto"/>
              <w:right w:val="single" w:sz="6" w:space="0" w:color="auto"/>
            </w:tcBorders>
            <w:hideMark/>
          </w:tcPr>
          <w:p w14:paraId="16DFC737" w14:textId="77777777" w:rsidR="00865E56" w:rsidRPr="00865E56" w:rsidRDefault="00865E56" w:rsidP="00865E56">
            <w:pPr>
              <w:spacing w:line="276" w:lineRule="auto"/>
              <w:rPr>
                <w:lang w:eastAsia="en-GB"/>
              </w:rPr>
            </w:pPr>
            <w:r w:rsidRPr="00865E56">
              <w:rPr>
                <w:lang w:eastAsia="en-GB"/>
              </w:rPr>
              <w:t>Adapts skills creatively</w:t>
            </w:r>
          </w:p>
        </w:tc>
        <w:tc>
          <w:tcPr>
            <w:tcW w:w="0" w:type="auto"/>
            <w:tcBorders>
              <w:top w:val="nil"/>
              <w:left w:val="single" w:sz="6" w:space="0" w:color="auto"/>
              <w:bottom w:val="single" w:sz="6" w:space="0" w:color="auto"/>
              <w:right w:val="single" w:sz="6" w:space="0" w:color="auto"/>
            </w:tcBorders>
            <w:hideMark/>
          </w:tcPr>
          <w:p w14:paraId="21EA57BB" w14:textId="77777777" w:rsidR="00865E56" w:rsidRPr="00865E56" w:rsidRDefault="00865E56" w:rsidP="00865E56">
            <w:pPr>
              <w:spacing w:line="276" w:lineRule="auto"/>
              <w:rPr>
                <w:lang w:eastAsia="en-GB"/>
              </w:rPr>
            </w:pPr>
            <w:r w:rsidRPr="00865E56">
              <w:rPr>
                <w:lang w:eastAsia="en-GB"/>
              </w:rPr>
              <w:t>Reflects and transfers learning</w:t>
            </w:r>
          </w:p>
        </w:tc>
        <w:tc>
          <w:tcPr>
            <w:tcW w:w="0" w:type="auto"/>
            <w:tcBorders>
              <w:top w:val="nil"/>
              <w:left w:val="single" w:sz="6" w:space="0" w:color="auto"/>
              <w:bottom w:val="single" w:sz="6" w:space="0" w:color="auto"/>
              <w:right w:val="single" w:sz="6" w:space="0" w:color="auto"/>
            </w:tcBorders>
            <w:hideMark/>
          </w:tcPr>
          <w:p w14:paraId="3634771A" w14:textId="77777777" w:rsidR="00865E56" w:rsidRPr="00865E56" w:rsidRDefault="00865E56" w:rsidP="00865E56">
            <w:pPr>
              <w:spacing w:line="276" w:lineRule="auto"/>
              <w:rPr>
                <w:lang w:eastAsia="en-GB"/>
              </w:rPr>
            </w:pPr>
            <w:r w:rsidRPr="00865E56">
              <w:rPr>
                <w:lang w:eastAsia="en-GB"/>
              </w:rPr>
              <w:t>Leads and supports others</w:t>
            </w:r>
          </w:p>
        </w:tc>
        <w:tc>
          <w:tcPr>
            <w:tcW w:w="0" w:type="auto"/>
            <w:tcBorders>
              <w:top w:val="nil"/>
              <w:left w:val="single" w:sz="6" w:space="0" w:color="auto"/>
              <w:bottom w:val="single" w:sz="6" w:space="0" w:color="auto"/>
              <w:right w:val="single" w:sz="6" w:space="0" w:color="auto"/>
            </w:tcBorders>
            <w:hideMark/>
          </w:tcPr>
          <w:p w14:paraId="15C9F5F1" w14:textId="77777777" w:rsidR="00865E56" w:rsidRPr="00865E56" w:rsidRDefault="00865E56" w:rsidP="00865E56">
            <w:pPr>
              <w:spacing w:line="276" w:lineRule="auto"/>
              <w:rPr>
                <w:lang w:eastAsia="en-GB"/>
              </w:rPr>
            </w:pPr>
            <w:r w:rsidRPr="00865E56">
              <w:rPr>
                <w:lang w:eastAsia="en-GB"/>
              </w:rPr>
              <w:t>Changes strategy and explains why</w:t>
            </w:r>
          </w:p>
        </w:tc>
      </w:tr>
    </w:tbl>
    <w:p w14:paraId="78022EB2" w14:textId="77777777" w:rsidR="00865E56" w:rsidRDefault="00865E56" w:rsidP="00865E56">
      <w:pPr>
        <w:spacing w:line="276" w:lineRule="auto"/>
        <w:rPr>
          <w:lang w:eastAsia="en-GB"/>
        </w:rPr>
      </w:pPr>
    </w:p>
    <w:p w14:paraId="3CB4F788" w14:textId="205F02FC" w:rsidR="00865E56" w:rsidRPr="00865E56" w:rsidRDefault="00865E56" w:rsidP="00865E56">
      <w:pPr>
        <w:spacing w:line="276" w:lineRule="auto"/>
        <w:rPr>
          <w:lang w:eastAsia="en-GB"/>
        </w:rPr>
      </w:pPr>
      <w:r w:rsidRPr="00865E56">
        <w:rPr>
          <w:lang w:eastAsia="en-GB"/>
        </w:rPr>
        <w:t xml:space="preserve">The rubric was intentionally built to balance theoretical quality with practical usability. PE teachers frequently assess while simultaneously instructing pupils, organising equipment, securing safety and managing behaviour. Excessively complex assessment tools may appear rigorous in principle but become unrealistic in live lessons. For this </w:t>
      </w:r>
      <w:r w:rsidRPr="00865E56">
        <w:rPr>
          <w:lang w:eastAsia="en-GB"/>
        </w:rPr>
        <w:lastRenderedPageBreak/>
        <w:t>reason, descriptors were succinct while still representing meaningful differences in progression.</w:t>
      </w:r>
    </w:p>
    <w:p w14:paraId="0588FB58" w14:textId="77777777" w:rsidR="00865E56" w:rsidRPr="00865E56" w:rsidRDefault="00865E56" w:rsidP="00865E56">
      <w:pPr>
        <w:spacing w:line="276" w:lineRule="auto"/>
        <w:rPr>
          <w:lang w:eastAsia="en-GB"/>
        </w:rPr>
      </w:pPr>
      <w:r w:rsidRPr="00865E56">
        <w:rPr>
          <w:lang w:eastAsia="en-GB"/>
        </w:rPr>
        <w:t>Student voice statements were included because assessment literacy improves when learners understand the criteria being used (Black and Wiliam, 2009). Rather than presenting abstract SOLO terminology to children, the rubric translates progression into accessible language. This may support self-assessment, target setting and pupil ownership of learning.</w:t>
      </w:r>
    </w:p>
    <w:p w14:paraId="731F17C3" w14:textId="77777777" w:rsidR="00865E56" w:rsidRPr="00865E56" w:rsidRDefault="00865E56" w:rsidP="00865E56">
      <w:pPr>
        <w:spacing w:line="276" w:lineRule="auto"/>
        <w:rPr>
          <w:lang w:eastAsia="en-GB"/>
        </w:rPr>
      </w:pPr>
      <w:r w:rsidRPr="00865E56">
        <w:rPr>
          <w:lang w:eastAsia="en-GB"/>
        </w:rPr>
        <w:t>The rubric assesses four interconnected domains: movement skills, thinking and understanding, personal and social learning, and observable evidence. This reflects Whitehead’s (2010) multidimensional view of physical literacy, making sure that physical competence remains important without dominating the judgment. (Dudley, 2015, pp. 236-260)</w:t>
      </w:r>
    </w:p>
    <w:p w14:paraId="0ADF87E8" w14:textId="77777777" w:rsidR="00865E56" w:rsidRPr="00865E56" w:rsidRDefault="00865E56" w:rsidP="00865E56">
      <w:pPr>
        <w:spacing w:line="276" w:lineRule="auto"/>
        <w:rPr>
          <w:lang w:eastAsia="en-GB"/>
        </w:rPr>
      </w:pPr>
      <w:r w:rsidRPr="00865E56">
        <w:rPr>
          <w:lang w:eastAsia="en-GB"/>
        </w:rPr>
        <w:t>Part 3: Application and Evaluation of the Assessment Tool</w:t>
      </w:r>
    </w:p>
    <w:p w14:paraId="3C6D90B2" w14:textId="77777777" w:rsidR="00865E56" w:rsidRPr="00865E56" w:rsidRDefault="00865E56" w:rsidP="00865E56">
      <w:pPr>
        <w:spacing w:line="276" w:lineRule="auto"/>
        <w:rPr>
          <w:lang w:eastAsia="en-GB"/>
        </w:rPr>
      </w:pPr>
      <w:r w:rsidRPr="00865E56">
        <w:rPr>
          <w:lang w:eastAsia="en-GB"/>
        </w:rPr>
        <w:t>The rubric was applied during a Year 5/6 PE lesson at a Welsh primary school, focusing on a small-sided end-zone handball activity. The lesson lasted 50 minutes and involved 24 pupils aged 9 to 11 years. The learning intentions were for pupils to develop the ability to pass and receive under pressure, move effectively in space, make attacking decisions and cooperate positively within teams. These outcomes were selected because invasion games provide rich opportunities to observe movement competence, tactical reasoning and social interaction simultaneously.</w:t>
      </w:r>
    </w:p>
    <w:p w14:paraId="5254C618" w14:textId="2E3C0A4E" w:rsidR="00865E56" w:rsidRPr="00865E56" w:rsidRDefault="00865E56" w:rsidP="00865E56">
      <w:pPr>
        <w:spacing w:line="276" w:lineRule="auto"/>
        <w:rPr>
          <w:lang w:eastAsia="en-GB"/>
        </w:rPr>
      </w:pPr>
      <w:r w:rsidRPr="00865E56">
        <w:rPr>
          <w:lang w:eastAsia="en-GB"/>
        </w:rPr>
        <w:t>During the lesson, six pupils were sampled in detail</w:t>
      </w:r>
      <w:r>
        <w:rPr>
          <w:lang w:eastAsia="en-GB"/>
        </w:rPr>
        <w:t>,</w:t>
      </w:r>
      <w:r w:rsidRPr="00865E56">
        <w:rPr>
          <w:lang w:eastAsia="en-GB"/>
        </w:rPr>
        <w:t xml:space="preserve"> while larger</w:t>
      </w:r>
      <w:r>
        <w:rPr>
          <w:lang w:eastAsia="en-GB"/>
        </w:rPr>
        <w:t>-</w:t>
      </w:r>
      <w:r w:rsidRPr="00865E56">
        <w:rPr>
          <w:lang w:eastAsia="en-GB"/>
        </w:rPr>
        <w:t>class trends were also recorded. The selective observation model was used because assessing every pupil comprehensively during live activity can be unrealistic and may compromise teaching quality. Hay and Penney (2013) argue that PE assessment must remain manageable to be sustainable in practice.</w:t>
      </w:r>
    </w:p>
    <w:p w14:paraId="194060DC" w14:textId="2A61F5AA" w:rsidR="00865E56" w:rsidRPr="00865E56" w:rsidRDefault="00865E56" w:rsidP="00865E56">
      <w:pPr>
        <w:spacing w:line="276" w:lineRule="auto"/>
        <w:rPr>
          <w:lang w:eastAsia="en-GB"/>
        </w:rPr>
      </w:pPr>
      <w:r w:rsidRPr="00865E56">
        <w:rPr>
          <w:lang w:eastAsia="en-GB"/>
        </w:rPr>
        <w:t xml:space="preserve">Aisha initially remained on the sidelines, avoided involvement, and repeatedly sought reassurance from the teacher about where to stand. Her movement was hesitant, and she demonstrated limited comprehension of the game structure. She was therefore assessed at the prestructural level. Ben was able to complete an accurate chest pass when stationary and </w:t>
      </w:r>
      <w:r w:rsidRPr="00865E56">
        <w:rPr>
          <w:lang w:eastAsia="en-GB"/>
        </w:rPr>
        <w:t>unopposed but</w:t>
      </w:r>
      <w:r w:rsidRPr="00865E56">
        <w:rPr>
          <w:lang w:eastAsia="en-GB"/>
        </w:rPr>
        <w:t xml:space="preserve"> rarely moved after releasing the ball and showed restricted awareness of space. His performance reflected the unistructural level because one element of competence was evident, but a wider connection was absent.</w:t>
      </w:r>
    </w:p>
    <w:p w14:paraId="55D09F1A" w14:textId="77777777" w:rsidR="00865E56" w:rsidRPr="00865E56" w:rsidRDefault="00865E56" w:rsidP="00865E56">
      <w:pPr>
        <w:spacing w:line="276" w:lineRule="auto"/>
        <w:rPr>
          <w:lang w:eastAsia="en-GB"/>
        </w:rPr>
      </w:pPr>
      <w:r w:rsidRPr="00865E56">
        <w:rPr>
          <w:lang w:eastAsia="en-GB"/>
        </w:rPr>
        <w:t xml:space="preserve">Chloe showed steady ability to run, catch, and pass. However, she frequently passed through busy areas and had difficulty connecting skill execution with tactical timing. She was therefore assessed at the multistructural level, as several relevant elements were present but not yet integrated. Dylan regularly moved into space after each pass, communicated effectively with teammates and selected productive attacking options. His play demonstrated coordinated skill use and decision making, leading to a </w:t>
      </w:r>
      <w:r w:rsidRPr="00865E56">
        <w:rPr>
          <w:lang w:eastAsia="en-GB"/>
        </w:rPr>
        <w:lastRenderedPageBreak/>
        <w:t>relational judgement. Faris similarly showed consistent support play, competent movement and appropriate communication and was also placed at the relational level.</w:t>
      </w:r>
    </w:p>
    <w:p w14:paraId="3F7497B7" w14:textId="77777777" w:rsidR="00865E56" w:rsidRPr="00865E56" w:rsidRDefault="00865E56" w:rsidP="00865E56">
      <w:pPr>
        <w:spacing w:line="276" w:lineRule="auto"/>
        <w:rPr>
          <w:lang w:eastAsia="en-GB"/>
        </w:rPr>
      </w:pPr>
      <w:r w:rsidRPr="00865E56">
        <w:rPr>
          <w:lang w:eastAsia="en-GB"/>
        </w:rPr>
        <w:t>Eva demonstrated the most advanced performance. She recognised that defenders were marking tightly, suggested that her team widen their spacing, altered the tempo of play and actively encouraged peers after mistakes. Her performance reflected adaptation, reflection and leadership, and she was therefore judged at the extended abstract level.</w:t>
      </w:r>
    </w:p>
    <w:p w14:paraId="76ED1733" w14:textId="77777777" w:rsidR="00865E56" w:rsidRPr="00865E56" w:rsidRDefault="00865E56" w:rsidP="00865E56">
      <w:pPr>
        <w:spacing w:line="276" w:lineRule="auto"/>
        <w:rPr>
          <w:lang w:eastAsia="en-GB"/>
        </w:rPr>
      </w:pPr>
      <w:r w:rsidRPr="00865E56">
        <w:rPr>
          <w:lang w:eastAsia="en-GB"/>
        </w:rPr>
        <w:t>Across the wider class, the overall distribution suggested that most pupils operated within Levels 3 and 4. This indicated that many were able to participate competently and combine skills to some extent, while fewer demonstrated the advanced adaptability associated with Level 5. A small number remained hesitant or highly dependent on teacher guidance. (Government, 2024) This spread of outcomes suggested that the rubric could differentiate among varied forms of learning rather than clustering all pupils into a single, simplistic judgement. (</w:t>
      </w:r>
      <w:proofErr w:type="spellStart"/>
      <w:r w:rsidRPr="00865E56">
        <w:rPr>
          <w:lang w:eastAsia="en-GB"/>
        </w:rPr>
        <w:t>InclusivePE</w:t>
      </w:r>
      <w:proofErr w:type="spellEnd"/>
      <w:r w:rsidRPr="00865E56">
        <w:rPr>
          <w:lang w:eastAsia="en-GB"/>
        </w:rPr>
        <w:t>, 2019)</w:t>
      </w:r>
    </w:p>
    <w:p w14:paraId="00A009ED" w14:textId="3D7FBECB" w:rsidR="00865E56" w:rsidRPr="00865E56" w:rsidRDefault="00865E56" w:rsidP="00865E56">
      <w:pPr>
        <w:spacing w:line="276" w:lineRule="auto"/>
        <w:rPr>
          <w:lang w:eastAsia="en-GB"/>
        </w:rPr>
      </w:pPr>
      <w:r w:rsidRPr="00865E56">
        <w:rPr>
          <w:lang w:eastAsia="en-GB"/>
        </w:rPr>
        <w:t xml:space="preserve">Peer feedback was sought from a fellow trainee teacher who observed both the lesson and the assessment process. The reviewer commented that the descriptors were clear, broad and more meaningful than judging skill execution alone. The student voice language was </w:t>
      </w:r>
      <w:r>
        <w:rPr>
          <w:lang w:eastAsia="en-GB"/>
        </w:rPr>
        <w:t>considered</w:t>
      </w:r>
      <w:r w:rsidRPr="00865E56">
        <w:rPr>
          <w:lang w:eastAsia="en-GB"/>
        </w:rPr>
        <w:t xml:space="preserve"> especially helpful </w:t>
      </w:r>
      <w:r>
        <w:rPr>
          <w:lang w:eastAsia="en-GB"/>
        </w:rPr>
        <w:t>in</w:t>
      </w:r>
      <w:r w:rsidRPr="00865E56">
        <w:rPr>
          <w:lang w:eastAsia="en-GB"/>
        </w:rPr>
        <w:t xml:space="preserve"> making the criteria understandable to children. The peer also suggested that the distinction between Levels 4 and 5 could blur during fast-paced play, as several pupils demonstrated effective teamwork simultaneously. Additional note-taking space and exemplars of higher-level behaviours were recommended.</w:t>
      </w:r>
    </w:p>
    <w:p w14:paraId="16A96918" w14:textId="77777777" w:rsidR="00865E56" w:rsidRPr="00865E56" w:rsidRDefault="00865E56" w:rsidP="00865E56">
      <w:pPr>
        <w:spacing w:line="276" w:lineRule="auto"/>
        <w:rPr>
          <w:lang w:eastAsia="en-GB"/>
        </w:rPr>
      </w:pPr>
      <w:r w:rsidRPr="00865E56">
        <w:rPr>
          <w:lang w:eastAsia="en-GB"/>
        </w:rPr>
        <w:t>This feedback was valuable because moderation and professional dialogue can strengthen teacher judgement and improve consistency (</w:t>
      </w:r>
      <w:proofErr w:type="spellStart"/>
      <w:r w:rsidRPr="00865E56">
        <w:rPr>
          <w:lang w:eastAsia="en-GB"/>
        </w:rPr>
        <w:t>Leirhaug</w:t>
      </w:r>
      <w:proofErr w:type="spellEnd"/>
      <w:r w:rsidRPr="00865E56">
        <w:rPr>
          <w:lang w:eastAsia="en-GB"/>
        </w:rPr>
        <w:t xml:space="preserve"> and MacPhail, 2015). It was recognised that follow-up questioning after activities could help distinguish between pupils who simply performed effectively and those who consciously adapted their strategy. Such additions would strengthen the tool's validity by making hidden thinking more visible.</w:t>
      </w:r>
    </w:p>
    <w:p w14:paraId="7C3186B2" w14:textId="77777777" w:rsidR="00865E56" w:rsidRPr="00865E56" w:rsidRDefault="00865E56" w:rsidP="00865E56">
      <w:pPr>
        <w:spacing w:line="276" w:lineRule="auto"/>
        <w:rPr>
          <w:lang w:eastAsia="en-GB"/>
        </w:rPr>
      </w:pPr>
      <w:r w:rsidRPr="00865E56">
        <w:rPr>
          <w:lang w:eastAsia="en-GB"/>
        </w:rPr>
        <w:t>Overall, the application process suggested that the rubric was practical enough for real lesson use, particularly when focused sampling approaches were employed. It generated meaningful evidence about movement learning that exceeded technical competence alone. (Eddy et al., 2021, pp. 236-249)</w:t>
      </w:r>
    </w:p>
    <w:p w14:paraId="13096339" w14:textId="77777777" w:rsidR="00865E56" w:rsidRPr="00865E56" w:rsidRDefault="00865E56" w:rsidP="00865E56">
      <w:pPr>
        <w:spacing w:line="276" w:lineRule="auto"/>
        <w:rPr>
          <w:lang w:eastAsia="en-GB"/>
        </w:rPr>
      </w:pPr>
      <w:r w:rsidRPr="00865E56">
        <w:rPr>
          <w:lang w:eastAsia="en-GB"/>
        </w:rPr>
        <w:t>Part 4: Critical Reflection on the Effectiveness of the Assessment Process</w:t>
      </w:r>
    </w:p>
    <w:p w14:paraId="6A3049DC" w14:textId="2112F4B2" w:rsidR="00865E56" w:rsidRPr="00865E56" w:rsidRDefault="00865E56" w:rsidP="00865E56">
      <w:pPr>
        <w:spacing w:line="276" w:lineRule="auto"/>
        <w:rPr>
          <w:lang w:eastAsia="en-GB"/>
        </w:rPr>
      </w:pPr>
      <w:r w:rsidRPr="00865E56">
        <w:rPr>
          <w:lang w:eastAsia="en-GB"/>
        </w:rPr>
        <w:t xml:space="preserve">A major strength of the rubric was its ability to recognise holistic learning. Traditional PE assessment might have focused primarily on which pupils passed most accurately, moved fastest or scored the most points. In contrast, the rubric enabled pupils such as Eva to be recognised for leadership, communication and tactical adaptation. This broader view better reflects the educational purposes of PE and is consistent with </w:t>
      </w:r>
      <w:r w:rsidRPr="00865E56">
        <w:rPr>
          <w:lang w:eastAsia="en-GB"/>
        </w:rPr>
        <w:lastRenderedPageBreak/>
        <w:t>contemporary arguments that meaningful PE should include social interaction, challenge, enjoyment</w:t>
      </w:r>
      <w:r>
        <w:rPr>
          <w:lang w:eastAsia="en-GB"/>
        </w:rPr>
        <w:t>,</w:t>
      </w:r>
      <w:r w:rsidRPr="00865E56">
        <w:rPr>
          <w:lang w:eastAsia="en-GB"/>
        </w:rPr>
        <w:t xml:space="preserve"> and competence </w:t>
      </w:r>
      <w:r>
        <w:rPr>
          <w:lang w:eastAsia="en-GB"/>
        </w:rPr>
        <w:t>rather</w:t>
      </w:r>
      <w:r w:rsidRPr="00865E56">
        <w:rPr>
          <w:lang w:eastAsia="en-GB"/>
        </w:rPr>
        <w:t xml:space="preserve"> </w:t>
      </w:r>
      <w:r>
        <w:rPr>
          <w:lang w:eastAsia="en-GB"/>
        </w:rPr>
        <w:t>than</w:t>
      </w:r>
      <w:r w:rsidRPr="00865E56">
        <w:rPr>
          <w:lang w:eastAsia="en-GB"/>
        </w:rPr>
        <w:t xml:space="preserve"> isolated performance outcomes (Beni, Fletcher</w:t>
      </w:r>
      <w:r>
        <w:rPr>
          <w:lang w:eastAsia="en-GB"/>
        </w:rPr>
        <w:t>,</w:t>
      </w:r>
      <w:r w:rsidRPr="00865E56">
        <w:rPr>
          <w:lang w:eastAsia="en-GB"/>
        </w:rPr>
        <w:t xml:space="preserve"> and Ní </w:t>
      </w:r>
      <w:proofErr w:type="spellStart"/>
      <w:r w:rsidRPr="00865E56">
        <w:rPr>
          <w:lang w:eastAsia="en-GB"/>
        </w:rPr>
        <w:t>Chróinín</w:t>
      </w:r>
      <w:proofErr w:type="spellEnd"/>
      <w:r w:rsidRPr="00865E56">
        <w:rPr>
          <w:lang w:eastAsia="en-GB"/>
        </w:rPr>
        <w:t>, 2017). (Beni et al., 2017)</w:t>
      </w:r>
    </w:p>
    <w:p w14:paraId="598E7A0D" w14:textId="77777777" w:rsidR="00865E56" w:rsidRPr="00865E56" w:rsidRDefault="00865E56" w:rsidP="00865E56">
      <w:pPr>
        <w:spacing w:line="276" w:lineRule="auto"/>
        <w:rPr>
          <w:lang w:eastAsia="en-GB"/>
        </w:rPr>
      </w:pPr>
      <w:r w:rsidRPr="00865E56">
        <w:rPr>
          <w:lang w:eastAsia="en-GB"/>
        </w:rPr>
        <w:t>The rubric also supported inclusion by broadening definitions of success. Pupils with lower technical competence were not automatically positioned as unsuccessful. A child could demonstrate progress through increased confidence, improved engagement, better cooperation or developing understanding. This is especially important in mixed-ability primary settings where prior opportunities vary substantially. Lynch (2019) argues that inclusive PE requires teachers to recognise diverse learner strengths rather than reproducing narrow performance hierarchies. In this respect, the rubric represented a more impartial model than traditional skill-dominated assessment.</w:t>
      </w:r>
    </w:p>
    <w:p w14:paraId="49ED2B99" w14:textId="17BCB603" w:rsidR="00865E56" w:rsidRPr="00865E56" w:rsidRDefault="00865E56" w:rsidP="00865E56">
      <w:pPr>
        <w:spacing w:line="276" w:lineRule="auto"/>
        <w:rPr>
          <w:lang w:eastAsia="en-GB"/>
        </w:rPr>
      </w:pPr>
      <w:r w:rsidRPr="00865E56">
        <w:rPr>
          <w:lang w:eastAsia="en-GB"/>
        </w:rPr>
        <w:t xml:space="preserve">Another strength was its formative value. Because each level reflected progression, feedback could be targeted precisely. A pupil operating at Level 1 might need reassurance, simplified rules and supported entry into activity. A pupil at Level 3 might need guidance connecting decisions tactically, while a pupil at Level 4 might be challenged to modify strategies independently. Black and Wiliam (2009) emphasise that assessment has the greatest impact when it informs </w:t>
      </w:r>
      <w:r>
        <w:rPr>
          <w:lang w:eastAsia="en-GB"/>
        </w:rPr>
        <w:t xml:space="preserve">the </w:t>
      </w:r>
      <w:r w:rsidRPr="00865E56">
        <w:rPr>
          <w:lang w:eastAsia="en-GB"/>
        </w:rPr>
        <w:t>following steps in learning, and the rubric was effective in making progression visible. (Black &amp; Wiliam, 2009, pp. 5-31)</w:t>
      </w:r>
    </w:p>
    <w:p w14:paraId="2AAE757C" w14:textId="77777777" w:rsidR="00865E56" w:rsidRPr="00865E56" w:rsidRDefault="00865E56" w:rsidP="00865E56">
      <w:pPr>
        <w:spacing w:line="276" w:lineRule="auto"/>
        <w:rPr>
          <w:lang w:eastAsia="en-GB"/>
        </w:rPr>
      </w:pPr>
      <w:r w:rsidRPr="00865E56">
        <w:rPr>
          <w:lang w:eastAsia="en-GB"/>
        </w:rPr>
        <w:t>The tool likewise aligned well with Welsh educational priorities. The Curriculum for Wales emphasises the development of healthy, confident individuals and recognises wellbeing as holistic (Welsh Government, 2022). Through valuing confidence, communication, cooperation and reflective decision-making alongside movement competence, the rubric was more consistent with these policy aims than narrow fitness or performance testing.</w:t>
      </w:r>
    </w:p>
    <w:p w14:paraId="01DDD4EA" w14:textId="37A21F36" w:rsidR="00865E56" w:rsidRPr="00865E56" w:rsidRDefault="00865E56" w:rsidP="00865E56">
      <w:pPr>
        <w:spacing w:line="276" w:lineRule="auto"/>
        <w:rPr>
          <w:lang w:eastAsia="en-GB"/>
        </w:rPr>
      </w:pPr>
      <w:r w:rsidRPr="00865E56">
        <w:rPr>
          <w:lang w:eastAsia="en-GB"/>
        </w:rPr>
        <w:t xml:space="preserve">Although these strengths, several limitations emerged. First, reliability continues </w:t>
      </w:r>
      <w:r>
        <w:rPr>
          <w:lang w:eastAsia="en-GB"/>
        </w:rPr>
        <w:t xml:space="preserve">to be </w:t>
      </w:r>
      <w:r w:rsidRPr="00865E56">
        <w:rPr>
          <w:lang w:eastAsia="en-GB"/>
        </w:rPr>
        <w:t xml:space="preserve">a challenge. Even with descriptors, observation requires professional judgement. Different teachers may disagree over whether a pupil’s behaviour is multistructural or relational, </w:t>
      </w:r>
      <w:r>
        <w:rPr>
          <w:lang w:eastAsia="en-GB"/>
        </w:rPr>
        <w:t>particular</w:t>
      </w:r>
      <w:r w:rsidRPr="00865E56">
        <w:rPr>
          <w:lang w:eastAsia="en-GB"/>
        </w:rPr>
        <w:t xml:space="preserve">ly in dynamic game contexts </w:t>
      </w:r>
      <w:r>
        <w:rPr>
          <w:lang w:eastAsia="en-GB"/>
        </w:rPr>
        <w:t>where</w:t>
      </w:r>
      <w:r w:rsidRPr="00865E56">
        <w:rPr>
          <w:lang w:eastAsia="en-GB"/>
        </w:rPr>
        <w:t xml:space="preserve"> multiple actions occur simultaneously. (Barker et al., 2025, pp. 395-411) Harlen (2005) notes that teacher judgement can be educationally valuable but requires moderation and shared criteria if it is to be trusted. This suggests that exemplar videos, co-assessment and departmental moderation would improve consistency.</w:t>
      </w:r>
    </w:p>
    <w:p w14:paraId="363DD7B2" w14:textId="77777777" w:rsidR="00865E56" w:rsidRPr="00865E56" w:rsidRDefault="00865E56" w:rsidP="00865E56">
      <w:pPr>
        <w:spacing w:line="276" w:lineRule="auto"/>
        <w:rPr>
          <w:lang w:eastAsia="en-GB"/>
        </w:rPr>
      </w:pPr>
      <w:r w:rsidRPr="00865E56">
        <w:rPr>
          <w:lang w:eastAsia="en-GB"/>
        </w:rPr>
        <w:t>Second, validity was only partial because some forms of understanding remained hidden. A quiet pupil may possess strong tactical cognisance but communicate little publicly. Similarly, an anxious child may underperform even when they understand the task. Observation alone can therefore privilege visible behaviours. Combining the rubric with questioning, pupil reflection journals or peer feedback would provide richer evidence and strengthen validity. (Barker et al., 2025, pp. 1-17)</w:t>
      </w:r>
    </w:p>
    <w:p w14:paraId="7D889477" w14:textId="77777777" w:rsidR="00865E56" w:rsidRPr="00865E56" w:rsidRDefault="00865E56" w:rsidP="00865E56">
      <w:pPr>
        <w:spacing w:line="276" w:lineRule="auto"/>
        <w:rPr>
          <w:lang w:eastAsia="en-GB"/>
        </w:rPr>
      </w:pPr>
      <w:r w:rsidRPr="00865E56">
        <w:rPr>
          <w:lang w:eastAsia="en-GB"/>
        </w:rPr>
        <w:lastRenderedPageBreak/>
        <w:t>Third, the assessment represented only a snapshot in time. One lesson can be influenced by mood, fatigue, friendship dynamics or unfamiliarity with the activity. Penney et al. (2009) argue that robust PE assessment should draw upon multiple sources over time rather than single-event judgements. Repeated observations throughout a unit of work would therefore produce more credible conclusions.</w:t>
      </w:r>
    </w:p>
    <w:p w14:paraId="7BB4910A" w14:textId="77777777" w:rsidR="00865E56" w:rsidRPr="00865E56" w:rsidRDefault="00865E56" w:rsidP="00865E56">
      <w:pPr>
        <w:spacing w:line="276" w:lineRule="auto"/>
        <w:rPr>
          <w:lang w:eastAsia="en-GB"/>
        </w:rPr>
      </w:pPr>
      <w:r w:rsidRPr="00865E56">
        <w:rPr>
          <w:lang w:eastAsia="en-GB"/>
        </w:rPr>
        <w:t>A further limitation concerned workload and practicality. Simultaneously teaching, managing behaviour, securing safety and recording evidence was demanding. In real school settings, attempting to score every pupil in detail during one lesson may be unrealistic. Rotational sampling, digital recording tools or peer-assisted evidence gathering may be better sustainable approaches. (Cropley et al., 2010, pp. 7-27)</w:t>
      </w:r>
    </w:p>
    <w:p w14:paraId="592D178E" w14:textId="77777777" w:rsidR="00865E56" w:rsidRPr="00865E56" w:rsidRDefault="00865E56" w:rsidP="00865E56">
      <w:pPr>
        <w:spacing w:line="276" w:lineRule="auto"/>
        <w:rPr>
          <w:lang w:eastAsia="en-GB"/>
        </w:rPr>
      </w:pPr>
      <w:r w:rsidRPr="00865E56">
        <w:rPr>
          <w:lang w:eastAsia="en-GB"/>
        </w:rPr>
        <w:t>This process also highlighted an important tension between reliability and validity. Highly standardised checklists may yield more consistent scores, yet they often narrow what is valued, consequently reducing validity relative to the wider aims of PE. Conversely, a rubric such as this involves more interpretation but may more effectively capture authentic movement learning, decision-making and social development. Effective PE assessment, therefore, requires balance rather than the pursuit of rigid accuracy alone. (Doe &amp; Smith, 2010)</w:t>
      </w:r>
    </w:p>
    <w:p w14:paraId="31ED8438" w14:textId="576D2B90" w:rsidR="00865E56" w:rsidRPr="00865E56" w:rsidRDefault="00865E56" w:rsidP="00865E56">
      <w:pPr>
        <w:spacing w:line="276" w:lineRule="auto"/>
        <w:rPr>
          <w:lang w:eastAsia="en-GB"/>
        </w:rPr>
      </w:pPr>
      <w:r w:rsidRPr="00865E56">
        <w:rPr>
          <w:lang w:eastAsia="en-GB"/>
        </w:rPr>
        <w:t xml:space="preserve">Professionally, designing the rubric changed my own understanding of assessment. Previously, I associated PE assessment largely with observing technique and measurable performance. This process highlighted that movement learning is deeply emotional, social and cognitive. As a future teacher in Wales, I would seek to use assessment not to rank children, but to build confidence, </w:t>
      </w:r>
      <w:r>
        <w:rPr>
          <w:kern w:val="0"/>
          <w:lang w:eastAsia="en-GB"/>
          <w14:ligatures w14:val="none"/>
        </w:rPr>
        <w:t>foster inclusion, and cultivate positive relationships through</w:t>
      </w:r>
      <w:r w:rsidRPr="00865E56">
        <w:rPr>
          <w:lang w:eastAsia="en-GB"/>
        </w:rPr>
        <w:t xml:space="preserve"> movement.</w:t>
      </w:r>
    </w:p>
    <w:p w14:paraId="7FF625D1" w14:textId="77777777" w:rsidR="00865E56" w:rsidRPr="00865E56" w:rsidRDefault="00865E56" w:rsidP="00865E56">
      <w:pPr>
        <w:spacing w:line="276" w:lineRule="auto"/>
        <w:rPr>
          <w:lang w:eastAsia="en-GB"/>
        </w:rPr>
      </w:pPr>
      <w:r w:rsidRPr="00865E56">
        <w:rPr>
          <w:lang w:eastAsia="en-GB"/>
        </w:rPr>
        <w:t>Future development of the tool would include integrating pupil self-assessment, using video exemplars to support moderation and gathering evidence across longer units of work. These adaptations would likely improve reliability, learner ownership and long-term usefulness.</w:t>
      </w:r>
    </w:p>
    <w:p w14:paraId="2115BC16" w14:textId="77777777" w:rsidR="00865E56" w:rsidRPr="00865E56" w:rsidRDefault="00865E56" w:rsidP="00865E56">
      <w:pPr>
        <w:spacing w:line="276" w:lineRule="auto"/>
        <w:rPr>
          <w:lang w:eastAsia="en-GB"/>
        </w:rPr>
      </w:pPr>
      <w:r w:rsidRPr="00865E56">
        <w:rPr>
          <w:lang w:eastAsia="en-GB"/>
        </w:rPr>
        <w:t>Conclusion</w:t>
      </w:r>
    </w:p>
    <w:p w14:paraId="59DD66E4" w14:textId="77777777" w:rsidR="00865E56" w:rsidRPr="00865E56" w:rsidRDefault="00865E56" w:rsidP="00865E56">
      <w:pPr>
        <w:spacing w:line="276" w:lineRule="auto"/>
        <w:rPr>
          <w:lang w:eastAsia="en-GB"/>
        </w:rPr>
      </w:pPr>
      <w:r w:rsidRPr="00865E56">
        <w:rPr>
          <w:lang w:eastAsia="en-GB"/>
        </w:rPr>
        <w:t>This portfolio was designed, applied, and critically evaluated an inclusive Physical Literacy Observation Rubric for pupils aged 9 to 11 within a Welsh primary PE context. Drawing upon contemporary scholarship and national policy, the tool sought to broaden assessment beyond narrow measures of sporting performance and technical skill. Using the SOLO taxonomy, progression was conceptualised from hesitant participation to integrated, adaptive, and reflective movement engagement.</w:t>
      </w:r>
    </w:p>
    <w:p w14:paraId="1DC11CEF" w14:textId="77777777" w:rsidR="00865E56" w:rsidRPr="00865E56" w:rsidRDefault="00865E56" w:rsidP="00865E56">
      <w:pPr>
        <w:spacing w:line="276" w:lineRule="auto"/>
        <w:rPr>
          <w:lang w:eastAsia="en-GB"/>
        </w:rPr>
      </w:pPr>
      <w:r w:rsidRPr="00865E56">
        <w:rPr>
          <w:lang w:eastAsia="en-GB"/>
        </w:rPr>
        <w:t xml:space="preserve">An application within an invasion games lesson demonstrated that the rubric could distinguish among varied levels of learning while generating meaningful formative feedback. Peer evaluation suggested that the tool was practical, accessible and </w:t>
      </w:r>
      <w:r w:rsidRPr="00865E56">
        <w:rPr>
          <w:lang w:eastAsia="en-GB"/>
        </w:rPr>
        <w:lastRenderedPageBreak/>
        <w:t>broader than skill-only assessment, although further exemplification would improve consistency.</w:t>
      </w:r>
    </w:p>
    <w:p w14:paraId="147FCA14" w14:textId="634EA784" w:rsidR="00865E56" w:rsidRPr="00865E56" w:rsidRDefault="00865E56" w:rsidP="00865E56">
      <w:pPr>
        <w:spacing w:line="276" w:lineRule="auto"/>
        <w:rPr>
          <w:lang w:eastAsia="en-GB"/>
        </w:rPr>
      </w:pPr>
      <w:r w:rsidRPr="00865E56">
        <w:rPr>
          <w:lang w:eastAsia="en-GB"/>
        </w:rPr>
        <w:t xml:space="preserve">Critically, the process strengthened the </w:t>
      </w:r>
      <w:r>
        <w:rPr>
          <w:lang w:eastAsia="en-GB"/>
        </w:rPr>
        <w:t>view</w:t>
      </w:r>
      <w:r w:rsidRPr="00865E56">
        <w:rPr>
          <w:lang w:eastAsia="en-GB"/>
        </w:rPr>
        <w:t xml:space="preserve"> that effective PE assessment should recognise confidence, understanding, cooperation, adaptability, and motivation</w:t>
      </w:r>
      <w:r>
        <w:rPr>
          <w:lang w:eastAsia="en-GB"/>
        </w:rPr>
        <w:t>,</w:t>
      </w:r>
      <w:r w:rsidRPr="00865E56">
        <w:rPr>
          <w:lang w:eastAsia="en-GB"/>
        </w:rPr>
        <w:t xml:space="preserve"> </w:t>
      </w:r>
      <w:r>
        <w:rPr>
          <w:lang w:eastAsia="en-GB"/>
        </w:rPr>
        <w:t>alongside</w:t>
      </w:r>
      <w:r w:rsidRPr="00865E56">
        <w:rPr>
          <w:lang w:eastAsia="en-GB"/>
        </w:rPr>
        <w:t xml:space="preserve"> physical competence. These qualities are central to lifelong engagement in movement and align strongly with the aspirations of the Curriculum for Wales. While limitations regarding subjectivity, workload, and the breadth of evidence remain, the rubric represents a credible, equitable, and research-informed model for contemporary primary PE assessment.</w:t>
      </w:r>
    </w:p>
    <w:p w14:paraId="3CE3E086" w14:textId="54E7F66C" w:rsidR="00934E4D" w:rsidRPr="00934E4D" w:rsidRDefault="00934E4D" w:rsidP="00865E56">
      <w:pPr>
        <w:spacing w:line="276" w:lineRule="auto"/>
        <w:rPr>
          <w:lang w:eastAsia="en-GB"/>
        </w:rPr>
      </w:pPr>
    </w:p>
    <w:p w14:paraId="0D29508C" w14:textId="77777777" w:rsidR="00934E4D" w:rsidRPr="00934E4D" w:rsidRDefault="00934E4D" w:rsidP="00865E56">
      <w:pPr>
        <w:spacing w:line="276" w:lineRule="auto"/>
        <w:rPr>
          <w:lang w:eastAsia="en-GB"/>
        </w:rPr>
      </w:pPr>
      <w:r w:rsidRPr="00934E4D">
        <w:rPr>
          <w:lang w:eastAsia="en-GB"/>
        </w:rPr>
        <w:t>Reference List</w:t>
      </w:r>
    </w:p>
    <w:p w14:paraId="0503B280" w14:textId="77777777" w:rsidR="00934E4D" w:rsidRPr="00934E4D" w:rsidRDefault="00934E4D" w:rsidP="00865E56">
      <w:pPr>
        <w:spacing w:line="276" w:lineRule="auto"/>
        <w:rPr>
          <w:lang w:eastAsia="en-GB"/>
        </w:rPr>
      </w:pPr>
      <w:r w:rsidRPr="00934E4D">
        <w:rPr>
          <w:lang w:eastAsia="en-GB"/>
        </w:rPr>
        <w:t>Andrade, H. (2005) ‘Teaching with rubrics’, College Teaching, 53(1), pp. 27–31.</w:t>
      </w:r>
    </w:p>
    <w:p w14:paraId="79E38F58" w14:textId="77777777" w:rsidR="00934E4D" w:rsidRPr="00934E4D" w:rsidRDefault="00934E4D" w:rsidP="00865E56">
      <w:pPr>
        <w:spacing w:line="276" w:lineRule="auto"/>
        <w:rPr>
          <w:lang w:eastAsia="en-GB"/>
        </w:rPr>
      </w:pPr>
      <w:r w:rsidRPr="00934E4D">
        <w:rPr>
          <w:lang w:eastAsia="en-GB"/>
        </w:rPr>
        <w:t>Barnett, L. et al. (2008) ‘Childhood motor skill proficiency as a predictor of adolescent physical activity’, Journal of Adolescent Health, 44(3), pp. 252–259.</w:t>
      </w:r>
    </w:p>
    <w:p w14:paraId="29FF21AD" w14:textId="77777777" w:rsidR="00934E4D" w:rsidRPr="00934E4D" w:rsidRDefault="00934E4D" w:rsidP="00865E56">
      <w:pPr>
        <w:spacing w:line="276" w:lineRule="auto"/>
        <w:rPr>
          <w:lang w:eastAsia="en-GB"/>
        </w:rPr>
      </w:pPr>
      <w:r w:rsidRPr="00934E4D">
        <w:rPr>
          <w:lang w:eastAsia="en-GB"/>
        </w:rPr>
        <w:t xml:space="preserve">Beni, S., Fletcher, T. and Ní </w:t>
      </w:r>
      <w:proofErr w:type="spellStart"/>
      <w:r w:rsidRPr="00934E4D">
        <w:rPr>
          <w:lang w:eastAsia="en-GB"/>
        </w:rPr>
        <w:t>Chróinín</w:t>
      </w:r>
      <w:proofErr w:type="spellEnd"/>
      <w:r w:rsidRPr="00934E4D">
        <w:rPr>
          <w:lang w:eastAsia="en-GB"/>
        </w:rPr>
        <w:t>, D. (2017) ‘Meaningful experiences in physical education’, Physical Education and Sport Pedagogy, 22(3), pp. 1–14.</w:t>
      </w:r>
    </w:p>
    <w:p w14:paraId="3BBBA351" w14:textId="77777777" w:rsidR="00934E4D" w:rsidRPr="00934E4D" w:rsidRDefault="00934E4D" w:rsidP="00865E56">
      <w:pPr>
        <w:spacing w:line="276" w:lineRule="auto"/>
        <w:rPr>
          <w:lang w:eastAsia="en-GB"/>
        </w:rPr>
      </w:pPr>
      <w:r w:rsidRPr="00934E4D">
        <w:rPr>
          <w:lang w:eastAsia="en-GB"/>
        </w:rPr>
        <w:t>Biggs, J. and Collis, K. (1982) Evaluating the Quality of Learning. New York: Academic Press.</w:t>
      </w:r>
    </w:p>
    <w:p w14:paraId="2875407B" w14:textId="77777777" w:rsidR="00934E4D" w:rsidRPr="00934E4D" w:rsidRDefault="00934E4D" w:rsidP="00865E56">
      <w:pPr>
        <w:spacing w:line="276" w:lineRule="auto"/>
        <w:rPr>
          <w:lang w:eastAsia="en-GB"/>
        </w:rPr>
      </w:pPr>
      <w:r w:rsidRPr="00934E4D">
        <w:rPr>
          <w:lang w:eastAsia="en-GB"/>
        </w:rPr>
        <w:t>Black, P. and Wiliam, D. (2009) ‘Developing the theory of formative assessment’, Educational Assessment, 21(1), pp. 5–31.</w:t>
      </w:r>
    </w:p>
    <w:p w14:paraId="3537714C" w14:textId="77777777" w:rsidR="00934E4D" w:rsidRPr="00934E4D" w:rsidRDefault="00934E4D" w:rsidP="00865E56">
      <w:pPr>
        <w:spacing w:line="276" w:lineRule="auto"/>
        <w:rPr>
          <w:lang w:eastAsia="en-GB"/>
        </w:rPr>
      </w:pPr>
      <w:r w:rsidRPr="00934E4D">
        <w:rPr>
          <w:lang w:eastAsia="en-GB"/>
        </w:rPr>
        <w:t>Chan, C. et al. (2017) ‘Applying SOLO taxonomy in assessment’, Assessment and Evaluation in Higher Education, 42(2), pp. 1–14.</w:t>
      </w:r>
    </w:p>
    <w:p w14:paraId="2B023672" w14:textId="77777777" w:rsidR="00934E4D" w:rsidRPr="00934E4D" w:rsidRDefault="00934E4D" w:rsidP="00865E56">
      <w:pPr>
        <w:spacing w:line="276" w:lineRule="auto"/>
        <w:rPr>
          <w:lang w:eastAsia="en-GB"/>
        </w:rPr>
      </w:pPr>
      <w:r w:rsidRPr="00934E4D">
        <w:rPr>
          <w:lang w:eastAsia="en-GB"/>
        </w:rPr>
        <w:t>Harlen, W. (2005) ‘Teachers’ summative practices and assessment for learning’, The Curriculum Journal, 16(2), pp. 207–223.</w:t>
      </w:r>
    </w:p>
    <w:p w14:paraId="0EEF71FC" w14:textId="77777777" w:rsidR="00934E4D" w:rsidRPr="00934E4D" w:rsidRDefault="00934E4D" w:rsidP="00865E56">
      <w:pPr>
        <w:spacing w:line="276" w:lineRule="auto"/>
        <w:rPr>
          <w:lang w:eastAsia="en-GB"/>
        </w:rPr>
      </w:pPr>
      <w:r w:rsidRPr="00934E4D">
        <w:rPr>
          <w:lang w:eastAsia="en-GB"/>
        </w:rPr>
        <w:t>Hay, P. and Penney, D. (2013) Assessment in Physical Education. London: Routledge.</w:t>
      </w:r>
    </w:p>
    <w:p w14:paraId="12F4775D" w14:textId="77777777" w:rsidR="00934E4D" w:rsidRPr="00934E4D" w:rsidRDefault="00934E4D" w:rsidP="00865E56">
      <w:pPr>
        <w:spacing w:line="276" w:lineRule="auto"/>
        <w:rPr>
          <w:lang w:eastAsia="en-GB"/>
        </w:rPr>
      </w:pPr>
      <w:r w:rsidRPr="00934E4D">
        <w:rPr>
          <w:lang w:eastAsia="en-GB"/>
        </w:rPr>
        <w:t>Kirk, D. (2010) Physical Education Futures. London: Routledge.</w:t>
      </w:r>
    </w:p>
    <w:p w14:paraId="4793E1B5" w14:textId="77777777" w:rsidR="00934E4D" w:rsidRPr="00934E4D" w:rsidRDefault="00934E4D" w:rsidP="00865E56">
      <w:pPr>
        <w:spacing w:line="276" w:lineRule="auto"/>
        <w:rPr>
          <w:lang w:eastAsia="en-GB"/>
        </w:rPr>
      </w:pPr>
      <w:proofErr w:type="spellStart"/>
      <w:r w:rsidRPr="00934E4D">
        <w:rPr>
          <w:lang w:eastAsia="en-GB"/>
        </w:rPr>
        <w:t>Leirhaug</w:t>
      </w:r>
      <w:proofErr w:type="spellEnd"/>
      <w:r w:rsidRPr="00934E4D">
        <w:rPr>
          <w:lang w:eastAsia="en-GB"/>
        </w:rPr>
        <w:t>, P. and MacPhail, A. (2015) ‘Teacher judgement in PE assessment’, Physical Education and Sport Pedagogy, 20(1), pp. 1–15.</w:t>
      </w:r>
    </w:p>
    <w:p w14:paraId="0F46BC11" w14:textId="77777777" w:rsidR="00934E4D" w:rsidRPr="00934E4D" w:rsidRDefault="00934E4D" w:rsidP="00865E56">
      <w:pPr>
        <w:spacing w:line="276" w:lineRule="auto"/>
        <w:rPr>
          <w:lang w:eastAsia="en-GB"/>
        </w:rPr>
      </w:pPr>
      <w:r w:rsidRPr="00934E4D">
        <w:rPr>
          <w:lang w:eastAsia="en-GB"/>
        </w:rPr>
        <w:t>Lubans, D. et al. (2010) ‘Fundamental movement skills and physical activity’, Sports Medicine, 40(12), pp. 1019–1035.</w:t>
      </w:r>
    </w:p>
    <w:p w14:paraId="27A98D74" w14:textId="77777777" w:rsidR="00934E4D" w:rsidRPr="00934E4D" w:rsidRDefault="00934E4D" w:rsidP="00865E56">
      <w:pPr>
        <w:spacing w:line="276" w:lineRule="auto"/>
        <w:rPr>
          <w:lang w:eastAsia="en-GB"/>
        </w:rPr>
      </w:pPr>
      <w:r w:rsidRPr="00934E4D">
        <w:rPr>
          <w:lang w:eastAsia="en-GB"/>
        </w:rPr>
        <w:t>Lynch, T. (2019) ‘Inclusive physical education’, European Physical Education Review, 25(2), pp. 1–15.</w:t>
      </w:r>
    </w:p>
    <w:p w14:paraId="2EA4543D" w14:textId="77777777" w:rsidR="00934E4D" w:rsidRPr="00934E4D" w:rsidRDefault="00934E4D" w:rsidP="00865E56">
      <w:pPr>
        <w:spacing w:line="276" w:lineRule="auto"/>
        <w:rPr>
          <w:lang w:eastAsia="en-GB"/>
        </w:rPr>
      </w:pPr>
      <w:r w:rsidRPr="00934E4D">
        <w:rPr>
          <w:lang w:eastAsia="en-GB"/>
        </w:rPr>
        <w:lastRenderedPageBreak/>
        <w:t>Penney, D. et al. (2009) Assessment in Physical Education: A Sociocultural Perspective. London: Routledge.</w:t>
      </w:r>
    </w:p>
    <w:p w14:paraId="71406B5E" w14:textId="77777777" w:rsidR="00934E4D" w:rsidRPr="00934E4D" w:rsidRDefault="00934E4D" w:rsidP="00865E56">
      <w:pPr>
        <w:spacing w:line="276" w:lineRule="auto"/>
        <w:rPr>
          <w:lang w:eastAsia="en-GB"/>
        </w:rPr>
      </w:pPr>
      <w:r w:rsidRPr="00934E4D">
        <w:rPr>
          <w:lang w:eastAsia="en-GB"/>
        </w:rPr>
        <w:t>Sport Wales (2022) Vision for Sport in Wales. Cardiff: Sport Wales.</w:t>
      </w:r>
    </w:p>
    <w:p w14:paraId="4F63F2BA" w14:textId="77777777" w:rsidR="00934E4D" w:rsidRPr="00934E4D" w:rsidRDefault="00934E4D" w:rsidP="00865E56">
      <w:pPr>
        <w:spacing w:line="276" w:lineRule="auto"/>
        <w:rPr>
          <w:lang w:eastAsia="en-GB"/>
        </w:rPr>
      </w:pPr>
      <w:r w:rsidRPr="00934E4D">
        <w:rPr>
          <w:lang w:eastAsia="en-GB"/>
        </w:rPr>
        <w:t>UNESCO (2015) Quality Physical Education Guidelines for Policy Makers. Paris: UNESCO.</w:t>
      </w:r>
    </w:p>
    <w:p w14:paraId="4863B3E5" w14:textId="77777777" w:rsidR="00934E4D" w:rsidRPr="00934E4D" w:rsidRDefault="00934E4D" w:rsidP="00865E56">
      <w:pPr>
        <w:spacing w:line="276" w:lineRule="auto"/>
        <w:rPr>
          <w:lang w:eastAsia="en-GB"/>
        </w:rPr>
      </w:pPr>
      <w:r w:rsidRPr="00934E4D">
        <w:rPr>
          <w:lang w:eastAsia="en-GB"/>
        </w:rPr>
        <w:t>Welsh Government (2022) Curriculum for Wales Framework. Cardiff: Welsh Government.</w:t>
      </w:r>
    </w:p>
    <w:p w14:paraId="33F9285E" w14:textId="77777777" w:rsidR="00934E4D" w:rsidRPr="00934E4D" w:rsidRDefault="00934E4D" w:rsidP="00865E56">
      <w:pPr>
        <w:spacing w:line="276" w:lineRule="auto"/>
        <w:rPr>
          <w:lang w:eastAsia="en-GB"/>
        </w:rPr>
      </w:pPr>
      <w:r w:rsidRPr="00934E4D">
        <w:rPr>
          <w:lang w:eastAsia="en-GB"/>
        </w:rPr>
        <w:t xml:space="preserve">Whitehead, M. (2010) Physical Literacy Throughout the </w:t>
      </w:r>
      <w:proofErr w:type="spellStart"/>
      <w:r w:rsidRPr="00934E4D">
        <w:rPr>
          <w:lang w:eastAsia="en-GB"/>
        </w:rPr>
        <w:t>Lifecourse</w:t>
      </w:r>
      <w:proofErr w:type="spellEnd"/>
      <w:r w:rsidRPr="00934E4D">
        <w:rPr>
          <w:lang w:eastAsia="en-GB"/>
        </w:rPr>
        <w:t>. London: Routledge.</w:t>
      </w:r>
    </w:p>
    <w:p w14:paraId="49E9F426" w14:textId="77777777" w:rsidR="00EB4C02" w:rsidRPr="00865E56" w:rsidRDefault="00EB4C02" w:rsidP="00865E56">
      <w:pPr>
        <w:spacing w:line="276" w:lineRule="auto"/>
      </w:pPr>
    </w:p>
    <w:sectPr w:rsidR="00EB4C02" w:rsidRPr="00865E56" w:rsidSect="00934E4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FFF5D95"/>
    <w:multiLevelType w:val="hybridMultilevel"/>
    <w:tmpl w:val="07826234"/>
    <w:lvl w:ilvl="0" w:tplc="D11807D6">
      <w:numFmt w:val="bullet"/>
      <w:lvlText w:val="-"/>
      <w:lvlJc w:val="left"/>
      <w:pPr>
        <w:ind w:left="1778" w:hanging="360"/>
      </w:pPr>
      <w:rPr>
        <w:rFonts w:ascii="Arial" w:eastAsia="Times New Roman" w:hAnsi="Arial" w:cs="Arial" w:hint="default"/>
      </w:rPr>
    </w:lvl>
    <w:lvl w:ilvl="1" w:tplc="08090003" w:tentative="1">
      <w:start w:val="1"/>
      <w:numFmt w:val="bullet"/>
      <w:lvlText w:val="o"/>
      <w:lvlJc w:val="left"/>
      <w:pPr>
        <w:ind w:left="2498" w:hanging="360"/>
      </w:pPr>
      <w:rPr>
        <w:rFonts w:ascii="Courier New" w:hAnsi="Courier New" w:cs="Courier New" w:hint="default"/>
      </w:rPr>
    </w:lvl>
    <w:lvl w:ilvl="2" w:tplc="08090005" w:tentative="1">
      <w:start w:val="1"/>
      <w:numFmt w:val="bullet"/>
      <w:lvlText w:val=""/>
      <w:lvlJc w:val="left"/>
      <w:pPr>
        <w:ind w:left="3218" w:hanging="360"/>
      </w:pPr>
      <w:rPr>
        <w:rFonts w:ascii="Wingdings" w:hAnsi="Wingdings" w:hint="default"/>
      </w:rPr>
    </w:lvl>
    <w:lvl w:ilvl="3" w:tplc="08090001" w:tentative="1">
      <w:start w:val="1"/>
      <w:numFmt w:val="bullet"/>
      <w:lvlText w:val=""/>
      <w:lvlJc w:val="left"/>
      <w:pPr>
        <w:ind w:left="3938" w:hanging="360"/>
      </w:pPr>
      <w:rPr>
        <w:rFonts w:ascii="Symbol" w:hAnsi="Symbol" w:hint="default"/>
      </w:rPr>
    </w:lvl>
    <w:lvl w:ilvl="4" w:tplc="08090003" w:tentative="1">
      <w:start w:val="1"/>
      <w:numFmt w:val="bullet"/>
      <w:lvlText w:val="o"/>
      <w:lvlJc w:val="left"/>
      <w:pPr>
        <w:ind w:left="4658" w:hanging="360"/>
      </w:pPr>
      <w:rPr>
        <w:rFonts w:ascii="Courier New" w:hAnsi="Courier New" w:cs="Courier New" w:hint="default"/>
      </w:rPr>
    </w:lvl>
    <w:lvl w:ilvl="5" w:tplc="08090005" w:tentative="1">
      <w:start w:val="1"/>
      <w:numFmt w:val="bullet"/>
      <w:lvlText w:val=""/>
      <w:lvlJc w:val="left"/>
      <w:pPr>
        <w:ind w:left="5378" w:hanging="360"/>
      </w:pPr>
      <w:rPr>
        <w:rFonts w:ascii="Wingdings" w:hAnsi="Wingdings" w:hint="default"/>
      </w:rPr>
    </w:lvl>
    <w:lvl w:ilvl="6" w:tplc="08090001" w:tentative="1">
      <w:start w:val="1"/>
      <w:numFmt w:val="bullet"/>
      <w:lvlText w:val=""/>
      <w:lvlJc w:val="left"/>
      <w:pPr>
        <w:ind w:left="6098" w:hanging="360"/>
      </w:pPr>
      <w:rPr>
        <w:rFonts w:ascii="Symbol" w:hAnsi="Symbol" w:hint="default"/>
      </w:rPr>
    </w:lvl>
    <w:lvl w:ilvl="7" w:tplc="08090003" w:tentative="1">
      <w:start w:val="1"/>
      <w:numFmt w:val="bullet"/>
      <w:lvlText w:val="o"/>
      <w:lvlJc w:val="left"/>
      <w:pPr>
        <w:ind w:left="6818" w:hanging="360"/>
      </w:pPr>
      <w:rPr>
        <w:rFonts w:ascii="Courier New" w:hAnsi="Courier New" w:cs="Courier New" w:hint="default"/>
      </w:rPr>
    </w:lvl>
    <w:lvl w:ilvl="8" w:tplc="08090005" w:tentative="1">
      <w:start w:val="1"/>
      <w:numFmt w:val="bullet"/>
      <w:lvlText w:val=""/>
      <w:lvlJc w:val="left"/>
      <w:pPr>
        <w:ind w:left="7538" w:hanging="360"/>
      </w:pPr>
      <w:rPr>
        <w:rFonts w:ascii="Wingdings" w:hAnsi="Wingdings" w:hint="default"/>
      </w:rPr>
    </w:lvl>
  </w:abstractNum>
  <w:abstractNum w:abstractNumId="1" w15:restartNumberingAfterBreak="0">
    <w:nsid w:val="624D7FC0"/>
    <w:multiLevelType w:val="hybridMultilevel"/>
    <w:tmpl w:val="650AA8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36760291">
    <w:abstractNumId w:val="1"/>
  </w:num>
  <w:num w:numId="2" w16cid:durableId="814891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4E8C"/>
    <w:rsid w:val="00222921"/>
    <w:rsid w:val="002D4CD1"/>
    <w:rsid w:val="00375508"/>
    <w:rsid w:val="003A104C"/>
    <w:rsid w:val="004E4EAF"/>
    <w:rsid w:val="004F466E"/>
    <w:rsid w:val="00865E56"/>
    <w:rsid w:val="00934E4D"/>
    <w:rsid w:val="00A94E8C"/>
    <w:rsid w:val="00DC2468"/>
    <w:rsid w:val="00E51123"/>
    <w:rsid w:val="00EB4C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546D25"/>
  <w15:chartTrackingRefBased/>
  <w15:docId w15:val="{63764019-60CD-4945-AC82-418D0E8F76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94E8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94E8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94E8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94E8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94E8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94E8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94E8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94E8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94E8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4E8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94E8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94E8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94E8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94E8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94E8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94E8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94E8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94E8C"/>
    <w:rPr>
      <w:rFonts w:eastAsiaTheme="majorEastAsia" w:cstheme="majorBidi"/>
      <w:color w:val="272727" w:themeColor="text1" w:themeTint="D8"/>
    </w:rPr>
  </w:style>
  <w:style w:type="paragraph" w:styleId="Title">
    <w:name w:val="Title"/>
    <w:basedOn w:val="Normal"/>
    <w:next w:val="Normal"/>
    <w:link w:val="TitleChar"/>
    <w:uiPriority w:val="10"/>
    <w:qFormat/>
    <w:rsid w:val="00A94E8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94E8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94E8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94E8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94E8C"/>
    <w:pPr>
      <w:spacing w:before="160"/>
      <w:jc w:val="center"/>
    </w:pPr>
    <w:rPr>
      <w:i/>
      <w:iCs/>
      <w:color w:val="404040" w:themeColor="text1" w:themeTint="BF"/>
    </w:rPr>
  </w:style>
  <w:style w:type="character" w:customStyle="1" w:styleId="QuoteChar">
    <w:name w:val="Quote Char"/>
    <w:basedOn w:val="DefaultParagraphFont"/>
    <w:link w:val="Quote"/>
    <w:uiPriority w:val="29"/>
    <w:rsid w:val="00A94E8C"/>
    <w:rPr>
      <w:i/>
      <w:iCs/>
      <w:color w:val="404040" w:themeColor="text1" w:themeTint="BF"/>
    </w:rPr>
  </w:style>
  <w:style w:type="paragraph" w:styleId="ListParagraph">
    <w:name w:val="List Paragraph"/>
    <w:basedOn w:val="Normal"/>
    <w:uiPriority w:val="34"/>
    <w:qFormat/>
    <w:rsid w:val="00A94E8C"/>
    <w:pPr>
      <w:ind w:left="720"/>
      <w:contextualSpacing/>
    </w:pPr>
  </w:style>
  <w:style w:type="character" w:styleId="IntenseEmphasis">
    <w:name w:val="Intense Emphasis"/>
    <w:basedOn w:val="DefaultParagraphFont"/>
    <w:uiPriority w:val="21"/>
    <w:qFormat/>
    <w:rsid w:val="00A94E8C"/>
    <w:rPr>
      <w:i/>
      <w:iCs/>
      <w:color w:val="0F4761" w:themeColor="accent1" w:themeShade="BF"/>
    </w:rPr>
  </w:style>
  <w:style w:type="paragraph" w:styleId="IntenseQuote">
    <w:name w:val="Intense Quote"/>
    <w:basedOn w:val="Normal"/>
    <w:next w:val="Normal"/>
    <w:link w:val="IntenseQuoteChar"/>
    <w:uiPriority w:val="30"/>
    <w:qFormat/>
    <w:rsid w:val="00A94E8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94E8C"/>
    <w:rPr>
      <w:i/>
      <w:iCs/>
      <w:color w:val="0F4761" w:themeColor="accent1" w:themeShade="BF"/>
    </w:rPr>
  </w:style>
  <w:style w:type="character" w:styleId="IntenseReference">
    <w:name w:val="Intense Reference"/>
    <w:basedOn w:val="DefaultParagraphFont"/>
    <w:uiPriority w:val="32"/>
    <w:qFormat/>
    <w:rsid w:val="00A94E8C"/>
    <w:rPr>
      <w:b/>
      <w:bCs/>
      <w:smallCaps/>
      <w:color w:val="0F4761" w:themeColor="accent1" w:themeShade="BF"/>
      <w:spacing w:val="5"/>
    </w:rPr>
  </w:style>
  <w:style w:type="character" w:styleId="Strong">
    <w:name w:val="Strong"/>
    <w:basedOn w:val="DefaultParagraphFont"/>
    <w:uiPriority w:val="22"/>
    <w:qFormat/>
    <w:rsid w:val="00A94E8C"/>
    <w:rPr>
      <w:b/>
      <w:bCs/>
    </w:rPr>
  </w:style>
  <w:style w:type="character" w:styleId="Emphasis">
    <w:name w:val="Emphasis"/>
    <w:basedOn w:val="DefaultParagraphFont"/>
    <w:uiPriority w:val="20"/>
    <w:qFormat/>
    <w:rsid w:val="00A94E8C"/>
    <w:rPr>
      <w:i/>
      <w:iCs/>
    </w:rPr>
  </w:style>
  <w:style w:type="table" w:styleId="TableGrid">
    <w:name w:val="Table Grid"/>
    <w:basedOn w:val="TableNormal"/>
    <w:uiPriority w:val="39"/>
    <w:rsid w:val="00A94E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A94E8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BodyText">
    <w:name w:val="Body Text"/>
    <w:basedOn w:val="Normal"/>
    <w:link w:val="BodyTextChar"/>
    <w:unhideWhenUsed/>
    <w:rsid w:val="00375508"/>
    <w:pPr>
      <w:spacing w:after="120" w:line="240" w:lineRule="auto"/>
    </w:pPr>
    <w:rPr>
      <w:rFonts w:ascii="Times New Roman" w:eastAsia="Times New Roman" w:hAnsi="Times New Roman" w:cs="Times New Roman"/>
      <w:kern w:val="0"/>
      <w:sz w:val="20"/>
      <w:szCs w:val="20"/>
      <w:lang w:eastAsia="en-GB"/>
      <w14:ligatures w14:val="none"/>
    </w:rPr>
  </w:style>
  <w:style w:type="character" w:customStyle="1" w:styleId="BodyTextChar">
    <w:name w:val="Body Text Char"/>
    <w:basedOn w:val="DefaultParagraphFont"/>
    <w:link w:val="BodyText"/>
    <w:rsid w:val="00375508"/>
    <w:rPr>
      <w:rFonts w:ascii="Times New Roman" w:eastAsia="Times New Roman" w:hAnsi="Times New Roman" w:cs="Times New Roman"/>
      <w:kern w:val="0"/>
      <w:sz w:val="20"/>
      <w:szCs w:val="20"/>
      <w:lang w:eastAsia="en-GB"/>
      <w14:ligatures w14:val="none"/>
    </w:rPr>
  </w:style>
  <w:style w:type="paragraph" w:styleId="NormalWeb">
    <w:name w:val="Normal (Web)"/>
    <w:basedOn w:val="Normal"/>
    <w:uiPriority w:val="99"/>
    <w:rsid w:val="00375508"/>
    <w:pPr>
      <w:spacing w:before="100" w:after="100" w:line="240" w:lineRule="auto"/>
    </w:pPr>
    <w:rPr>
      <w:rFonts w:ascii="Times New Roman" w:eastAsia="Times New Roman" w:hAnsi="Times New Roman" w:cs="Times New Roman"/>
      <w:kern w:val="0"/>
      <w:szCs w:val="20"/>
      <w14:ligatures w14:val="none"/>
    </w:rPr>
  </w:style>
  <w:style w:type="character" w:customStyle="1" w:styleId="apple-converted-space">
    <w:name w:val="apple-converted-space"/>
    <w:basedOn w:val="DefaultParagraphFont"/>
    <w:rsid w:val="00EB4C02"/>
  </w:style>
  <w:style w:type="character" w:customStyle="1" w:styleId="whitespace-normal">
    <w:name w:val="whitespace-normal"/>
    <w:basedOn w:val="DefaultParagraphFont"/>
    <w:rsid w:val="00934E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TotalTime>
  <Pages>10</Pages>
  <Words>3701</Words>
  <Characters>21099</Characters>
  <Application>Microsoft Office Word</Application>
  <DocSecurity>0</DocSecurity>
  <Lines>175</Lines>
  <Paragraphs>49</Paragraphs>
  <ScaleCrop>false</ScaleCrop>
  <Company/>
  <LinksUpToDate>false</LinksUpToDate>
  <CharactersWithSpaces>24751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harry butcher</dc:creator>
  <cp:keywords/>
  <dc:description/>
  <cp:lastModifiedBy>harry butcher</cp:lastModifiedBy>
  <cp:revision>6</cp:revision>
  <dcterms:created xsi:type="dcterms:W3CDTF">2026-04-01T20:41:00Z</dcterms:created>
  <dcterms:modified xsi:type="dcterms:W3CDTF">2026-04-17T11:48:00Z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4E99AA94-7A4A-4234-A497-9AF7A2496D81</vt:lpwstr>
  </property>
</Properties>
</file>