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904DE" w14:textId="6660180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My name is Gwawr Lewis and I am the allocated Lead Social Worker for this case, my responsibilities are framed by the Children Act 1989, Children Act 2004, and statutory guidance in Working Together to Safeguard Children (HM Government, 2023). My role is to ensure the safety and welfare of Joseph (aged 3) and Amelia (aged 10 months) by conducting a robust assessment of need and risk, convening a Section 47 investigation, and coordinating a Child Protection Plan following the Initial Child Protection Conference (ICPC) (Munro, 2011; HM Government, 2023).</w:t>
      </w:r>
    </w:p>
    <w:p w14:paraId="2B9C7EC8" w14:textId="77777777" w:rsidR="00AC55D8" w:rsidRPr="00D66C9C" w:rsidRDefault="00AC55D8" w:rsidP="00D66C9C">
      <w:pPr>
        <w:spacing w:line="276" w:lineRule="auto"/>
        <w:rPr>
          <w:rFonts w:ascii="Arial" w:hAnsi="Arial" w:cs="Arial"/>
          <w:color w:val="00B0F0"/>
          <w:sz w:val="20"/>
          <w:szCs w:val="20"/>
        </w:rPr>
      </w:pPr>
    </w:p>
    <w:p w14:paraId="2DB89919"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Social workers must act on the early identification of harm, coordinate information-sharing between agencies, and lead safeguarding interventions when the threshold of significant harm is met (Parton, 2014; Ferguson, 2017). These duties are guided by the principle of acting in the best interests of the child (UNCRC, 1989).</w:t>
      </w:r>
    </w:p>
    <w:p w14:paraId="69C27DD4" w14:textId="77777777" w:rsidR="00AC55D8" w:rsidRPr="00D66C9C" w:rsidRDefault="00AC55D8" w:rsidP="00D66C9C">
      <w:pPr>
        <w:spacing w:line="276" w:lineRule="auto"/>
        <w:rPr>
          <w:rFonts w:ascii="Arial" w:hAnsi="Arial" w:cs="Arial"/>
          <w:color w:val="00B0F0"/>
          <w:sz w:val="20"/>
          <w:szCs w:val="20"/>
        </w:rPr>
      </w:pPr>
    </w:p>
    <w:p w14:paraId="65621DE2" w14:textId="58BCA2A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The case was referred by 3 Multi agency Referral Forms, referred by the nursery, the health visitor and team around the family, following a pattern of concerning behaviours. </w:t>
      </w:r>
    </w:p>
    <w:p w14:paraId="00214836"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Emotional withdrawal and developmental regression</w:t>
      </w:r>
    </w:p>
    <w:p w14:paraId="17DC02A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Persistent poor hygiene and dirty clothing</w:t>
      </w:r>
    </w:p>
    <w:p w14:paraId="6E5F967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Presentation by an unfamiliar adult male with signs of intoxication</w:t>
      </w:r>
    </w:p>
    <w:p w14:paraId="641D3A57" w14:textId="77777777" w:rsidR="00AC55D8" w:rsidRPr="00D66C9C" w:rsidRDefault="00AC55D8" w:rsidP="00D66C9C">
      <w:pPr>
        <w:spacing w:line="276" w:lineRule="auto"/>
        <w:rPr>
          <w:rFonts w:ascii="Arial" w:hAnsi="Arial" w:cs="Arial"/>
          <w:color w:val="00B0F0"/>
          <w:sz w:val="20"/>
          <w:szCs w:val="20"/>
        </w:rPr>
      </w:pPr>
    </w:p>
    <w:p w14:paraId="50541477" w14:textId="7E9DA2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These concerns were supported by internal nursery documentation, completed in line with Keeping Children Safe in Education (DfE, 2023). The nursery worker noted Joseph’s fear response, non-verbal behaviour, and a lack of explanation from her mother during discussions. Given the indicators of neglect, emotional abuse, and potential risk of exposure to domestic violence and substance misuse, I authorised a Section 47 investigation within 24 hours (Department for Education, 2023).</w:t>
      </w:r>
    </w:p>
    <w:p w14:paraId="79F1CAC5" w14:textId="77777777" w:rsidR="00AC55D8" w:rsidRPr="00D66C9C" w:rsidRDefault="00AC55D8" w:rsidP="00D66C9C">
      <w:pPr>
        <w:spacing w:line="276" w:lineRule="auto"/>
        <w:rPr>
          <w:rFonts w:ascii="Arial" w:hAnsi="Arial" w:cs="Arial"/>
          <w:color w:val="00B0F0"/>
          <w:sz w:val="20"/>
          <w:szCs w:val="20"/>
        </w:rPr>
      </w:pPr>
    </w:p>
    <w:p w14:paraId="4BFCD988" w14:textId="5821237F"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My Initial Home Visit and Assessment</w:t>
      </w:r>
    </w:p>
    <w:p w14:paraId="3E321AE3" w14:textId="77777777" w:rsidR="00AC55D8" w:rsidRPr="00D66C9C" w:rsidRDefault="00AC55D8" w:rsidP="00D66C9C">
      <w:pPr>
        <w:spacing w:line="276" w:lineRule="auto"/>
        <w:rPr>
          <w:rFonts w:ascii="Arial" w:hAnsi="Arial" w:cs="Arial"/>
          <w:color w:val="00B0F0"/>
          <w:sz w:val="20"/>
          <w:szCs w:val="20"/>
        </w:rPr>
      </w:pPr>
    </w:p>
    <w:p w14:paraId="27EE56A8" w14:textId="586F5743"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 made unannounced home visits within 24 hours of the TAF visit, consistent with statutory guidance (Childlawadvice, n.d.).</w:t>
      </w:r>
    </w:p>
    <w:p w14:paraId="784A8DB5" w14:textId="77777777" w:rsidR="00AC55D8" w:rsidRPr="00D66C9C" w:rsidRDefault="00AC55D8" w:rsidP="00D66C9C">
      <w:pPr>
        <w:spacing w:line="276" w:lineRule="auto"/>
        <w:rPr>
          <w:rFonts w:ascii="Arial" w:hAnsi="Arial" w:cs="Arial"/>
          <w:color w:val="00B0F0"/>
          <w:sz w:val="20"/>
          <w:szCs w:val="20"/>
        </w:rPr>
      </w:pPr>
    </w:p>
    <w:p w14:paraId="1E744FA2"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When I arrived at the house, I noticed a ring doorbell at the door which rang and I was greeted by Jenny, who is the mother of both Joseph and Amelia. It was the only three of them present in the house at the time of my visit, although during my visit, mum was quite anxious, and regularly peeping and staring at the door.</w:t>
      </w:r>
    </w:p>
    <w:p w14:paraId="6F1FB9D7" w14:textId="77777777" w:rsidR="00AC55D8" w:rsidRPr="00D66C9C" w:rsidRDefault="00AC55D8" w:rsidP="00D66C9C">
      <w:pPr>
        <w:spacing w:line="276" w:lineRule="auto"/>
        <w:rPr>
          <w:rFonts w:ascii="Arial" w:hAnsi="Arial" w:cs="Arial"/>
          <w:color w:val="00B0F0"/>
          <w:sz w:val="20"/>
          <w:szCs w:val="20"/>
        </w:rPr>
      </w:pPr>
    </w:p>
    <w:p w14:paraId="2F295718"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When I visited and viewed the house, I noticed many a concern about the unsafe and unsanitary environment of their current living conditions, there were scattered soiled nappies, visible mould in both the shared and children’s bedroom spaces. </w:t>
      </w:r>
    </w:p>
    <w:p w14:paraId="5FFEF7A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Mum did declare to me about the lack of food and formula she had in the house that specific day, she declared that it was because she hadn’t had a chance to go shopping yet. </w:t>
      </w:r>
    </w:p>
    <w:p w14:paraId="53709E62" w14:textId="77777777" w:rsidR="00AC55D8" w:rsidRPr="00D66C9C" w:rsidRDefault="00AC55D8" w:rsidP="00D66C9C">
      <w:pPr>
        <w:spacing w:line="276" w:lineRule="auto"/>
        <w:rPr>
          <w:rFonts w:ascii="Arial" w:hAnsi="Arial" w:cs="Arial"/>
          <w:color w:val="00B0F0"/>
          <w:sz w:val="20"/>
          <w:szCs w:val="20"/>
        </w:rPr>
      </w:pPr>
    </w:p>
    <w:p w14:paraId="2278FD1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also picked up great concerns and signs of emotional neglect of both the children, Joseph was observed very withdrawn, unable to come forward to talk or play alongside me, he spent the time hiding behind different furniture, he wasn’t communicative at all. Joseph seemed very fearful and aware of the surroundings behind him, he also was peering at the door, looking like he expected it to open. Amelia was of greatest concern as she was visibly in a soiled nappy, still sat in an infant car seat. </w:t>
      </w:r>
    </w:p>
    <w:p w14:paraId="1691BC30" w14:textId="77777777" w:rsidR="00AC55D8" w:rsidRPr="00D66C9C" w:rsidRDefault="00AC55D8" w:rsidP="00D66C9C">
      <w:pPr>
        <w:spacing w:line="276" w:lineRule="auto"/>
        <w:rPr>
          <w:rFonts w:ascii="Arial" w:hAnsi="Arial" w:cs="Arial"/>
          <w:color w:val="00B0F0"/>
          <w:sz w:val="20"/>
          <w:szCs w:val="20"/>
        </w:rPr>
      </w:pPr>
    </w:p>
    <w:p w14:paraId="0074DDF9" w14:textId="32EFAB3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chatted to mum generally asking how things are going, she came across emotionally flat, she was unkept and seemed unbothered and very uncooperative to my questions and conversation. Following form, the information written in the MARF’s I asked mum about her partner, which she denied having, Mum explained that it was just the three of them in the house. There was no one else was involved. </w:t>
      </w:r>
      <w:r w:rsidRPr="00D66C9C">
        <w:rPr>
          <w:rFonts w:ascii="Arial" w:hAnsi="Arial" w:cs="Arial"/>
          <w:color w:val="00B0F0"/>
          <w:sz w:val="20"/>
          <w:szCs w:val="20"/>
        </w:rPr>
        <w:lastRenderedPageBreak/>
        <w:t>Which is conflicting with the MARF form’s I have received, which I declared with Jenny. To which she revised to say, I was with someone, but he won’t be coming back. After my visit I referred to Dyfed Powys Police, to raise concerns about the male in the house for further investigation. (Section 47 – Child Protection Enquiries)</w:t>
      </w:r>
    </w:p>
    <w:p w14:paraId="682E600B" w14:textId="77777777" w:rsidR="00AC55D8" w:rsidRPr="00D66C9C" w:rsidRDefault="00AC55D8" w:rsidP="00D66C9C">
      <w:pPr>
        <w:spacing w:line="276" w:lineRule="auto"/>
        <w:rPr>
          <w:rFonts w:ascii="Arial" w:hAnsi="Arial" w:cs="Arial"/>
          <w:color w:val="00B0F0"/>
          <w:sz w:val="20"/>
          <w:szCs w:val="20"/>
        </w:rPr>
      </w:pPr>
    </w:p>
    <w:p w14:paraId="5627645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visit raised immediate safeguarding concerns in line with The Framework for the Assessment of Children in Need and their Families (DoH et al., 2000). The children’s lived experiences suggest chronic neglect, unmet physical and emotional needs, and an unsafe household with unvetted adults present (Cleaver, Unell and Aldgate, 2011; Brandon et al., 2020).</w:t>
      </w:r>
    </w:p>
    <w:p w14:paraId="7E1485BF" w14:textId="77777777" w:rsidR="00AC55D8" w:rsidRPr="00D66C9C" w:rsidRDefault="00AC55D8" w:rsidP="00D66C9C">
      <w:pPr>
        <w:spacing w:line="276" w:lineRule="auto"/>
        <w:rPr>
          <w:rFonts w:ascii="Arial" w:hAnsi="Arial" w:cs="Arial"/>
          <w:color w:val="00B0F0"/>
          <w:sz w:val="20"/>
          <w:szCs w:val="20"/>
        </w:rPr>
      </w:pPr>
    </w:p>
    <w:p w14:paraId="0852EFAF"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multi-agency strategy meeting convened within 48 hours, including representatives from:</w:t>
      </w:r>
    </w:p>
    <w:p w14:paraId="70C1B08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Social Services (lead worker and manager)</w:t>
      </w:r>
    </w:p>
    <w:p w14:paraId="519E7F2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    •    Team around the family officer </w:t>
      </w:r>
    </w:p>
    <w:p w14:paraId="488150C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Police (Child Protection Unit)</w:t>
      </w:r>
    </w:p>
    <w:p w14:paraId="240529C1"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Health Visitor</w:t>
      </w:r>
    </w:p>
    <w:p w14:paraId="256C71DC" w14:textId="77777777" w:rsidR="00AC55D8" w:rsidRPr="00D66C9C" w:rsidRDefault="00AC55D8" w:rsidP="00D66C9C">
      <w:pPr>
        <w:spacing w:line="276" w:lineRule="auto"/>
        <w:rPr>
          <w:rFonts w:ascii="Arial" w:hAnsi="Arial" w:cs="Arial"/>
          <w:color w:val="00B0F0"/>
          <w:sz w:val="20"/>
          <w:szCs w:val="20"/>
        </w:rPr>
      </w:pPr>
    </w:p>
    <w:p w14:paraId="05D64648" w14:textId="583683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consensus was reached that the threshold for significant harm had been met and an ICPC was necessary. This decision was recorded as per statutory requirements.</w:t>
      </w:r>
    </w:p>
    <w:p w14:paraId="131616F3" w14:textId="77777777" w:rsidR="00AC55D8" w:rsidRPr="00D66C9C" w:rsidRDefault="00AC55D8" w:rsidP="00D66C9C">
      <w:pPr>
        <w:spacing w:line="276" w:lineRule="auto"/>
        <w:rPr>
          <w:rFonts w:ascii="Arial" w:hAnsi="Arial" w:cs="Arial"/>
          <w:color w:val="00B0F0"/>
          <w:sz w:val="20"/>
          <w:szCs w:val="20"/>
        </w:rPr>
      </w:pPr>
    </w:p>
    <w:p w14:paraId="2EFCD593" w14:textId="648CFF2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As the lead social worker, I have Coordinated attendance of relevant professionals, in compliance with statutory attendance expectations (ELFT Procedure 3.3; NSPCC, 2024)</w:t>
      </w:r>
    </w:p>
    <w:p w14:paraId="28753CBC" w14:textId="2E9F59C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 have also prepared the above report on my house visit, outlined evidence of the current safeguarding issues. The ICPC is held today, which is within the statutory 15-working-day timeframe. All core professionals now will share their written reports, and when they have concluded I will then recommend protective interventions if needed (York CYSCP, nd.; Wirral SCP, 2021)</w:t>
      </w:r>
    </w:p>
    <w:p w14:paraId="1152B1F3" w14:textId="77777777" w:rsidR="00D66C9C" w:rsidRPr="00D66C9C" w:rsidRDefault="00D66C9C" w:rsidP="00D66C9C">
      <w:pPr>
        <w:spacing w:line="276" w:lineRule="auto"/>
        <w:rPr>
          <w:rFonts w:ascii="Arial" w:hAnsi="Arial" w:cs="Arial"/>
          <w:color w:val="00B0F0"/>
          <w:sz w:val="20"/>
          <w:szCs w:val="20"/>
        </w:rPr>
      </w:pPr>
    </w:p>
    <w:p w14:paraId="323BF17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Good afternoon, my name is Cody, and I am a Senior Nursery Practitioner at the nursery where Joseph attends 3 days a week. As a senior nursery practitioner, I work under the Statutory Framework for the Early Years Foundation Stage (EYFS) (DfE, 2024), which emphasises safeguarding, promoting welfare, and supporting the learning and development of all children. </w:t>
      </w:r>
    </w:p>
    <w:p w14:paraId="40AC3F79"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My responsibilities include daily observation, planning, and monitoring of children’s physical, social, and emotional development and acting promptly on concerns that may indicate abuse or neglect in accordance with Working Together to Safeguard Children (HM Government, 2023) and Keeping Children Safe in Education (DfE, 2023).</w:t>
      </w:r>
    </w:p>
    <w:p w14:paraId="2B0BD07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All staff are trained in safeguarding procedures and must follow the Designated Safeguarding Lead (DSL) escalation pathway when concerns arise (Estyn, 2021).</w:t>
      </w:r>
    </w:p>
    <w:p w14:paraId="7F4A027B"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Over the course of four weeks, I have observed a notable deterioration in the wellbeing of Joseph, who is three years old. Initially a sociable and engaged child, Joseph has become withdrawn, shows reduced interaction with his friends, and the other adults in work, and often isolates himself in quiet areas. This behavioural regression aligns with Bowlby’s Attachment Theory, which suggests that emotional withdrawal and clinginess can indicate disruption in caregiver bonds (Bowlby, 1988; Geddes, 2006).</w:t>
      </w:r>
    </w:p>
    <w:p w14:paraId="554E15E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The following concerns that I have documented and included in the Multi agency Referral Form are Josephs, </w:t>
      </w:r>
    </w:p>
    <w:p w14:paraId="2FAC1ED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Hygiene and appearance: Josephs consistently arrives in dirty, ill-fitting clothing, often with an odour indicating infrequent washing. HIS nails are long and dirty, and hIS hair is matted. This indicates a potential failure to meet basic care needs, consistent with physical neglect (Horwath, 2007).</w:t>
      </w:r>
    </w:p>
    <w:p w14:paraId="792897C3"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lastRenderedPageBreak/>
        <w:t>Behavioural changes: Joseph shows fear-based behaviours, such as flinching when approached and hiding under tables. These are recognised as non-verbal trauma indicators (Daniel et al., 2011; NSPCC, 2023).</w:t>
      </w:r>
    </w:p>
    <w:p w14:paraId="25531CB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Emotional regulation: He frequently cries during transitions and is resistant to adult support. This suggests emotional insecurity and the possibility of witnessing or experiencing domestic conflict (Sidebotham and Heron, 2006).</w:t>
      </w:r>
    </w:p>
    <w:p w14:paraId="00822CBF"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Last week, Joseph was brought in by an unknown adult male who appeared intoxicated, evidenced by slurred speech and a strong smell of alcohol. This incident was deeply concerning and was recorded as a safeguarding breach, in line with Safer Working Practice guidelines (Safer Recruitment Consortium, 2022).</w:t>
      </w:r>
    </w:p>
    <w:p w14:paraId="1CFB43B3"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Following our observations, the Designated Safeguarding Lead and I arranged a meeting with Joseph’s mother. In the meeting, she was very dismissive and vague, offering no explanation for Joseph’s recent condition or the unknown male’s identity. This raises concerns of disguised compliance – a known barrier to early intervention where parents present superficially compliant behaviours to deflect scrutiny (Reder and Duncan, 1999; Laming, 2009)</w:t>
      </w:r>
    </w:p>
    <w:p w14:paraId="6E60F93A"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We are aware that Joseph has a younger sibling, Amelia, who I believe to be around 10 months old, whom we have never seen. There is no known father registered with the setting. The family has declined offers of Early Help previously.</w:t>
      </w:r>
    </w:p>
    <w:p w14:paraId="19460B30"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In line with the Threshold Criteria of our Local Safeguarding Children Board (LSCB), this case meets indicators of neglect and emotional abuse (Cleaver, Unell and Aldgate, 2011). I immediately escalated the case to the Designated Safeguarding Lead, who documented the concerns and submitted a MARF to Children’s Services under Section 11 of the Children Act 2004. This led to a Section 47 investigation (HM Government, 2023).</w:t>
      </w:r>
    </w:p>
    <w:p w14:paraId="2F27FBE4"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This case exemplifies the crucial role early years professionals play in the early identification of safeguarding concerns. We see the importance of ecological models (Bronfenbrenner, 1979), which place children within complex systems of family, social services, and education, all of which influence outcomes.</w:t>
      </w:r>
    </w:p>
    <w:p w14:paraId="2BF7304C"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Our team recognises that Adverse Childhood Experiences (ACEs), such as neglect or exposure to substance misuse, may have long-term effects on Ella’s emotional regulation, self-esteem, and developmental trajectory (Felitti et al., 1998; Bellis et al., 2014). Therefore, trauma-informed practice (Bath, 2008) has been embedded into our key worker support approach.</w:t>
      </w:r>
    </w:p>
    <w:p w14:paraId="45049E9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For us as a nursery, Joseph’s case highlights serious safeguarding concerns, particularly around neglect, emotional harm, and unsafe adult exposure. Early years practitioners are often the first to recognise such concerns due to consistent contact with children. Timely multi-agency intervention is essential to break cycles of harm and provide Joseph and Amelia with a safer, more supportive environment (Allen, 2011; Munro, 2011).</w:t>
      </w:r>
    </w:p>
    <w:p w14:paraId="05D62F70" w14:textId="77777777" w:rsidR="00AC55D8" w:rsidRPr="00D66C9C" w:rsidRDefault="00AC55D8" w:rsidP="00D66C9C">
      <w:pPr>
        <w:spacing w:line="276" w:lineRule="auto"/>
        <w:rPr>
          <w:rFonts w:ascii="Arial" w:hAnsi="Arial" w:cs="Arial"/>
          <w:sz w:val="20"/>
          <w:szCs w:val="20"/>
          <w:highlight w:val="cyan"/>
        </w:rPr>
      </w:pPr>
    </w:p>
    <w:p w14:paraId="6F76175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Good afternoon. My name is Joelle Evans, and I am a Health Visitor working within the community public health team. My role involves supporting families with young children during the crucial early years of development, with a focus on supporting wellbeing, minimising illness, and narrowing health gaps. As stated in Article 6 of the UNCRC (1989), all children are entitled to life, and governments must make every effort to ensure their survival and support their development to their full potential.</w:t>
      </w:r>
    </w:p>
    <w:p w14:paraId="206AE0BE" w14:textId="6E5F3E4B"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I have been involved with Joseph, Amelia, and their family since the children were very young. Over time, I have built a trusting relationship with the family, offering guidance and support through key developmental stages. This links with Bowlby’s Attachment Theory (1969), which emphasize the importance of stable, secure relationships in helping children feel safe, explore their environment, and develop emotionally (The Attachment Project 2024). However, during recent visits, I have observed some changes in the children’s health, wellbeing and home environment that have raised concerns. According to the Royal College of Nursing (2024), as a registered health professional, I have a legal and ethical duty of care to act in the best interests of the children and to safeguard their health and </w:t>
      </w:r>
      <w:r w:rsidRPr="00D66C9C">
        <w:rPr>
          <w:rFonts w:ascii="Arial" w:eastAsia="Times New Roman" w:hAnsi="Arial" w:cs="Arial"/>
          <w:color w:val="D883FF"/>
          <w:kern w:val="0"/>
          <w:sz w:val="20"/>
          <w:szCs w:val="20"/>
          <w:lang w:eastAsia="en-GB"/>
          <w14:ligatures w14:val="none"/>
        </w:rPr>
        <w:lastRenderedPageBreak/>
        <w:t>development. This is supported by Every Child Matters framework (2003), which outlines five key outcomes that are essential for every child's well-being.  This includes identifying potential risks, offering early intervention, and working collaboratively with other professionals to ensure the family receives the support they need. This approach shows the importance of the principles of multi-agency working, which is essential in safeguarding to ensure that no information is missed and that children and families get the right help at the right time (Department for Education 2025) .  </w:t>
      </w:r>
    </w:p>
    <w:p w14:paraId="3F3C950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Over the past couple of years, there has been a noticeable change in the family's engagement. When Joseph was a baby, Mum regularly attended all scheduled health appointments and ensured he remained up to date with his immunisations. During that time, Joseph was meeting his developmental milestones but as we know, milestones are just general guidelines, as every child is different and develops at their own pace (NHS 2024).  Mum appeared to be enjoying her role as a new parent, fully immersed in the baby bubble.</w:t>
      </w:r>
    </w:p>
    <w:p w14:paraId="122E8D6F"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However, since the birth of Amelia, there has been a significant change. Mum has struggled to attend appointments at the baby clinic, and Amelia has fallen behind with her routine immunisations which are vitally important (NHS 2024). These concerns led me to my most recent home visit, during which I observed several changes in the children’s behaviour and the overall home environment. Both children, have experienced a drop in weight, which is unusual. Particularly for Joseph, as previously he has maintained a steady position on the centile charts in his personal health record (Red Book), the recent decline marks a noticeable change in his growth pattern. As Almond-Bushell (2019) explains, these charts help professionals monitor whether a child is growing as expected, and whether any significant drop might be a cause for concern. This has raised further concerns about both children's nutritional intake and overall wellbeing along with the lack of routines, all of which can contribute to developmental delays. According to Maslow’s Hierarchy of Needs, children require their basic physiological needs such as food and water, to be consistently met to support their holistic development and learning (Early Years TV nodate).</w:t>
      </w:r>
    </w:p>
    <w:p w14:paraId="1EF484E9" w14:textId="41A8D2EE"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noted that both children appeared visibly tired, and Joseph showed signs of behavioural deterioration alongside reduced physical energy, which may indicate underlying emotional or physical needs not being met. Amelia appeared withdrawn and was reluctant to engage in the activities she previously enjoyed. Linking this to the Bronfenbrenner’s Ecological Systems Theory, which highlights how a child’s development is shaped by a series of interconnected systems, beginning with their immediate environment, such as the home (Laroche 2025). If this environment becomes unstable, stressful, or lacks consistent support, it can negatively affect a child’s physical health, emotional wellbeing, and ability to engage in learning and play. This relates to Article 31 of the UNCRC, which recognises every child’s right to rest, leisure, and play as essential to their development and wellbeing (UNCRC, 1989).</w:t>
      </w:r>
    </w:p>
    <w:p w14:paraId="259BB138" w14:textId="7F2CEC8D"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noticed that when I tried to talk to Mum, Jenny, about how she was doing, her partner would often interrupt and speak over her quite sharply, showing very little patience. which led to an immediate change in Jenny’s body language, she became withdrawn and flinched once or twice when he came close. Furthermore, I observed Joseph rocking back and forth when Mum’s partner was moving in and out of the room, and Amelia appeared jumpy. These behaviours lead me to further concerns about the partners impact on both jenny and the children. This situation might be a sign of coercive control, where one partner tries to take control by using intimidation, pressure, or emotional tactics to overpower others in the home. Research shows that these actions can have serious emotional and developmental impacts on children living in these environments (McLeod </w:t>
      </w:r>
      <w:r w:rsidRPr="00D66C9C">
        <w:rPr>
          <w:rFonts w:ascii="Arial" w:eastAsia="Times New Roman" w:hAnsi="Arial" w:cs="Arial"/>
          <w:i/>
          <w:iCs/>
          <w:color w:val="D883FF"/>
          <w:kern w:val="0"/>
          <w:sz w:val="20"/>
          <w:szCs w:val="20"/>
          <w:lang w:eastAsia="en-GB"/>
          <w14:ligatures w14:val="none"/>
        </w:rPr>
        <w:t>et al.</w:t>
      </w:r>
      <w:r w:rsidRPr="00D66C9C">
        <w:rPr>
          <w:rFonts w:ascii="Arial" w:eastAsia="Times New Roman" w:hAnsi="Arial" w:cs="Arial"/>
          <w:color w:val="D883FF"/>
          <w:kern w:val="0"/>
          <w:sz w:val="20"/>
          <w:szCs w:val="20"/>
          <w:lang w:eastAsia="en-GB"/>
          <w14:ligatures w14:val="none"/>
        </w:rPr>
        <w:t> 2018).</w:t>
      </w:r>
    </w:p>
    <w:p w14:paraId="60EA6B43"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Based on these observations, my background from previous meetings and the changes reported by the parents, including financial challenges and irregular meal routines, have led me to believe that the family may be experiencing difficulties that could impact the children’s growth and development, and be at significant risk of harm. Therefore, I am had put in a MARF and referred to the Team around the family for my concerns.</w:t>
      </w:r>
    </w:p>
    <w:p w14:paraId="249D668A"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p>
    <w:p w14:paraId="6DD75D12"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lastRenderedPageBreak/>
        <w:t xml:space="preserve">Good afternoon, my name is Bobbie Rees and I am the Team Around The Family Support Worker. I have recently been referred to the family by the health visitor and have carried out my first meeting in the family home last week as agreed by the mother Jenny. My role is to work together with the mother and the children individually, listening to all of their voices and identifying any specific needs which require further support. This will then allow me to create a tailored support plan to improve well-being and ensure the best outcomes for the whole family in line with The Social Services and Well-being (Wales) Act 2014. In doing so, this supports Article 3 of the United Nations Conventions on the Rights of the child standards 1989. Providing early intervention is fundamental to prevent any problems from escalating which can cause adverse childhood experiences. This is important to support the goals of the Well-being of Future Generations (Wales) Act 2015. It is important to note that mum gave permission for the meeting to take place but requested that some of the information I am about to share remained confidential. However under The Data Protection Act 2018 I have a legal duty to share my concerns in order to prevent further serious harm. This is further supported by Working Together to Safeguard people Volume 1 (Welsh Government) which states information can be shared without consent when there is a public concern. </w:t>
      </w:r>
    </w:p>
    <w:p w14:paraId="7A1A69AE"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Upon arrival into the family home I first observed that the living conditions were not adequate. My immediate concern was that the home was very cluttered and generally unclean, I could see a lot of unwashed dishes and piles of clothing. Both Joseph and Amelia were wearing dirty clothes, their hair appeared greasy which fails to meet the basic needs of the child. Throughout my visit Amelia cried a lot but Jenny always responded by picking Ameila up and attempting to comfort her showing that she is supporting her emotional needs. Jenny had dark circles under eyes and told me she had been up all night with her. I asked what Amelia and Joseph’s sleep routine is like, Jenny informed me that Amelia has never slept well since birth and said she cries a lot which often wakes Joseph as they share a bedroom. As a result Joseph is tired during the day and Jenny feels this is causing him to have some challenging behaviour. During my visit Joseph was watching television and I could not see many toys in the living room for him to play with. Jenny admitted that she puts the television on a lot so she can tend to Amelia. I explained to Jenny the importance of Joseph having the opportunity to play as outlined in article 31 of the UNCRC and Every Child Matters framework to support his health, well-being and development. Upon speaking to Jenny it was clear she was sleep deprived and appeared overwhelmed with the responsibilities of being a mother.  It was clear I needed to support the family with implementing daily routines and improving the living conditions.</w:t>
      </w:r>
    </w:p>
    <w:p w14:paraId="625538DC"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I asked if there was any wider family members who could support by looking after the children while she could have time to clean and catch up on sleep. Jenny informed me that she does not live near any family members and has lost contact with her friends since she met her new partner. She said her partner told her that she did not have time for friends. When I asked questions about the partner Jenny was vague in her answers, she said he would not like her talking about him when he is not there. When I asked what the living arrangements are Jenny said her partner wants to move in but she has only known him for 8 weeks. According to Women’s Aid (2025) this suggests that Jenny is potentially suffering from controlling and coercive behaviour in this new relationship. Jenny is currently living a very isolated life, she only leaves the house to take Joseph to Nursery and collect him. I asked Jenny to describe her well-being at the moment she said her mood is low, she does not feel she has energy and is continuously tired. I offered Jenny reassurance that these feelings can be a normal part of motherhood however I explained they can also be signs of postnatal depression as outlined by the NHS (2022). I advised Jenny that she makes an appointment with the GP to discuss how she is feeling and reminded her that if she is diagnosed she will not be treated any differently under The Equality Act 2010 and The Mental Capacity Act 2005.</w:t>
      </w:r>
    </w:p>
    <w:p w14:paraId="7A734B7A"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Jenny if she had any other worries which might be effecting the family home at present, she shared with me that she is struggling financially. She was due to return to work one month ago when her maternity ended but due to being so tired and feeling low she explained she has not felt ready. Jenny shared with me that she now has a limited amount of money to spend on food, clothes and toys. When I asked for some examples of recent meals it was clear there is a lot of processed foods </w:t>
      </w:r>
      <w:r w:rsidRPr="00D66C9C">
        <w:rPr>
          <w:rFonts w:ascii="Arial" w:hAnsi="Arial" w:cs="Arial"/>
          <w:color w:val="FFC000" w:themeColor="accent4"/>
          <w:sz w:val="20"/>
          <w:szCs w:val="20"/>
          <w:lang w:val="en-US"/>
        </w:rPr>
        <w:lastRenderedPageBreak/>
        <w:t>being given to Joseph as they are the cheaper option for Jenny. This does not provide a nutritious diet needed to support children to keep healthy and develop physically as outlined by the NHS (2022). To support this I provided Jenny with information on her local food bank along with a request for a Section 17 assessment under the Children Act 1989.</w:t>
      </w:r>
    </w:p>
    <w:p w14:paraId="7AFA6968" w14:textId="34754E88"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To conclude my report It is my professional judgement that urgent intervention and support for Jenny is required to prevent the risk of significant harm from happening to Joseph and Amelia in the future. I do not believe Joseph and Amelia to be in an unsafe environment and feel with the right support from multi agencies, the general well-being and living conditions will improve for the whole family. I have seen that Jenny is a loving mum through her responses to the children during my visit. I have heard that she has particularly struggled the past couple of months due to financial hardship and possible depression. Jenny has agreed to actions which shows her willingness to work in partnership . I believe the welfare of Joseph and Amelia should be closely monitored and this case to be reviewed in a few weeks. That concludes my report to conference. Thank you for listening. </w:t>
      </w:r>
    </w:p>
    <w:p w14:paraId="2A94440D" w14:textId="77777777" w:rsidR="00D66C9C" w:rsidRPr="00D66C9C" w:rsidRDefault="00D66C9C" w:rsidP="00D66C9C">
      <w:pPr>
        <w:spacing w:line="276" w:lineRule="auto"/>
        <w:rPr>
          <w:rFonts w:ascii="Arial" w:hAnsi="Arial" w:cs="Arial"/>
          <w:sz w:val="20"/>
          <w:szCs w:val="20"/>
          <w:highlight w:val="cyan"/>
        </w:rPr>
      </w:pPr>
    </w:p>
    <w:p w14:paraId="3881CE3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Good afternoon my name is Officer Wemyss. This case was referred to me by the Social Worker under section 47 of the child protection enquiries.</w:t>
      </w:r>
    </w:p>
    <w:p w14:paraId="66D085E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Today is Monday 8th July 2025 and my report is a Child Welfare Concern.</w:t>
      </w:r>
    </w:p>
    <w:p w14:paraId="68AD7655"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Summary of Concerns</w:t>
      </w:r>
    </w:p>
    <w:p w14:paraId="61A19A6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subjects of concern in this case are a 3-year-old boy named Joseph and a 10-month-old girl named Amelia. The reasons for Concern are suspected neglect in the home environment under the Children and Young Persons Act of 1989 (Legislations, Gov 2024). Joseph and his younger sister Amelia have been identified as at-risk individuals as a result of the potential neglect in their family environment. Emerging concerns have arisen regarding the mother's new relationship, including potential exposure to domestic violence, emotional well-being, and fundamental care. The children appear to be withdrawn, and Joseph has exhibited irregular nursery attendance and inadequate hygiene</w:t>
      </w:r>
      <w:r w:rsidRPr="00D66C9C">
        <w:rPr>
          <w:rFonts w:ascii="Arial" w:eastAsia="Times New Roman" w:hAnsi="Arial" w:cs="Arial"/>
          <w:b/>
          <w:bCs/>
          <w:color w:val="ED7D31" w:themeColor="accent2"/>
          <w:kern w:val="0"/>
          <w:sz w:val="20"/>
          <w:szCs w:val="20"/>
          <w:lang w:eastAsia="en-GB"/>
          <w14:ligatures w14:val="none"/>
        </w:rPr>
        <w:t>.</w:t>
      </w:r>
    </w:p>
    <w:p w14:paraId="0FAD677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 </w:t>
      </w:r>
    </w:p>
    <w:p w14:paraId="0A67185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Key risk factors</w:t>
      </w:r>
    </w:p>
    <w:p w14:paraId="301DD930"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mother has recently started a romantic relationship with a new partner. This individual is already familiar to law enforcement from prior enquiries concerning child safety. This man has no contact or interaction with his biological children due to domestic abuse in a prior relationship. Due to this, he possesses a restraining order issued under Section 360 sentence Act 2020 (CPS, 2025) stopping any contact or interaction with both children and ex-partner. Even though the restraining order remains in effect it has been breached once.</w:t>
      </w:r>
    </w:p>
    <w:p w14:paraId="0421CB86"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Information collected indicates worries around potential controlling and coercive behaviour within the household. The male subject had already previously been charged under Section 76 of the Serious Crime Act 2015 (CPS, 2021). There may be unverified reports of domestic violence, thereby jeopardising the physical and mental well-being of both children. The Mans history of domestic abuse and disregard for restraining orders, coupled with the mother's current involvement with this individual causes serious safeguarding concerns.</w:t>
      </w:r>
    </w:p>
    <w:p w14:paraId="1F89994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Criminal history</w:t>
      </w:r>
    </w:p>
    <w:p w14:paraId="7CCA7BE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male has a history of abusing drugs and alcohol, and he has been arrested before for being abusive and drunk around a child, which led to Child Protective Services being called. The male was charged with drunk and disorderly conduct, which led to charges under the Public Order Act 1986 (CPS, 2024), charged for resisting arrest, which led to charges under the Police Act Section 89 (Legislation.Gov, 2020) and child endangerment, which led to charges under the Children and Young Person Act 1989 (Gov, 2022). These actions show that he is still a danger to any children he is responsible for or in contact with.</w:t>
      </w:r>
    </w:p>
    <w:p w14:paraId="7F004CD1"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My recommendations</w:t>
      </w:r>
    </w:p>
    <w:p w14:paraId="498FF08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Based on the available facts I advise a criminal inquiry into possible coercive control, child endangerment, and domestic abuse under Section 76 of the Serious Crime Act 2015 (Gov, 2024), </w:t>
      </w:r>
      <w:r w:rsidRPr="00D66C9C">
        <w:rPr>
          <w:rFonts w:ascii="Arial" w:eastAsia="Times New Roman" w:hAnsi="Arial" w:cs="Arial"/>
          <w:color w:val="ED7D31" w:themeColor="accent2"/>
          <w:kern w:val="0"/>
          <w:sz w:val="20"/>
          <w:szCs w:val="20"/>
          <w:lang w:eastAsia="en-GB"/>
          <w14:ligatures w14:val="none"/>
        </w:rPr>
        <w:lastRenderedPageBreak/>
        <w:t>The Children and Young People Act 2004 (Legislation, Gov 2022) and the Sentencing Act 2020, Section 360 (Legislation.gov 2020). Until the outcomes of the police investigations and risk assessments are known, I advise the male in question to avoid any unsupervised interactions with the children. If the children are deemed at immediate risk after these risk assessments, I urge Children's Services to seek an Emergency Protection Order under the Children Act 1989, Section 44 (Child Law Advice, 2023).       </w:t>
      </w:r>
    </w:p>
    <w:p w14:paraId="320B359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Given the indications of coercive control, I suggest that the mother seek help from domestic abuse services, which include safety planning under the Domestic Abuse Act 2021 (Gov, 2024).</w:t>
      </w:r>
    </w:p>
    <w:p w14:paraId="7313FE2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w:t>
      </w:r>
    </w:p>
    <w:p w14:paraId="610A1A9F"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Conclusion</w:t>
      </w:r>
    </w:p>
    <w:p w14:paraId="5BAC3AB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Despite what the Team around the family have said, based on the data base I deem the welfare of Joseph, Amelia and Jenny at a serious and credible risk. I have multiple safeguarding concerns, which include neglect, suspected domestic abuse, breach of legal orders and a male adult with a significant offending history.</w:t>
      </w:r>
      <w:r w:rsidRPr="00D66C9C">
        <w:rPr>
          <w:rFonts w:ascii="Arial" w:eastAsia="Times New Roman" w:hAnsi="Arial" w:cs="Arial"/>
          <w:color w:val="ED7D31" w:themeColor="accent2"/>
          <w:kern w:val="0"/>
          <w:sz w:val="20"/>
          <w:szCs w:val="20"/>
          <w:lang w:eastAsia="en-GB"/>
          <w14:ligatures w14:val="none"/>
        </w:rPr>
        <w:br/>
        <w:t>As our duty of care under the Children Act 1989 (NSPCC, 2024) the police are in favour of immediate protective action, joint-agency investigation, and the implementation of appropriate legal measures to protect the minors from ongoing harm.</w:t>
      </w:r>
    </w:p>
    <w:p w14:paraId="32B39D95" w14:textId="77777777" w:rsidR="00D66C9C" w:rsidRPr="00D66C9C" w:rsidRDefault="00D66C9C" w:rsidP="00D66C9C">
      <w:pPr>
        <w:spacing w:line="276" w:lineRule="auto"/>
        <w:rPr>
          <w:rFonts w:ascii="Arial" w:hAnsi="Arial" w:cs="Arial"/>
          <w:sz w:val="20"/>
          <w:szCs w:val="20"/>
          <w:highlight w:val="cyan"/>
        </w:rPr>
      </w:pPr>
    </w:p>
    <w:p w14:paraId="18E5C73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This case exemplifies the complexity of cumulative neglect and the risks of disguised compliance, where parents offer minimal cooperation to deflect scrutiny (Reder and Duncan, 1999; Laming, 2009). The lack of visible injuries should not obscure the seriousness of emotional harm and developmental disruption experienced by both children (NSPCC, 2023).</w:t>
      </w:r>
    </w:p>
    <w:p w14:paraId="5EFE4D82" w14:textId="77777777" w:rsidR="00AC55D8" w:rsidRPr="00D66C9C" w:rsidRDefault="00AC55D8" w:rsidP="00D66C9C">
      <w:pPr>
        <w:spacing w:line="276" w:lineRule="auto"/>
        <w:rPr>
          <w:rFonts w:ascii="Arial" w:hAnsi="Arial" w:cs="Arial"/>
          <w:color w:val="00B0F0"/>
          <w:sz w:val="20"/>
          <w:szCs w:val="20"/>
        </w:rPr>
      </w:pPr>
    </w:p>
    <w:p w14:paraId="5E261707" w14:textId="10259A1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Challenges include maternal non-engagement and the unknown role of the adult male, suggesting ongoing risk. As the lead professional, I will ensure robust Core Group coordination, ongoing risk reassessment, and that the children’s voices and experiences remain central to planning (Winter, 2011).</w:t>
      </w:r>
    </w:p>
    <w:p w14:paraId="07DF94A1" w14:textId="77777777" w:rsidR="00AC55D8" w:rsidRPr="00D66C9C" w:rsidRDefault="00AC55D8" w:rsidP="00D66C9C">
      <w:pPr>
        <w:spacing w:line="276" w:lineRule="auto"/>
        <w:rPr>
          <w:rFonts w:ascii="Arial" w:hAnsi="Arial" w:cs="Arial"/>
          <w:color w:val="00B0F0"/>
          <w:sz w:val="20"/>
          <w:szCs w:val="20"/>
        </w:rPr>
      </w:pPr>
    </w:p>
    <w:p w14:paraId="16DFD3CE" w14:textId="3D4CADE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evidence gathered from direct observation, partner agency input, and family history strongly supports the categorisation of significant harm. Including missed health appointments, social withdrawal, and maternal non-engagement. The police confirmed the male visitor has a criminal record for domestic assault and substance misuse. Consent for checks was not granted by the mother, prompting safeguarding overrides in line with GDPR Article 6(1)(d) and Article 9(2)(c) – protection of vital interests (Information Commissioner’s Office, 2023). My professional judgement is that the children remain at risk and require ongoing statutory intervention, including a Child Protection Plan, monitored through monthly Core Groups and a 3-month review conference.</w:t>
      </w:r>
    </w:p>
    <w:p w14:paraId="3594DD63" w14:textId="10F8CB1E"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If there is non-compliance or further deterioration, legal proceedings will be considered under the Children Act 1989 (Section 31 – Care Proceedings).</w:t>
      </w:r>
    </w:p>
    <w:p w14:paraId="341697FB" w14:textId="77777777" w:rsidR="00AC55D8" w:rsidRPr="00D66C9C" w:rsidRDefault="00AC55D8" w:rsidP="00D66C9C">
      <w:pPr>
        <w:spacing w:line="276" w:lineRule="auto"/>
        <w:rPr>
          <w:rFonts w:ascii="Arial" w:hAnsi="Arial" w:cs="Arial"/>
          <w:color w:val="00B0F0"/>
          <w:sz w:val="20"/>
          <w:szCs w:val="20"/>
        </w:rPr>
      </w:pPr>
    </w:p>
    <w:p w14:paraId="1B851624" w14:textId="4C8F03F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Bobby, do you agree with this outcome?</w:t>
      </w:r>
    </w:p>
    <w:p w14:paraId="51FFF436" w14:textId="657A72A9"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Cody, do you agree with this outcome?</w:t>
      </w:r>
    </w:p>
    <w:p w14:paraId="0D92BFB0" w14:textId="2CB546A2"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Joelle, do you agree with this outcome?</w:t>
      </w:r>
    </w:p>
    <w:p w14:paraId="43562975" w14:textId="4B8E040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Gemma, do you agree with this outcome?</w:t>
      </w:r>
    </w:p>
    <w:p w14:paraId="7AC00510" w14:textId="77777777" w:rsidR="00AC55D8" w:rsidRPr="00D66C9C" w:rsidRDefault="00AC55D8" w:rsidP="00D66C9C">
      <w:pPr>
        <w:spacing w:line="276" w:lineRule="auto"/>
        <w:rPr>
          <w:rFonts w:ascii="Arial" w:hAnsi="Arial" w:cs="Arial"/>
          <w:color w:val="00B0F0"/>
          <w:sz w:val="20"/>
          <w:szCs w:val="20"/>
        </w:rPr>
      </w:pPr>
    </w:p>
    <w:p w14:paraId="16783AA3" w14:textId="5FBB11C5"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We will meet again in 2 weeks’ time to review the steps to the plan. </w:t>
      </w:r>
    </w:p>
    <w:p w14:paraId="501AAC5A" w14:textId="77777777" w:rsidR="00AC55D8" w:rsidRPr="00D66C9C" w:rsidRDefault="00AC55D8" w:rsidP="00D66C9C">
      <w:pPr>
        <w:spacing w:line="276" w:lineRule="auto"/>
        <w:rPr>
          <w:rFonts w:ascii="Arial" w:hAnsi="Arial" w:cs="Arial"/>
          <w:color w:val="00B0F0"/>
          <w:sz w:val="20"/>
          <w:szCs w:val="20"/>
        </w:rPr>
      </w:pPr>
    </w:p>
    <w:p w14:paraId="30B950DC" w14:textId="71AF8E3A"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Thank you all for your contribution and support.</w:t>
      </w:r>
    </w:p>
    <w:p w14:paraId="53CC98D5" w14:textId="77777777" w:rsidR="00AC55D8" w:rsidRPr="00D66C9C" w:rsidRDefault="00AC55D8" w:rsidP="00D66C9C">
      <w:pPr>
        <w:spacing w:line="276" w:lineRule="auto"/>
        <w:rPr>
          <w:rFonts w:ascii="Arial" w:hAnsi="Arial" w:cs="Arial"/>
          <w:sz w:val="20"/>
          <w:szCs w:val="20"/>
        </w:rPr>
      </w:pPr>
    </w:p>
    <w:p w14:paraId="5FCB3B01" w14:textId="77777777" w:rsidR="00AC55D8" w:rsidRPr="00D66C9C" w:rsidRDefault="00AC55D8" w:rsidP="00D66C9C">
      <w:pPr>
        <w:spacing w:line="276" w:lineRule="auto"/>
        <w:rPr>
          <w:rFonts w:ascii="Arial" w:hAnsi="Arial" w:cs="Arial"/>
          <w:sz w:val="20"/>
          <w:szCs w:val="20"/>
        </w:rPr>
      </w:pPr>
    </w:p>
    <w:p w14:paraId="0D8439CC" w14:textId="29E20870" w:rsidR="00AC55D8" w:rsidRPr="00D66C9C" w:rsidRDefault="00AC55D8" w:rsidP="00D66C9C">
      <w:pPr>
        <w:spacing w:line="276" w:lineRule="auto"/>
        <w:rPr>
          <w:rFonts w:ascii="Arial" w:hAnsi="Arial" w:cs="Arial"/>
          <w:sz w:val="20"/>
          <w:szCs w:val="20"/>
        </w:rPr>
      </w:pPr>
    </w:p>
    <w:p w14:paraId="14FAF299" w14:textId="77777777" w:rsidR="00AC55D8" w:rsidRPr="00D66C9C" w:rsidRDefault="00AC55D8" w:rsidP="00D66C9C">
      <w:pPr>
        <w:spacing w:line="276" w:lineRule="auto"/>
        <w:rPr>
          <w:rFonts w:ascii="Arial" w:hAnsi="Arial" w:cs="Arial"/>
          <w:sz w:val="20"/>
          <w:szCs w:val="20"/>
        </w:rPr>
      </w:pPr>
    </w:p>
    <w:p w14:paraId="706CB949" w14:textId="56280B36" w:rsidR="00AC55D8" w:rsidRPr="00DE17D5" w:rsidRDefault="00AC55D8" w:rsidP="00DE17D5">
      <w:pPr>
        <w:spacing w:line="276" w:lineRule="auto"/>
        <w:jc w:val="center"/>
        <w:rPr>
          <w:rFonts w:ascii="Arial" w:hAnsi="Arial" w:cs="Arial"/>
          <w:b/>
          <w:bCs/>
          <w:sz w:val="20"/>
          <w:szCs w:val="20"/>
          <w:u w:val="single"/>
        </w:rPr>
      </w:pPr>
      <w:r w:rsidRPr="00DE17D5">
        <w:rPr>
          <w:rFonts w:ascii="Arial" w:hAnsi="Arial" w:cs="Arial"/>
          <w:b/>
          <w:bCs/>
          <w:sz w:val="20"/>
          <w:szCs w:val="20"/>
          <w:u w:val="single"/>
        </w:rPr>
        <w:lastRenderedPageBreak/>
        <w:t>Reference list</w:t>
      </w:r>
    </w:p>
    <w:p w14:paraId="043F543E" w14:textId="77777777" w:rsidR="00D66C9C" w:rsidRPr="00D66C9C" w:rsidRDefault="00D66C9C" w:rsidP="00D66C9C">
      <w:pPr>
        <w:spacing w:line="276" w:lineRule="auto"/>
        <w:rPr>
          <w:rFonts w:ascii="Arial" w:hAnsi="Arial" w:cs="Arial"/>
          <w:sz w:val="20"/>
          <w:szCs w:val="20"/>
        </w:rPr>
      </w:pPr>
    </w:p>
    <w:p w14:paraId="29ACBF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Allen, G. (2011) Early Intervention: The Next Steps. London: HM Government.</w:t>
      </w:r>
    </w:p>
    <w:p w14:paraId="633B26D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6F4E707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2F3DFF1E" w14:textId="77777777" w:rsidR="00D66C9C" w:rsidRPr="00D66C9C" w:rsidRDefault="00D66C9C" w:rsidP="00D66C9C">
      <w:pPr>
        <w:spacing w:line="276" w:lineRule="auto"/>
        <w:rPr>
          <w:rFonts w:ascii="Arial" w:hAnsi="Arial" w:cs="Arial"/>
          <w:sz w:val="20"/>
          <w:szCs w:val="20"/>
        </w:rPr>
      </w:pPr>
      <w:r w:rsidRPr="00DE17D5">
        <w:rPr>
          <w:rFonts w:ascii="Arial" w:hAnsi="Arial" w:cs="Arial"/>
          <w:sz w:val="20"/>
          <w:szCs w:val="20"/>
          <w:lang w:val="fr-FR"/>
        </w:rPr>
        <w:t xml:space="preserve">Bellis, M.A. et al. </w:t>
      </w:r>
      <w:r w:rsidRPr="00D66C9C">
        <w:rPr>
          <w:rFonts w:ascii="Arial" w:hAnsi="Arial" w:cs="Arial"/>
          <w:sz w:val="20"/>
          <w:szCs w:val="20"/>
        </w:rPr>
        <w:t>(2014) ‘National household survey of adverse childhood experiences and their relationship with resilience to health-harming behaviours in England’, BMC Medicine, 12(72).</w:t>
      </w:r>
    </w:p>
    <w:p w14:paraId="7870F30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Bowlby, J. (1988) A Secure Base: Clinical Applications of Attachment Theory. London: Routledge.</w:t>
      </w:r>
    </w:p>
    <w:p w14:paraId="2028E256"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Brandon, M., Sidebotham, P., Belderson, P. and Ellis, C. (2020) Complexity and challenge: A triennial analysis of SCRs 2014–2017. London: DfE.</w:t>
      </w:r>
    </w:p>
    <w:p w14:paraId="5B7FC1F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Bronfenbrenner, U. (1979) The Ecology of Human Development. Cambridge, MA: Harvard University Press.</w:t>
      </w:r>
    </w:p>
    <w:p w14:paraId="4F4076C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Child Law Advice (2023) </w:t>
      </w:r>
      <w:r w:rsidRPr="00D66C9C">
        <w:rPr>
          <w:rFonts w:ascii="Arial" w:hAnsi="Arial" w:cs="Arial"/>
          <w:i/>
          <w:iCs/>
          <w:color w:val="000000"/>
          <w:sz w:val="20"/>
          <w:szCs w:val="20"/>
        </w:rPr>
        <w:t>Police powers of protection and emergency protection orders. </w:t>
      </w:r>
      <w:r w:rsidRPr="00D66C9C">
        <w:rPr>
          <w:rFonts w:ascii="Arial" w:hAnsi="Arial" w:cs="Arial"/>
          <w:color w:val="000000"/>
          <w:sz w:val="20"/>
          <w:szCs w:val="20"/>
        </w:rPr>
        <w:t>Available at: </w:t>
      </w:r>
      <w:hyperlink r:id="rId7" w:tgtFrame="_blank" w:history="1">
        <w:r w:rsidRPr="00D66C9C">
          <w:rPr>
            <w:rStyle w:val="Hyperlink"/>
            <w:rFonts w:ascii="Arial" w:hAnsi="Arial" w:cs="Arial"/>
            <w:color w:val="1155CC"/>
            <w:sz w:val="20"/>
            <w:szCs w:val="20"/>
          </w:rPr>
          <w:t>https://childlawadvice.org.uk/information-pages/police-powers-of-protection-emergency-protection-orders/</w:t>
        </w:r>
      </w:hyperlink>
      <w:r w:rsidRPr="00D66C9C">
        <w:rPr>
          <w:rFonts w:ascii="Arial" w:hAnsi="Arial" w:cs="Arial"/>
          <w:color w:val="000000"/>
          <w:sz w:val="20"/>
          <w:szCs w:val="20"/>
        </w:rPr>
        <w:t> (Accessed 1st July 2025).</w:t>
      </w:r>
    </w:p>
    <w:p w14:paraId="77194831"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 xml:space="preserve">Childlawadvice.org.uk. (2019). Available at: </w:t>
      </w:r>
      <w:hyperlink r:id="rId8" w:history="1">
        <w:r w:rsidRPr="00D66C9C">
          <w:rPr>
            <w:rStyle w:val="Hyperlink"/>
            <w:rFonts w:ascii="Arial" w:hAnsi="Arial" w:cs="Arial"/>
            <w:sz w:val="20"/>
            <w:szCs w:val="20"/>
          </w:rPr>
          <w:t>https://childlawadvice.org.uk/</w:t>
        </w:r>
      </w:hyperlink>
      <w:r w:rsidRPr="00D66C9C">
        <w:rPr>
          <w:rFonts w:ascii="Arial" w:hAnsi="Arial" w:cs="Arial"/>
          <w:color w:val="000000"/>
          <w:sz w:val="20"/>
          <w:szCs w:val="20"/>
        </w:rPr>
        <w:t xml:space="preserve">.                                      </w:t>
      </w:r>
      <w:r w:rsidRPr="00D66C9C">
        <w:rPr>
          <w:rFonts w:ascii="Arial" w:hAnsi="Arial" w:cs="Arial"/>
          <w:sz w:val="20"/>
          <w:szCs w:val="20"/>
        </w:rPr>
        <w:t>Cleaver, H., Unell, I. and Aldgate, J. (2011) Children’s needs—parenting capacity. 2nd edn. London: TSO.</w:t>
      </w:r>
    </w:p>
    <w:p w14:paraId="1FF37DD5"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Children Act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9" w:history="1">
        <w:r w:rsidRPr="00D66C9C">
          <w:rPr>
            <w:rStyle w:val="Hyperlink"/>
            <w:rFonts w:ascii="Arial" w:hAnsi="Arial" w:cs="Arial"/>
            <w:sz w:val="20"/>
            <w:szCs w:val="20"/>
          </w:rPr>
          <w:t>https://www.legislation.gov.uk/ukpga/1989/41/contents</w:t>
        </w:r>
      </w:hyperlink>
      <w:r w:rsidRPr="00D66C9C">
        <w:rPr>
          <w:rFonts w:ascii="Arial" w:hAnsi="Arial" w:cs="Arial"/>
          <w:color w:val="000000"/>
          <w:sz w:val="20"/>
          <w:szCs w:val="20"/>
        </w:rPr>
        <w:t xml:space="preserve">. </w:t>
      </w:r>
    </w:p>
    <w:p w14:paraId="5B2F1BC9"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Cleaver, H., Unell, I. and Aldgate, J. (2011) Children’s Needs – Parenting Capacity: Child Abuse: Parental Mental Illness, Learning Disability, Substance Misuse and Domestic Violence. London: TSO.</w:t>
      </w:r>
    </w:p>
    <w:p w14:paraId="3949CBD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(2024) </w:t>
      </w:r>
      <w:r w:rsidRPr="00D66C9C">
        <w:rPr>
          <w:rFonts w:ascii="Arial" w:hAnsi="Arial" w:cs="Arial"/>
          <w:i/>
          <w:iCs/>
          <w:color w:val="000000"/>
          <w:sz w:val="20"/>
          <w:szCs w:val="20"/>
        </w:rPr>
        <w:t>Public order offences incorporating the charging standard</w:t>
      </w:r>
      <w:r w:rsidRPr="00D66C9C">
        <w:rPr>
          <w:rFonts w:ascii="Arial" w:hAnsi="Arial" w:cs="Arial"/>
          <w:color w:val="000000"/>
          <w:sz w:val="20"/>
          <w:szCs w:val="20"/>
        </w:rPr>
        <w:t>. Available at: </w:t>
      </w:r>
      <w:hyperlink r:id="rId10" w:tgtFrame="_blank" w:history="1">
        <w:r w:rsidRPr="00D66C9C">
          <w:rPr>
            <w:rStyle w:val="Hyperlink"/>
            <w:rFonts w:ascii="Arial" w:hAnsi="Arial" w:cs="Arial"/>
            <w:color w:val="1155CC"/>
            <w:sz w:val="20"/>
            <w:szCs w:val="20"/>
          </w:rPr>
          <w:t>https://www.cps.gov.uk/legal-guidance/public-order-offences-incorporating-charging-standard</w:t>
        </w:r>
      </w:hyperlink>
      <w:r w:rsidRPr="00D66C9C">
        <w:rPr>
          <w:rFonts w:ascii="Arial" w:hAnsi="Arial" w:cs="Arial"/>
          <w:color w:val="000000"/>
          <w:sz w:val="20"/>
          <w:szCs w:val="20"/>
        </w:rPr>
        <w:t> (Accessed 1st July 2025)</w:t>
      </w:r>
    </w:p>
    <w:p w14:paraId="5F1D6DBD"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Controlling or coercive behaviour in an intimate or family relationship</w:t>
      </w:r>
      <w:r w:rsidRPr="00D66C9C">
        <w:rPr>
          <w:rFonts w:ascii="Arial" w:hAnsi="Arial" w:cs="Arial"/>
          <w:color w:val="000000"/>
          <w:sz w:val="20"/>
          <w:szCs w:val="20"/>
        </w:rPr>
        <w:t>. Available at: </w:t>
      </w:r>
      <w:hyperlink r:id="rId11" w:tgtFrame="_blank" w:history="1">
        <w:r w:rsidRPr="00D66C9C">
          <w:rPr>
            <w:rStyle w:val="Hyperlink"/>
            <w:rFonts w:ascii="Arial" w:hAnsi="Arial" w:cs="Arial"/>
            <w:color w:val="1155CC"/>
            <w:sz w:val="20"/>
            <w:szCs w:val="20"/>
          </w:rPr>
          <w:t>https://www.cps.gov.uk/legal-guidance/controlling-or-coercive-behaviour-intimate-or-family-relationship</w:t>
        </w:r>
      </w:hyperlink>
      <w:r w:rsidRPr="00D66C9C">
        <w:rPr>
          <w:rFonts w:ascii="Arial" w:hAnsi="Arial" w:cs="Arial"/>
          <w:color w:val="000000"/>
          <w:sz w:val="20"/>
          <w:szCs w:val="20"/>
        </w:rPr>
        <w:t> (Accessed 1st July 2025).</w:t>
      </w:r>
    </w:p>
    <w:p w14:paraId="0707D0D1"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Restraining orders</w:t>
      </w:r>
      <w:r w:rsidRPr="00D66C9C">
        <w:rPr>
          <w:rFonts w:ascii="Arial" w:hAnsi="Arial" w:cs="Arial"/>
          <w:color w:val="000000"/>
          <w:sz w:val="20"/>
          <w:szCs w:val="20"/>
        </w:rPr>
        <w:t>. Available at: </w:t>
      </w:r>
      <w:hyperlink r:id="rId12" w:tgtFrame="_blank" w:history="1">
        <w:r w:rsidRPr="00D66C9C">
          <w:rPr>
            <w:rStyle w:val="Hyperlink"/>
            <w:rFonts w:ascii="Arial" w:hAnsi="Arial" w:cs="Arial"/>
            <w:color w:val="1155CC"/>
            <w:sz w:val="20"/>
            <w:szCs w:val="20"/>
          </w:rPr>
          <w:t>https://www.cps.gov.uk/legal-guidance/restraining-orders</w:t>
        </w:r>
      </w:hyperlink>
      <w:r w:rsidRPr="00D66C9C">
        <w:rPr>
          <w:rFonts w:ascii="Arial" w:hAnsi="Arial" w:cs="Arial"/>
          <w:color w:val="000000"/>
          <w:sz w:val="20"/>
          <w:szCs w:val="20"/>
        </w:rPr>
        <w:t> (Accessed 1st July 2025).</w:t>
      </w:r>
    </w:p>
    <w:p w14:paraId="51E29D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Daniel, B., Wassell, S. and Gilligan, R. (2011) Child Development for Child Care and Protection Workers. 2nd edn. London: Jessica Kingsley.                                                                             </w:t>
      </w:r>
      <w:r w:rsidRPr="00D66C9C">
        <w:rPr>
          <w:rFonts w:ascii="Arial" w:hAnsi="Arial" w:cs="Arial"/>
          <w:color w:val="000000"/>
          <w:sz w:val="20"/>
          <w:szCs w:val="20"/>
        </w:rPr>
        <w:t>Department for Education (2003). </w:t>
      </w:r>
      <w:r w:rsidRPr="00D66C9C">
        <w:rPr>
          <w:rFonts w:ascii="Arial" w:hAnsi="Arial" w:cs="Arial"/>
          <w:i/>
          <w:iCs/>
          <w:color w:val="000000"/>
          <w:sz w:val="20"/>
          <w:szCs w:val="20"/>
        </w:rPr>
        <w:t>Every Child Matters</w:t>
      </w:r>
      <w:r w:rsidRPr="00D66C9C">
        <w:rPr>
          <w:rFonts w:ascii="Arial" w:hAnsi="Arial" w:cs="Arial"/>
          <w:color w:val="000000"/>
          <w:sz w:val="20"/>
          <w:szCs w:val="20"/>
        </w:rPr>
        <w:t xml:space="preserve">. [online] Available at: </w:t>
      </w:r>
      <w:hyperlink r:id="rId13" w:history="1">
        <w:r w:rsidRPr="00D66C9C">
          <w:rPr>
            <w:rStyle w:val="Hyperlink"/>
            <w:rFonts w:ascii="Arial" w:hAnsi="Arial" w:cs="Arial"/>
            <w:sz w:val="20"/>
            <w:szCs w:val="20"/>
          </w:rPr>
          <w:t>https://assets.publishing.service.gov.uk/media/5a7c95a4e5274a0bb7cb806d/5860.pdf</w:t>
        </w:r>
      </w:hyperlink>
      <w:r w:rsidRPr="00D66C9C">
        <w:rPr>
          <w:rFonts w:ascii="Arial" w:hAnsi="Arial" w:cs="Arial"/>
          <w:color w:val="000000"/>
          <w:sz w:val="20"/>
          <w:szCs w:val="20"/>
        </w:rPr>
        <w:t xml:space="preserve">. </w:t>
      </w:r>
    </w:p>
    <w:p w14:paraId="7DC693D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(2023) Keeping children safe in education. London: DfE.</w:t>
      </w:r>
    </w:p>
    <w:p w14:paraId="462365B8"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(2024) Statutory Framework for the Early Years Foundation Stage. London: DfE.</w:t>
      </w:r>
    </w:p>
    <w:p w14:paraId="570214FD"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of Health, Department for Education and Employment, and Home Office (2000)</w:t>
      </w:r>
    </w:p>
    <w:p w14:paraId="05EC234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Equality Act (2010) </w:t>
      </w:r>
      <w:r w:rsidRPr="00D66C9C">
        <w:rPr>
          <w:rFonts w:ascii="Arial" w:hAnsi="Arial" w:cs="Arial"/>
          <w:i/>
          <w:iCs/>
          <w:sz w:val="20"/>
          <w:szCs w:val="20"/>
        </w:rPr>
        <w:t>Direct discrimination</w:t>
      </w:r>
      <w:r w:rsidRPr="00D66C9C">
        <w:rPr>
          <w:rFonts w:ascii="Arial" w:hAnsi="Arial" w:cs="Arial"/>
          <w:sz w:val="20"/>
          <w:szCs w:val="20"/>
        </w:rPr>
        <w:t xml:space="preserve">. Available at: </w:t>
      </w:r>
      <w:hyperlink r:id="rId14" w:history="1">
        <w:r w:rsidRPr="00D66C9C">
          <w:rPr>
            <w:rStyle w:val="Hyperlink"/>
            <w:rFonts w:ascii="Arial" w:hAnsi="Arial" w:cs="Arial"/>
            <w:sz w:val="20"/>
            <w:szCs w:val="20"/>
          </w:rPr>
          <w:t>https://www.legislation.gov.uk/ukpga/2010/15/section/13</w:t>
        </w:r>
      </w:hyperlink>
      <w:r w:rsidRPr="00D66C9C">
        <w:rPr>
          <w:rFonts w:ascii="Arial" w:hAnsi="Arial" w:cs="Arial"/>
          <w:sz w:val="20"/>
          <w:szCs w:val="20"/>
        </w:rPr>
        <w:t xml:space="preserve"> (Accessed 2nd July 2025)  </w:t>
      </w:r>
    </w:p>
    <w:p w14:paraId="4F1112F5" w14:textId="77777777" w:rsidR="00D66C9C" w:rsidRPr="00D66C9C" w:rsidRDefault="00D66C9C" w:rsidP="00D66C9C">
      <w:pPr>
        <w:spacing w:line="276" w:lineRule="auto"/>
        <w:rPr>
          <w:rFonts w:ascii="Arial" w:hAnsi="Arial" w:cs="Arial"/>
          <w:sz w:val="20"/>
          <w:szCs w:val="20"/>
        </w:rPr>
      </w:pPr>
      <w:r w:rsidRPr="00DE17D5">
        <w:rPr>
          <w:rFonts w:ascii="Arial" w:hAnsi="Arial" w:cs="Arial"/>
          <w:sz w:val="20"/>
          <w:szCs w:val="20"/>
          <w:lang w:val="it-IT"/>
        </w:rPr>
        <w:t xml:space="preserve">Felitti, V.J. et al. </w:t>
      </w:r>
      <w:r w:rsidRPr="00D66C9C">
        <w:rPr>
          <w:rFonts w:ascii="Arial" w:hAnsi="Arial" w:cs="Arial"/>
          <w:sz w:val="20"/>
          <w:szCs w:val="20"/>
        </w:rPr>
        <w:t>(1998) ‘Relationship of childhood abuse and household dysfunction to many of the leading causes of death in adults’, American Journal of Preventive Medicine, 14(4), pp. 245–258.</w:t>
      </w:r>
    </w:p>
    <w:p w14:paraId="5D1130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Ferguson, H. (2017) ‘How children become invisible in child protection work: findings from research into day-to-day social work practice’, British Journal of Social Work, 47(4), pp. 1007–1023.</w:t>
      </w:r>
    </w:p>
    <w:p w14:paraId="777E5CC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Framework for the assessment of children in need and their families. London: The Stationery Office.</w:t>
      </w:r>
    </w:p>
    <w:p w14:paraId="45B9A2D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DAA0C6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FAB42A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lastRenderedPageBreak/>
        <w:t>Gottman, J.M. (1997) Raising an Emotionally Intelligent Child. New York: Simon &amp; Schuster.</w:t>
      </w:r>
    </w:p>
    <w:p w14:paraId="6829F6EF"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Amendment to the controlling or coercive behaviour offence</w:t>
      </w:r>
      <w:r w:rsidRPr="00D66C9C">
        <w:rPr>
          <w:rFonts w:ascii="Arial" w:hAnsi="Arial" w:cs="Arial"/>
          <w:color w:val="000000"/>
          <w:sz w:val="20"/>
          <w:szCs w:val="20"/>
        </w:rPr>
        <w:t>. Available at: </w:t>
      </w:r>
      <w:hyperlink r:id="rId15" w:tgtFrame="_blank" w:history="1">
        <w:r w:rsidRPr="00D66C9C">
          <w:rPr>
            <w:rStyle w:val="Hyperlink"/>
            <w:rFonts w:ascii="Arial" w:hAnsi="Arial" w:cs="Arial"/>
            <w:color w:val="1155CC"/>
            <w:sz w:val="20"/>
            <w:szCs w:val="20"/>
          </w:rPr>
          <w:t>https://www.gov.uk/government/publications/domestic-abuse-bill-2020-factsheets/amendment-to-the-controlling-or-coercive-behaviour-offence</w:t>
        </w:r>
      </w:hyperlink>
      <w:r w:rsidRPr="00D66C9C">
        <w:rPr>
          <w:rFonts w:ascii="Arial" w:hAnsi="Arial" w:cs="Arial"/>
          <w:color w:val="000000"/>
          <w:sz w:val="20"/>
          <w:szCs w:val="20"/>
        </w:rPr>
        <w:t> (Accessed 1st July 2025)</w:t>
      </w:r>
    </w:p>
    <w:p w14:paraId="2CF3140E"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Domestic Abuse Act 2021: overarching factsheets</w:t>
      </w:r>
      <w:r w:rsidRPr="00D66C9C">
        <w:rPr>
          <w:rFonts w:ascii="Arial" w:hAnsi="Arial" w:cs="Arial"/>
          <w:color w:val="000000"/>
          <w:sz w:val="20"/>
          <w:szCs w:val="20"/>
        </w:rPr>
        <w:t>. Available at: </w:t>
      </w:r>
      <w:hyperlink r:id="rId16" w:tgtFrame="_blank" w:history="1">
        <w:r w:rsidRPr="00D66C9C">
          <w:rPr>
            <w:rStyle w:val="Hyperlink"/>
            <w:rFonts w:ascii="Arial" w:hAnsi="Arial" w:cs="Arial"/>
            <w:color w:val="1155CC"/>
            <w:sz w:val="20"/>
            <w:szCs w:val="20"/>
          </w:rPr>
          <w:t>https://www.gov.uk/government/publications/domestic-abuse-bill-2020-factsheets/domestic-abuse-bill-2020-overarching-factsheet</w:t>
        </w:r>
      </w:hyperlink>
      <w:r w:rsidRPr="00D66C9C">
        <w:rPr>
          <w:rFonts w:ascii="Arial" w:hAnsi="Arial" w:cs="Arial"/>
          <w:color w:val="000000"/>
          <w:sz w:val="20"/>
          <w:szCs w:val="20"/>
        </w:rPr>
        <w:t> (Accessed 1st July 2025).</w:t>
      </w:r>
    </w:p>
    <w:p w14:paraId="04551FC7"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17" w:history="1">
        <w:r w:rsidRPr="00D66C9C">
          <w:rPr>
            <w:rStyle w:val="Hyperlink"/>
            <w:rFonts w:ascii="Arial" w:hAnsi="Arial" w:cs="Arial"/>
            <w:sz w:val="20"/>
            <w:szCs w:val="20"/>
          </w:rPr>
          <w:t>https://www.legislation.gov.uk/ukpga/1989/41/section/31</w:t>
        </w:r>
      </w:hyperlink>
      <w:r w:rsidRPr="00D66C9C">
        <w:rPr>
          <w:rFonts w:ascii="Arial" w:hAnsi="Arial" w:cs="Arial"/>
          <w:color w:val="000000"/>
          <w:sz w:val="20"/>
          <w:szCs w:val="20"/>
        </w:rPr>
        <w:t>.</w:t>
      </w:r>
    </w:p>
    <w:p w14:paraId="50B0BBB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(2018). </w:t>
      </w:r>
      <w:r w:rsidRPr="00D66C9C">
        <w:rPr>
          <w:rFonts w:ascii="Arial" w:hAnsi="Arial" w:cs="Arial"/>
          <w:i/>
          <w:iCs/>
          <w:color w:val="000000"/>
          <w:sz w:val="20"/>
          <w:szCs w:val="20"/>
        </w:rPr>
        <w:t>Data Protection Act 2018</w:t>
      </w:r>
      <w:r w:rsidRPr="00D66C9C">
        <w:rPr>
          <w:rFonts w:ascii="Arial" w:hAnsi="Arial" w:cs="Arial"/>
          <w:color w:val="000000"/>
          <w:sz w:val="20"/>
          <w:szCs w:val="20"/>
        </w:rPr>
        <w:t xml:space="preserve">. [online] legislation.gov.uk. Available at: </w:t>
      </w:r>
      <w:hyperlink r:id="rId18" w:history="1">
        <w:r w:rsidRPr="00D66C9C">
          <w:rPr>
            <w:rStyle w:val="Hyperlink"/>
            <w:rFonts w:ascii="Arial" w:hAnsi="Arial" w:cs="Arial"/>
            <w:sz w:val="20"/>
            <w:szCs w:val="20"/>
          </w:rPr>
          <w:t>https://www.legislation.gov.uk/ukpga/2018/12/contents</w:t>
        </w:r>
      </w:hyperlink>
      <w:r w:rsidRPr="00D66C9C">
        <w:rPr>
          <w:rFonts w:ascii="Arial" w:hAnsi="Arial" w:cs="Arial"/>
          <w:color w:val="000000"/>
          <w:sz w:val="20"/>
          <w:szCs w:val="20"/>
        </w:rPr>
        <w:t xml:space="preserve">. </w:t>
      </w:r>
    </w:p>
    <w:p w14:paraId="271ED5B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HM Government (2023) Working Together to Safeguard Children. London: The Stationery Office.</w:t>
      </w:r>
    </w:p>
    <w:p w14:paraId="64FAA79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Horwath, J. (2007) Child Neglect: Identification and Assessment. Basingstoke: Palgrave Macmillan.</w:t>
      </w:r>
    </w:p>
    <w:p w14:paraId="7EFB8C2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Information Commissioner’s Office (2023) Lawful basis for processing. [Online] Available at: https://ico.org.uk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133D18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Laming, H. (2009) The Protection of Children in England: A Progress Report. London: TSO.</w:t>
      </w:r>
    </w:p>
    <w:p w14:paraId="29DB05BD" w14:textId="77777777" w:rsidR="00D66C9C" w:rsidRPr="00D66C9C" w:rsidRDefault="00D66C9C" w:rsidP="00D66C9C">
      <w:pPr>
        <w:shd w:val="clear" w:color="auto" w:fill="FFFFFF"/>
        <w:spacing w:line="276" w:lineRule="auto"/>
        <w:rPr>
          <w:rFonts w:ascii="Arial" w:hAnsi="Arial" w:cs="Arial"/>
          <w:color w:val="000000"/>
          <w:sz w:val="20"/>
          <w:szCs w:val="20"/>
        </w:rPr>
      </w:pPr>
      <w:hyperlink r:id="rId19" w:tgtFrame="_blank" w:history="1">
        <w:r w:rsidRPr="00D66C9C">
          <w:rPr>
            <w:rStyle w:val="Hyperlink"/>
            <w:rFonts w:ascii="Arial" w:hAnsi="Arial" w:cs="Arial"/>
            <w:color w:val="1155CC"/>
            <w:sz w:val="20"/>
            <w:szCs w:val="20"/>
          </w:rPr>
          <w:t>Legisation.Gov.Uk</w:t>
        </w:r>
      </w:hyperlink>
      <w:r w:rsidRPr="00D66C9C">
        <w:rPr>
          <w:rFonts w:ascii="Arial" w:hAnsi="Arial" w:cs="Arial"/>
          <w:color w:val="000000"/>
          <w:sz w:val="20"/>
          <w:szCs w:val="20"/>
        </w:rPr>
        <w:t> (2024) </w:t>
      </w:r>
      <w:r w:rsidRPr="00D66C9C">
        <w:rPr>
          <w:rFonts w:ascii="Arial" w:hAnsi="Arial" w:cs="Arial"/>
          <w:i/>
          <w:iCs/>
          <w:color w:val="000000"/>
          <w:sz w:val="20"/>
          <w:szCs w:val="20"/>
        </w:rPr>
        <w:t>Children and Young Person</w:t>
      </w:r>
      <w:r w:rsidRPr="00D66C9C">
        <w:rPr>
          <w:rFonts w:ascii="Arial" w:hAnsi="Arial" w:cs="Arial"/>
          <w:color w:val="000000"/>
          <w:sz w:val="20"/>
          <w:szCs w:val="20"/>
        </w:rPr>
        <w:t> Act 1933. Available at: </w:t>
      </w:r>
      <w:hyperlink r:id="rId20" w:tgtFrame="_blank" w:history="1">
        <w:r w:rsidRPr="00D66C9C">
          <w:rPr>
            <w:rStyle w:val="Hyperlink"/>
            <w:rFonts w:ascii="Arial" w:hAnsi="Arial" w:cs="Arial"/>
            <w:color w:val="1155CC"/>
            <w:sz w:val="20"/>
            <w:szCs w:val="20"/>
          </w:rPr>
          <w:t>https://www.legislation.gov.uk/ukpga/Geo5/23-24/12/2024-01-31?view=plain</w:t>
        </w:r>
      </w:hyperlink>
      <w:r w:rsidRPr="00D66C9C">
        <w:rPr>
          <w:rFonts w:ascii="Arial" w:hAnsi="Arial" w:cs="Arial"/>
          <w:color w:val="000000"/>
          <w:sz w:val="20"/>
          <w:szCs w:val="20"/>
        </w:rPr>
        <w:t> (Accessed 1st July 2025).</w:t>
      </w:r>
    </w:p>
    <w:p w14:paraId="5277F87A"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(2020) </w:t>
      </w:r>
      <w:r w:rsidRPr="00D66C9C">
        <w:rPr>
          <w:rFonts w:ascii="Arial" w:hAnsi="Arial" w:cs="Arial"/>
          <w:i/>
          <w:iCs/>
          <w:color w:val="000000"/>
          <w:sz w:val="20"/>
          <w:szCs w:val="20"/>
        </w:rPr>
        <w:t>Assaults on constables</w:t>
      </w:r>
      <w:r w:rsidRPr="00D66C9C">
        <w:rPr>
          <w:rFonts w:ascii="Arial" w:hAnsi="Arial" w:cs="Arial"/>
          <w:color w:val="000000"/>
          <w:sz w:val="20"/>
          <w:szCs w:val="20"/>
        </w:rPr>
        <w:t>. Available at: </w:t>
      </w:r>
      <w:hyperlink r:id="rId21" w:tgtFrame="_blank" w:history="1">
        <w:r w:rsidRPr="00D66C9C">
          <w:rPr>
            <w:rStyle w:val="Hyperlink"/>
            <w:rFonts w:ascii="Arial" w:hAnsi="Arial" w:cs="Arial"/>
            <w:color w:val="1155CC"/>
            <w:sz w:val="20"/>
            <w:szCs w:val="20"/>
          </w:rPr>
          <w:t>https://www.legislation.gov.uk/ukpga/1996/16/section/89</w:t>
        </w:r>
      </w:hyperlink>
      <w:r w:rsidRPr="00D66C9C">
        <w:rPr>
          <w:rFonts w:ascii="Arial" w:hAnsi="Arial" w:cs="Arial"/>
          <w:color w:val="000000"/>
          <w:sz w:val="20"/>
          <w:szCs w:val="20"/>
        </w:rPr>
        <w:t> (Accessed 1st July 2025).</w:t>
      </w:r>
    </w:p>
    <w:p w14:paraId="5F8451D6"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(2020) </w:t>
      </w:r>
      <w:r w:rsidRPr="00D66C9C">
        <w:rPr>
          <w:rFonts w:ascii="Arial" w:hAnsi="Arial" w:cs="Arial"/>
          <w:i/>
          <w:iCs/>
          <w:color w:val="000000"/>
          <w:sz w:val="20"/>
          <w:szCs w:val="20"/>
        </w:rPr>
        <w:t>Restraining order availability</w:t>
      </w:r>
      <w:r w:rsidRPr="00D66C9C">
        <w:rPr>
          <w:rFonts w:ascii="Arial" w:hAnsi="Arial" w:cs="Arial"/>
          <w:color w:val="000000"/>
          <w:sz w:val="20"/>
          <w:szCs w:val="20"/>
        </w:rPr>
        <w:t>. Available at: </w:t>
      </w:r>
      <w:hyperlink r:id="rId22" w:tgtFrame="_blank" w:history="1">
        <w:r w:rsidRPr="00D66C9C">
          <w:rPr>
            <w:rStyle w:val="Hyperlink"/>
            <w:rFonts w:ascii="Arial" w:hAnsi="Arial" w:cs="Arial"/>
            <w:color w:val="1155CC"/>
            <w:sz w:val="20"/>
            <w:szCs w:val="20"/>
          </w:rPr>
          <w:t>https://www.legislation.gov.uk/ukpga/2020/17/section/360/2020-12-01</w:t>
        </w:r>
      </w:hyperlink>
      <w:r w:rsidRPr="00D66C9C">
        <w:rPr>
          <w:rFonts w:ascii="Arial" w:hAnsi="Arial" w:cs="Arial"/>
          <w:color w:val="000000"/>
          <w:sz w:val="20"/>
          <w:szCs w:val="20"/>
        </w:rPr>
        <w:t> (Accessed 1st June 2025).</w:t>
      </w:r>
    </w:p>
    <w:p w14:paraId="72445FB2"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(2022) </w:t>
      </w:r>
      <w:r w:rsidRPr="00D66C9C">
        <w:rPr>
          <w:rFonts w:ascii="Arial" w:hAnsi="Arial" w:cs="Arial"/>
          <w:i/>
          <w:iCs/>
          <w:color w:val="000000"/>
          <w:sz w:val="20"/>
          <w:szCs w:val="20"/>
        </w:rPr>
        <w:t>Cruelty to persons under sixteen</w:t>
      </w:r>
      <w:r w:rsidRPr="00D66C9C">
        <w:rPr>
          <w:rFonts w:ascii="Arial" w:hAnsi="Arial" w:cs="Arial"/>
          <w:color w:val="000000"/>
          <w:sz w:val="20"/>
          <w:szCs w:val="20"/>
        </w:rPr>
        <w:t>. Available at:  </w:t>
      </w:r>
      <w:hyperlink r:id="rId23" w:tgtFrame="_blank" w:history="1">
        <w:r w:rsidRPr="00D66C9C">
          <w:rPr>
            <w:rStyle w:val="Hyperlink"/>
            <w:rFonts w:ascii="Arial" w:hAnsi="Arial" w:cs="Arial"/>
            <w:color w:val="1155CC"/>
            <w:sz w:val="20"/>
            <w:szCs w:val="20"/>
          </w:rPr>
          <w:t>https://www.legislation.gov.uk/ukpga/Geo5/23-24/12/part/I/crossheading/offences</w:t>
        </w:r>
      </w:hyperlink>
      <w:r w:rsidRPr="00D66C9C">
        <w:rPr>
          <w:rFonts w:ascii="Arial" w:hAnsi="Arial" w:cs="Arial"/>
          <w:color w:val="000000"/>
          <w:sz w:val="20"/>
          <w:szCs w:val="20"/>
        </w:rPr>
        <w:t> (Accessed 1st July 2025).</w:t>
      </w:r>
    </w:p>
    <w:p w14:paraId="44183184"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legislation.gov.uk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24" w:history="1">
        <w:r w:rsidRPr="00D66C9C">
          <w:rPr>
            <w:rStyle w:val="Hyperlink"/>
            <w:rFonts w:ascii="Arial" w:hAnsi="Arial" w:cs="Arial"/>
            <w:sz w:val="20"/>
            <w:szCs w:val="20"/>
          </w:rPr>
          <w:t>https://www.legislation.gov.uk/ukpga/1989/41/section/47</w:t>
        </w:r>
      </w:hyperlink>
      <w:r w:rsidRPr="00D66C9C">
        <w:rPr>
          <w:rFonts w:ascii="Arial" w:hAnsi="Arial" w:cs="Arial"/>
          <w:color w:val="000000"/>
          <w:sz w:val="20"/>
          <w:szCs w:val="20"/>
        </w:rPr>
        <w:t>.</w:t>
      </w:r>
    </w:p>
    <w:p w14:paraId="6F30668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Mental Capacity Act (2025) </w:t>
      </w:r>
      <w:r w:rsidRPr="00D66C9C">
        <w:rPr>
          <w:rFonts w:ascii="Arial" w:hAnsi="Arial" w:cs="Arial"/>
          <w:i/>
          <w:iCs/>
          <w:sz w:val="20"/>
          <w:szCs w:val="20"/>
        </w:rPr>
        <w:t>The Principles.</w:t>
      </w:r>
      <w:r w:rsidRPr="00D66C9C">
        <w:rPr>
          <w:rFonts w:ascii="Arial" w:hAnsi="Arial" w:cs="Arial"/>
          <w:sz w:val="20"/>
          <w:szCs w:val="20"/>
        </w:rPr>
        <w:t xml:space="preserve"> Available at: </w:t>
      </w:r>
      <w:hyperlink r:id="rId25" w:history="1">
        <w:r w:rsidRPr="00D66C9C">
          <w:rPr>
            <w:rFonts w:ascii="Arial" w:hAnsi="Arial" w:cs="Arial"/>
            <w:color w:val="0000FF"/>
            <w:sz w:val="20"/>
            <w:szCs w:val="20"/>
            <w:u w:val="single"/>
          </w:rPr>
          <w:t>https://www.legislation.gov.uk/ukpga/2005/9/section/1</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 </w:t>
      </w:r>
    </w:p>
    <w:p w14:paraId="2EDB01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Munro, E. (2011) The Munro Review of Child Protection: Final Report. London: DfE.</w:t>
      </w:r>
    </w:p>
    <w:p w14:paraId="22DAE94A" w14:textId="77777777" w:rsidR="00D66C9C" w:rsidRPr="00D66C9C" w:rsidRDefault="00D66C9C" w:rsidP="00D66C9C">
      <w:pPr>
        <w:spacing w:line="276" w:lineRule="auto"/>
        <w:rPr>
          <w:rFonts w:ascii="Arial" w:hAnsi="Arial" w:cs="Arial"/>
          <w:b/>
          <w:bCs/>
          <w:sz w:val="20"/>
          <w:szCs w:val="20"/>
          <w:u w:val="single"/>
        </w:rPr>
      </w:pPr>
      <w:r w:rsidRPr="00D66C9C">
        <w:rPr>
          <w:rFonts w:ascii="Arial" w:hAnsi="Arial" w:cs="Arial"/>
          <w:sz w:val="20"/>
          <w:szCs w:val="20"/>
        </w:rPr>
        <w:t xml:space="preserve">NHS. (2022) </w:t>
      </w:r>
      <w:r w:rsidRPr="00D66C9C">
        <w:rPr>
          <w:rFonts w:ascii="Arial" w:hAnsi="Arial" w:cs="Arial"/>
          <w:i/>
          <w:iCs/>
          <w:sz w:val="20"/>
          <w:szCs w:val="20"/>
        </w:rPr>
        <w:t>Postnatal depression</w:t>
      </w:r>
      <w:r w:rsidRPr="00D66C9C">
        <w:rPr>
          <w:rFonts w:ascii="Arial" w:hAnsi="Arial" w:cs="Arial"/>
          <w:sz w:val="20"/>
          <w:szCs w:val="20"/>
        </w:rPr>
        <w:t xml:space="preserve">. Available at: </w:t>
      </w:r>
      <w:hyperlink r:id="rId26" w:history="1">
        <w:r w:rsidRPr="00D66C9C">
          <w:rPr>
            <w:rStyle w:val="Hyperlink"/>
            <w:rFonts w:ascii="Arial" w:hAnsi="Arial" w:cs="Arial"/>
            <w:sz w:val="20"/>
            <w:szCs w:val="20"/>
          </w:rPr>
          <w:t>https://www.nhs.uk/mental-health/conditions/post-natal-depression/overview/</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4334874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NHS. (2022) </w:t>
      </w:r>
      <w:r w:rsidRPr="00D66C9C">
        <w:rPr>
          <w:rFonts w:ascii="Arial" w:hAnsi="Arial" w:cs="Arial"/>
          <w:i/>
          <w:iCs/>
          <w:sz w:val="20"/>
          <w:szCs w:val="20"/>
        </w:rPr>
        <w:t>The Eatwell Guide</w:t>
      </w:r>
      <w:r w:rsidRPr="00D66C9C">
        <w:rPr>
          <w:rFonts w:ascii="Arial" w:hAnsi="Arial" w:cs="Arial"/>
          <w:sz w:val="20"/>
          <w:szCs w:val="20"/>
        </w:rPr>
        <w:t xml:space="preserve">. Available at: </w:t>
      </w:r>
      <w:hyperlink r:id="rId27" w:history="1">
        <w:r w:rsidRPr="00D66C9C">
          <w:rPr>
            <w:rStyle w:val="Hyperlink"/>
            <w:rFonts w:ascii="Arial" w:hAnsi="Arial" w:cs="Arial"/>
            <w:sz w:val="20"/>
            <w:szCs w:val="20"/>
          </w:rPr>
          <w:t>https://www.nhs.uk/live-well/eat-well/food-guidelines-and-food-labels/the-eatwell-guide/</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5135E4D7" w14:textId="77777777" w:rsidR="00D66C9C" w:rsidRPr="00DE17D5" w:rsidRDefault="00D66C9C" w:rsidP="00D66C9C">
      <w:pPr>
        <w:spacing w:line="276" w:lineRule="auto"/>
        <w:rPr>
          <w:rFonts w:ascii="Arial" w:hAnsi="Arial" w:cs="Arial"/>
          <w:sz w:val="20"/>
          <w:szCs w:val="20"/>
          <w:lang w:val="fr-FR"/>
        </w:rPr>
      </w:pPr>
      <w:r w:rsidRPr="00D66C9C">
        <w:rPr>
          <w:rFonts w:ascii="Arial" w:hAnsi="Arial" w:cs="Arial"/>
          <w:sz w:val="20"/>
          <w:szCs w:val="20"/>
        </w:rPr>
        <w:t xml:space="preserve">NSPCC (2023) Learning from Case Reviews: Neglect. </w:t>
      </w:r>
      <w:r w:rsidRPr="00DE17D5">
        <w:rPr>
          <w:rFonts w:ascii="Arial" w:hAnsi="Arial" w:cs="Arial"/>
          <w:sz w:val="20"/>
          <w:szCs w:val="20"/>
          <w:lang w:val="fr-FR"/>
        </w:rPr>
        <w:t>[Online] Available at: </w:t>
      </w:r>
      <w:hyperlink r:id="rId28" w:tooltip="Protected by Outlook: https://learning.nspcc.org.uk/. Click or tap to follow the link." w:history="1">
        <w:r w:rsidRPr="00DE17D5">
          <w:rPr>
            <w:rStyle w:val="Hyperlink"/>
            <w:rFonts w:ascii="Arial" w:hAnsi="Arial" w:cs="Arial"/>
            <w:sz w:val="20"/>
            <w:szCs w:val="20"/>
            <w:lang w:val="fr-FR"/>
          </w:rPr>
          <w:t>https://learning.nspcc.org.uk</w:t>
        </w:r>
      </w:hyperlink>
    </w:p>
    <w:p w14:paraId="1B98DB3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Understanding neglect. [Online] Available at: https://learning.nspcc.org.uk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521F3914"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NSPCC (2024) </w:t>
      </w:r>
      <w:r w:rsidRPr="00D66C9C">
        <w:rPr>
          <w:rFonts w:ascii="Arial" w:hAnsi="Arial" w:cs="Arial"/>
          <w:i/>
          <w:iCs/>
          <w:color w:val="000000"/>
          <w:sz w:val="20"/>
          <w:szCs w:val="20"/>
        </w:rPr>
        <w:t>Who is responsible for safeguarding and child protection</w:t>
      </w:r>
      <w:r w:rsidRPr="00D66C9C">
        <w:rPr>
          <w:rFonts w:ascii="Arial" w:hAnsi="Arial" w:cs="Arial"/>
          <w:color w:val="000000"/>
          <w:sz w:val="20"/>
          <w:szCs w:val="20"/>
        </w:rPr>
        <w:t>. Available at: </w:t>
      </w:r>
      <w:hyperlink r:id="rId29" w:tgtFrame="_blank" w:history="1">
        <w:r w:rsidRPr="00D66C9C">
          <w:rPr>
            <w:rStyle w:val="Hyperlink"/>
            <w:rFonts w:ascii="Arial" w:hAnsi="Arial" w:cs="Arial"/>
            <w:color w:val="1155CC"/>
            <w:sz w:val="20"/>
            <w:szCs w:val="20"/>
          </w:rPr>
          <w:t>https://learning.nspcc.org.uk/child-protection-system/england</w:t>
        </w:r>
      </w:hyperlink>
      <w:r w:rsidRPr="00D66C9C">
        <w:rPr>
          <w:rFonts w:ascii="Arial" w:hAnsi="Arial" w:cs="Arial"/>
          <w:color w:val="000000"/>
          <w:sz w:val="20"/>
          <w:szCs w:val="20"/>
        </w:rPr>
        <w:t> (Accessed 1st July 2025)</w:t>
      </w:r>
    </w:p>
    <w:p w14:paraId="12DD9B8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Ofsted (2021) Inspecting safeguarding in early years, education, and skills settings. Manchester: Ofsted.</w:t>
      </w:r>
    </w:p>
    <w:p w14:paraId="5AA3FC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Parton, N. (2014) ‘The politics of child protection: Contemporary developments and future directions’, Palgrave Macmillan.</w:t>
      </w:r>
    </w:p>
    <w:p w14:paraId="6014198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Reder, P. and Duncan, S. (1999) Lost Innocents: A Follow-up Study of Fatal Child Abuse. London: Routledge.</w:t>
      </w:r>
    </w:p>
    <w:p w14:paraId="7E232E6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UNCRC (1989) United Nations Convention on the Rights of the Child. Geneva: United Nations.</w:t>
      </w:r>
    </w:p>
    <w:p w14:paraId="26B8C6C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(2014). </w:t>
      </w:r>
      <w:r w:rsidRPr="00D66C9C">
        <w:rPr>
          <w:rFonts w:ascii="Arial" w:hAnsi="Arial" w:cs="Arial"/>
          <w:i/>
          <w:iCs/>
          <w:color w:val="000000"/>
          <w:sz w:val="20"/>
          <w:szCs w:val="20"/>
        </w:rPr>
        <w:t>Social Services and Well-being (Wales) Act 2014</w:t>
      </w:r>
      <w:r w:rsidRPr="00D66C9C">
        <w:rPr>
          <w:rFonts w:ascii="Arial" w:hAnsi="Arial" w:cs="Arial"/>
          <w:color w:val="000000"/>
          <w:sz w:val="20"/>
          <w:szCs w:val="20"/>
        </w:rPr>
        <w:t xml:space="preserve">. [online] Legislation.gov.uk. Available at: </w:t>
      </w:r>
      <w:hyperlink r:id="rId30" w:history="1">
        <w:r w:rsidRPr="00D66C9C">
          <w:rPr>
            <w:rStyle w:val="Hyperlink"/>
            <w:rFonts w:ascii="Arial" w:hAnsi="Arial" w:cs="Arial"/>
            <w:sz w:val="20"/>
            <w:szCs w:val="20"/>
          </w:rPr>
          <w:t>https://www.legislation.gov.uk/anaw/2014/4/contents</w:t>
        </w:r>
      </w:hyperlink>
      <w:r w:rsidRPr="00D66C9C">
        <w:rPr>
          <w:rFonts w:ascii="Arial" w:hAnsi="Arial" w:cs="Arial"/>
          <w:color w:val="000000"/>
          <w:sz w:val="20"/>
          <w:szCs w:val="20"/>
        </w:rPr>
        <w:t xml:space="preserve">. </w:t>
      </w:r>
    </w:p>
    <w:p w14:paraId="19AF2042"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lastRenderedPageBreak/>
        <w:t>Welsh Government (2015). </w:t>
      </w:r>
      <w:r w:rsidRPr="00D66C9C">
        <w:rPr>
          <w:rFonts w:ascii="Arial" w:hAnsi="Arial" w:cs="Arial"/>
          <w:i/>
          <w:iCs/>
          <w:color w:val="000000"/>
          <w:sz w:val="20"/>
          <w:szCs w:val="20"/>
        </w:rPr>
        <w:t>Well-being of Future Generations (Wales) Act 2015</w:t>
      </w:r>
      <w:r w:rsidRPr="00D66C9C">
        <w:rPr>
          <w:rFonts w:ascii="Arial" w:hAnsi="Arial" w:cs="Arial"/>
          <w:color w:val="000000"/>
          <w:sz w:val="20"/>
          <w:szCs w:val="20"/>
        </w:rPr>
        <w:t xml:space="preserve">. [online] Legislation.gov.uk. Available at: </w:t>
      </w:r>
      <w:hyperlink r:id="rId31" w:history="1">
        <w:r w:rsidRPr="00D66C9C">
          <w:rPr>
            <w:rStyle w:val="Hyperlink"/>
            <w:rFonts w:ascii="Arial" w:hAnsi="Arial" w:cs="Arial"/>
            <w:sz w:val="20"/>
            <w:szCs w:val="20"/>
          </w:rPr>
          <w:t>https://www.legislation.gov.uk/anaw/2015/2/contents</w:t>
        </w:r>
      </w:hyperlink>
      <w:r w:rsidRPr="00D66C9C">
        <w:rPr>
          <w:rFonts w:ascii="Arial" w:hAnsi="Arial" w:cs="Arial"/>
          <w:color w:val="000000"/>
          <w:sz w:val="20"/>
          <w:szCs w:val="20"/>
        </w:rPr>
        <w:t xml:space="preserve">. </w:t>
      </w:r>
    </w:p>
    <w:p w14:paraId="6E75348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Winter, K. (2011) Understanding and Supporting Young Children’s Transitions into State Care: Children’s Perspectives. London: Routledge.</w:t>
      </w:r>
    </w:p>
    <w:p w14:paraId="216D13DC"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Women's Aid (2025). </w:t>
      </w:r>
      <w:r w:rsidRPr="00D66C9C">
        <w:rPr>
          <w:rFonts w:ascii="Arial" w:hAnsi="Arial" w:cs="Arial"/>
          <w:i/>
          <w:iCs/>
          <w:color w:val="000000"/>
          <w:sz w:val="20"/>
          <w:szCs w:val="20"/>
        </w:rPr>
        <w:t>Womens Aid</w:t>
      </w:r>
      <w:r w:rsidRPr="00D66C9C">
        <w:rPr>
          <w:rFonts w:ascii="Arial" w:hAnsi="Arial" w:cs="Arial"/>
          <w:color w:val="000000"/>
          <w:sz w:val="20"/>
          <w:szCs w:val="20"/>
        </w:rPr>
        <w:t xml:space="preserve">. [online] Womens Aid. Available at: </w:t>
      </w:r>
      <w:hyperlink r:id="rId32" w:history="1">
        <w:r w:rsidRPr="00D66C9C">
          <w:rPr>
            <w:rStyle w:val="Hyperlink"/>
            <w:rFonts w:ascii="Arial" w:hAnsi="Arial" w:cs="Arial"/>
            <w:sz w:val="20"/>
            <w:szCs w:val="20"/>
          </w:rPr>
          <w:t>https://www.womensaid.org.uk/</w:t>
        </w:r>
      </w:hyperlink>
      <w:r w:rsidRPr="00D66C9C">
        <w:rPr>
          <w:rFonts w:ascii="Arial" w:hAnsi="Arial" w:cs="Arial"/>
          <w:color w:val="000000"/>
          <w:sz w:val="20"/>
          <w:szCs w:val="20"/>
        </w:rPr>
        <w:t>.</w:t>
      </w:r>
    </w:p>
    <w:p w14:paraId="76C61F54" w14:textId="77777777" w:rsidR="00D66C9C" w:rsidRPr="00D66C9C" w:rsidRDefault="00D66C9C" w:rsidP="00D66C9C">
      <w:pPr>
        <w:spacing w:line="276" w:lineRule="auto"/>
        <w:rPr>
          <w:rFonts w:ascii="Arial" w:hAnsi="Arial" w:cs="Arial"/>
          <w:sz w:val="20"/>
          <w:szCs w:val="20"/>
        </w:rPr>
      </w:pPr>
    </w:p>
    <w:p w14:paraId="46ADA289" w14:textId="77777777" w:rsidR="00AC55D8" w:rsidRPr="00D66C9C" w:rsidRDefault="00AC55D8" w:rsidP="00D66C9C">
      <w:pPr>
        <w:spacing w:line="276" w:lineRule="auto"/>
        <w:rPr>
          <w:rFonts w:ascii="Arial" w:hAnsi="Arial" w:cs="Arial"/>
          <w:sz w:val="20"/>
          <w:szCs w:val="20"/>
        </w:rPr>
      </w:pPr>
    </w:p>
    <w:p w14:paraId="7626AB27" w14:textId="77777777" w:rsidR="00AC55D8" w:rsidRPr="00D66C9C" w:rsidRDefault="00AC55D8" w:rsidP="00D66C9C">
      <w:pPr>
        <w:spacing w:line="276" w:lineRule="auto"/>
        <w:rPr>
          <w:rFonts w:ascii="Arial" w:hAnsi="Arial" w:cs="Arial"/>
          <w:sz w:val="20"/>
          <w:szCs w:val="20"/>
        </w:rPr>
      </w:pPr>
    </w:p>
    <w:sectPr w:rsidR="00AC55D8" w:rsidRPr="00D66C9C">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9DE34" w14:textId="77777777" w:rsidR="00537573" w:rsidRDefault="00537573" w:rsidP="00D66C9C">
      <w:r>
        <w:separator/>
      </w:r>
    </w:p>
  </w:endnote>
  <w:endnote w:type="continuationSeparator" w:id="0">
    <w:p w14:paraId="2B4DF7CC" w14:textId="77777777" w:rsidR="00537573" w:rsidRDefault="00537573" w:rsidP="00D6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17035" w14:textId="77777777" w:rsidR="00537573" w:rsidRDefault="00537573" w:rsidP="00D66C9C">
      <w:r>
        <w:separator/>
      </w:r>
    </w:p>
  </w:footnote>
  <w:footnote w:type="continuationSeparator" w:id="0">
    <w:p w14:paraId="755FC55C" w14:textId="77777777" w:rsidR="00537573" w:rsidRDefault="00537573" w:rsidP="00D6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BCA43" w14:textId="32643B10" w:rsidR="00D66C9C" w:rsidRPr="00D66C9C" w:rsidRDefault="00D66C9C" w:rsidP="00D66C9C">
    <w:pPr>
      <w:jc w:val="right"/>
      <w:rPr>
        <w:color w:val="00B0F0"/>
        <w:sz w:val="18"/>
        <w:szCs w:val="18"/>
      </w:rPr>
    </w:pPr>
    <w:r w:rsidRPr="00D66C9C">
      <w:rPr>
        <w:noProof/>
        <w:color w:val="00B0F0"/>
        <w:sz w:val="18"/>
        <w:szCs w:val="18"/>
      </w:rPr>
      <mc:AlternateContent>
        <mc:Choice Requires="wps">
          <w:drawing>
            <wp:anchor distT="0" distB="0" distL="114300" distR="114300" simplePos="0" relativeHeight="251659264" behindDoc="0" locked="0" layoutInCell="1" allowOverlap="1" wp14:anchorId="4A3A97CC" wp14:editId="5E222D0B">
              <wp:simplePos x="0" y="0"/>
              <wp:positionH relativeFrom="column">
                <wp:posOffset>-353085</wp:posOffset>
              </wp:positionH>
              <wp:positionV relativeFrom="paragraph">
                <wp:posOffset>-141762</wp:posOffset>
              </wp:positionV>
              <wp:extent cx="2806574" cy="1213164"/>
              <wp:effectExtent l="0" t="0" r="0" b="0"/>
              <wp:wrapNone/>
              <wp:docPr id="934611588" name="Text Box 1"/>
              <wp:cNvGraphicFramePr/>
              <a:graphic xmlns:a="http://schemas.openxmlformats.org/drawingml/2006/main">
                <a:graphicData uri="http://schemas.microsoft.com/office/word/2010/wordprocessingShape">
                  <wps:wsp>
                    <wps:cNvSpPr txBox="1"/>
                    <wps:spPr>
                      <a:xfrm>
                        <a:off x="0" y="0"/>
                        <a:ext cx="2806574" cy="1213164"/>
                      </a:xfrm>
                      <a:prstGeom prst="rect">
                        <a:avLst/>
                      </a:prstGeom>
                      <a:noFill/>
                      <a:ln w="6350">
                        <a:noFill/>
                      </a:ln>
                    </wps:spPr>
                    <wps:txbx>
                      <w:txbxContent>
                        <w:p w14:paraId="765DC607" w14:textId="62192F9E" w:rsidR="00D66C9C" w:rsidRDefault="00D66C9C">
                          <w:r>
                            <w:t>ECEY5011</w:t>
                          </w:r>
                        </w:p>
                        <w:p w14:paraId="128A6013" w14:textId="047798F8" w:rsidR="00DE17D5" w:rsidRDefault="00DE17D5">
                          <w:r>
                            <w:t>1301321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3A97CC" id="_x0000_t202" coordsize="21600,21600" o:spt="202" path="m,l,21600r21600,l21600,xe">
              <v:stroke joinstyle="miter"/>
              <v:path gradientshapeok="t" o:connecttype="rect"/>
            </v:shapetype>
            <v:shape id="Text Box 1" o:spid="_x0000_s1026" type="#_x0000_t202" style="position:absolute;left:0;text-align:left;margin-left:-27.8pt;margin-top:-11.15pt;width:221pt;height:9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" filled="f" stroked="f" strokeweight=".5pt">
              <v:textbox>
                <w:txbxContent>
                  <w:p w14:paraId="765DC607" w14:textId="62192F9E" w:rsidR="00D66C9C" w:rsidRDefault="00D66C9C">
                    <w:r>
                      <w:t>ECEY5011</w:t>
                    </w:r>
                  </w:p>
                  <w:p w14:paraId="128A6013" w14:textId="047798F8" w:rsidR="00DE17D5" w:rsidRDefault="00DE17D5">
                    <w:r>
                      <w:t>1301321</w:t>
                    </w:r>
                  </w:p>
                </w:txbxContent>
              </v:textbox>
            </v:shape>
          </w:pict>
        </mc:Fallback>
      </mc:AlternateContent>
    </w:r>
    <w:r w:rsidRPr="00D66C9C">
      <w:rPr>
        <w:color w:val="00B0F0"/>
        <w:sz w:val="18"/>
        <w:szCs w:val="18"/>
      </w:rPr>
      <w:t xml:space="preserve">Gwawr </w:t>
    </w:r>
  </w:p>
  <w:p w14:paraId="3FDB4D99" w14:textId="77777777" w:rsidR="00D66C9C" w:rsidRPr="00D66C9C" w:rsidRDefault="00D66C9C" w:rsidP="00D66C9C">
    <w:pPr>
      <w:jc w:val="right"/>
      <w:rPr>
        <w:color w:val="70AD47" w:themeColor="accent6"/>
        <w:sz w:val="18"/>
        <w:szCs w:val="18"/>
      </w:rPr>
    </w:pPr>
    <w:r w:rsidRPr="00D66C9C">
      <w:rPr>
        <w:color w:val="70AD47" w:themeColor="accent6"/>
        <w:sz w:val="18"/>
        <w:szCs w:val="18"/>
      </w:rPr>
      <w:t xml:space="preserve">Cody </w:t>
    </w:r>
  </w:p>
  <w:p w14:paraId="5B3CB794" w14:textId="36437D3B" w:rsidR="00D66C9C" w:rsidRPr="00D66C9C" w:rsidRDefault="00D66C9C" w:rsidP="00D66C9C">
    <w:pPr>
      <w:jc w:val="right"/>
      <w:rPr>
        <w:color w:val="FFC000" w:themeColor="accent4"/>
        <w:sz w:val="18"/>
        <w:szCs w:val="18"/>
      </w:rPr>
    </w:pPr>
    <w:r w:rsidRPr="00D66C9C">
      <w:rPr>
        <w:color w:val="FFC000" w:themeColor="accent4"/>
        <w:sz w:val="18"/>
        <w:szCs w:val="18"/>
      </w:rPr>
      <w:t>Bobb</w:t>
    </w:r>
    <w:r w:rsidR="00DE17D5">
      <w:rPr>
        <w:color w:val="FFC000" w:themeColor="accent4"/>
        <w:sz w:val="18"/>
        <w:szCs w:val="18"/>
      </w:rPr>
      <w:t>ie</w:t>
    </w:r>
  </w:p>
  <w:p w14:paraId="435B902B" w14:textId="77777777" w:rsidR="00D66C9C" w:rsidRPr="00D66C9C" w:rsidRDefault="00D66C9C" w:rsidP="00D66C9C">
    <w:pPr>
      <w:jc w:val="right"/>
      <w:rPr>
        <w:color w:val="D883FF"/>
        <w:sz w:val="18"/>
        <w:szCs w:val="18"/>
      </w:rPr>
    </w:pPr>
    <w:r w:rsidRPr="00D66C9C">
      <w:rPr>
        <w:color w:val="D883FF"/>
        <w:sz w:val="18"/>
        <w:szCs w:val="18"/>
      </w:rPr>
      <w:t xml:space="preserve">Joelle </w:t>
    </w:r>
  </w:p>
  <w:p w14:paraId="2D5CE000" w14:textId="041040EE" w:rsidR="00D66C9C" w:rsidRPr="00D66C9C" w:rsidRDefault="00D66C9C" w:rsidP="00D66C9C">
    <w:pPr>
      <w:jc w:val="right"/>
      <w:rPr>
        <w:color w:val="ED7D31" w:themeColor="accent2"/>
        <w:sz w:val="18"/>
        <w:szCs w:val="18"/>
      </w:rPr>
    </w:pPr>
    <w:r w:rsidRPr="00D66C9C">
      <w:rPr>
        <w:color w:val="ED7D31" w:themeColor="accent2"/>
        <w:sz w:val="18"/>
        <w:szCs w:val="18"/>
      </w:rPr>
      <w:t xml:space="preserve">Gemma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B81A8E"/>
    <w:multiLevelType w:val="multilevel"/>
    <w:tmpl w:val="D8E2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4825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E3"/>
    <w:rsid w:val="00242902"/>
    <w:rsid w:val="00302192"/>
    <w:rsid w:val="00520BEB"/>
    <w:rsid w:val="00537573"/>
    <w:rsid w:val="005447E3"/>
    <w:rsid w:val="009E7696"/>
    <w:rsid w:val="00AC55D8"/>
    <w:rsid w:val="00D66C9C"/>
    <w:rsid w:val="00DE17D5"/>
    <w:rsid w:val="00F5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DF17F"/>
  <w15:chartTrackingRefBased/>
  <w15:docId w15:val="{DCF22C51-54E9-9341-98C1-820C789B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55D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C55D8"/>
    <w:rPr>
      <w:color w:val="0563C1" w:themeColor="hyperlink"/>
      <w:u w:val="single"/>
    </w:rPr>
  </w:style>
  <w:style w:type="character" w:styleId="UnresolvedMention">
    <w:name w:val="Unresolved Mention"/>
    <w:basedOn w:val="DefaultParagraphFont"/>
    <w:uiPriority w:val="99"/>
    <w:semiHidden/>
    <w:unhideWhenUsed/>
    <w:rsid w:val="00AC55D8"/>
    <w:rPr>
      <w:color w:val="605E5C"/>
      <w:shd w:val="clear" w:color="auto" w:fill="E1DFDD"/>
    </w:rPr>
  </w:style>
  <w:style w:type="paragraph" w:styleId="Header">
    <w:name w:val="header"/>
    <w:basedOn w:val="Normal"/>
    <w:link w:val="HeaderChar"/>
    <w:uiPriority w:val="99"/>
    <w:unhideWhenUsed/>
    <w:rsid w:val="00D66C9C"/>
    <w:pPr>
      <w:tabs>
        <w:tab w:val="center" w:pos="4513"/>
        <w:tab w:val="right" w:pos="9026"/>
      </w:tabs>
    </w:pPr>
  </w:style>
  <w:style w:type="character" w:customStyle="1" w:styleId="HeaderChar">
    <w:name w:val="Header Char"/>
    <w:basedOn w:val="DefaultParagraphFont"/>
    <w:link w:val="Header"/>
    <w:uiPriority w:val="99"/>
    <w:rsid w:val="00D66C9C"/>
  </w:style>
  <w:style w:type="paragraph" w:styleId="Footer">
    <w:name w:val="footer"/>
    <w:basedOn w:val="Normal"/>
    <w:link w:val="FooterChar"/>
    <w:uiPriority w:val="99"/>
    <w:unhideWhenUsed/>
    <w:rsid w:val="00D66C9C"/>
    <w:pPr>
      <w:tabs>
        <w:tab w:val="center" w:pos="4513"/>
        <w:tab w:val="right" w:pos="9026"/>
      </w:tabs>
    </w:pPr>
  </w:style>
  <w:style w:type="character" w:customStyle="1" w:styleId="FooterChar">
    <w:name w:val="Footer Char"/>
    <w:basedOn w:val="DefaultParagraphFont"/>
    <w:link w:val="Footer"/>
    <w:uiPriority w:val="99"/>
    <w:rsid w:val="00D6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627752">
      <w:bodyDiv w:val="1"/>
      <w:marLeft w:val="0"/>
      <w:marRight w:val="0"/>
      <w:marTop w:val="0"/>
      <w:marBottom w:val="0"/>
      <w:divBdr>
        <w:top w:val="none" w:sz="0" w:space="0" w:color="auto"/>
        <w:left w:val="none" w:sz="0" w:space="0" w:color="auto"/>
        <w:bottom w:val="none" w:sz="0" w:space="0" w:color="auto"/>
        <w:right w:val="none" w:sz="0" w:space="0" w:color="auto"/>
      </w:divBdr>
    </w:div>
    <w:div w:id="688793859">
      <w:bodyDiv w:val="1"/>
      <w:marLeft w:val="0"/>
      <w:marRight w:val="0"/>
      <w:marTop w:val="0"/>
      <w:marBottom w:val="0"/>
      <w:divBdr>
        <w:top w:val="none" w:sz="0" w:space="0" w:color="auto"/>
        <w:left w:val="none" w:sz="0" w:space="0" w:color="auto"/>
        <w:bottom w:val="none" w:sz="0" w:space="0" w:color="auto"/>
        <w:right w:val="none" w:sz="0" w:space="0" w:color="auto"/>
      </w:divBdr>
    </w:div>
    <w:div w:id="717901374">
      <w:bodyDiv w:val="1"/>
      <w:marLeft w:val="0"/>
      <w:marRight w:val="0"/>
      <w:marTop w:val="0"/>
      <w:marBottom w:val="0"/>
      <w:divBdr>
        <w:top w:val="none" w:sz="0" w:space="0" w:color="auto"/>
        <w:left w:val="none" w:sz="0" w:space="0" w:color="auto"/>
        <w:bottom w:val="none" w:sz="0" w:space="0" w:color="auto"/>
        <w:right w:val="none" w:sz="0" w:space="0" w:color="auto"/>
      </w:divBdr>
    </w:div>
    <w:div w:id="782304104">
      <w:bodyDiv w:val="1"/>
      <w:marLeft w:val="0"/>
      <w:marRight w:val="0"/>
      <w:marTop w:val="0"/>
      <w:marBottom w:val="0"/>
      <w:divBdr>
        <w:top w:val="none" w:sz="0" w:space="0" w:color="auto"/>
        <w:left w:val="none" w:sz="0" w:space="0" w:color="auto"/>
        <w:bottom w:val="none" w:sz="0" w:space="0" w:color="auto"/>
        <w:right w:val="none" w:sz="0" w:space="0" w:color="auto"/>
      </w:divBdr>
      <w:divsChild>
        <w:div w:id="108473077">
          <w:marLeft w:val="0"/>
          <w:marRight w:val="0"/>
          <w:marTop w:val="240"/>
          <w:marBottom w:val="240"/>
          <w:divBdr>
            <w:top w:val="none" w:sz="0" w:space="0" w:color="auto"/>
            <w:left w:val="none" w:sz="0" w:space="0" w:color="auto"/>
            <w:bottom w:val="none" w:sz="0" w:space="0" w:color="auto"/>
            <w:right w:val="none" w:sz="0" w:space="0" w:color="auto"/>
          </w:divBdr>
        </w:div>
        <w:div w:id="513420866">
          <w:marLeft w:val="0"/>
          <w:marRight w:val="0"/>
          <w:marTop w:val="240"/>
          <w:marBottom w:val="240"/>
          <w:divBdr>
            <w:top w:val="none" w:sz="0" w:space="0" w:color="auto"/>
            <w:left w:val="none" w:sz="0" w:space="0" w:color="auto"/>
            <w:bottom w:val="none" w:sz="0" w:space="0" w:color="auto"/>
            <w:right w:val="none" w:sz="0" w:space="0" w:color="auto"/>
          </w:divBdr>
        </w:div>
        <w:div w:id="753822551">
          <w:marLeft w:val="0"/>
          <w:marRight w:val="0"/>
          <w:marTop w:val="240"/>
          <w:marBottom w:val="240"/>
          <w:divBdr>
            <w:top w:val="none" w:sz="0" w:space="0" w:color="auto"/>
            <w:left w:val="none" w:sz="0" w:space="0" w:color="auto"/>
            <w:bottom w:val="none" w:sz="0" w:space="0" w:color="auto"/>
            <w:right w:val="none" w:sz="0" w:space="0" w:color="auto"/>
          </w:divBdr>
        </w:div>
        <w:div w:id="41563069">
          <w:marLeft w:val="0"/>
          <w:marRight w:val="0"/>
          <w:marTop w:val="240"/>
          <w:marBottom w:val="240"/>
          <w:divBdr>
            <w:top w:val="none" w:sz="0" w:space="0" w:color="auto"/>
            <w:left w:val="none" w:sz="0" w:space="0" w:color="auto"/>
            <w:bottom w:val="none" w:sz="0" w:space="0" w:color="auto"/>
            <w:right w:val="none" w:sz="0" w:space="0" w:color="auto"/>
          </w:divBdr>
        </w:div>
        <w:div w:id="1866286197">
          <w:marLeft w:val="0"/>
          <w:marRight w:val="0"/>
          <w:marTop w:val="240"/>
          <w:marBottom w:val="240"/>
          <w:divBdr>
            <w:top w:val="none" w:sz="0" w:space="0" w:color="auto"/>
            <w:left w:val="none" w:sz="0" w:space="0" w:color="auto"/>
            <w:bottom w:val="none" w:sz="0" w:space="0" w:color="auto"/>
            <w:right w:val="none" w:sz="0" w:space="0" w:color="auto"/>
          </w:divBdr>
        </w:div>
        <w:div w:id="1267159192">
          <w:marLeft w:val="0"/>
          <w:marRight w:val="0"/>
          <w:marTop w:val="240"/>
          <w:marBottom w:val="240"/>
          <w:divBdr>
            <w:top w:val="none" w:sz="0" w:space="0" w:color="auto"/>
            <w:left w:val="none" w:sz="0" w:space="0" w:color="auto"/>
            <w:bottom w:val="none" w:sz="0" w:space="0" w:color="auto"/>
            <w:right w:val="none" w:sz="0" w:space="0" w:color="auto"/>
          </w:divBdr>
        </w:div>
        <w:div w:id="2094352437">
          <w:marLeft w:val="0"/>
          <w:marRight w:val="0"/>
          <w:marTop w:val="240"/>
          <w:marBottom w:val="240"/>
          <w:divBdr>
            <w:top w:val="none" w:sz="0" w:space="0" w:color="auto"/>
            <w:left w:val="none" w:sz="0" w:space="0" w:color="auto"/>
            <w:bottom w:val="none" w:sz="0" w:space="0" w:color="auto"/>
            <w:right w:val="none" w:sz="0" w:space="0" w:color="auto"/>
          </w:divBdr>
        </w:div>
      </w:divsChild>
    </w:div>
    <w:div w:id="1600524465">
      <w:bodyDiv w:val="1"/>
      <w:marLeft w:val="0"/>
      <w:marRight w:val="0"/>
      <w:marTop w:val="0"/>
      <w:marBottom w:val="0"/>
      <w:divBdr>
        <w:top w:val="none" w:sz="0" w:space="0" w:color="auto"/>
        <w:left w:val="none" w:sz="0" w:space="0" w:color="auto"/>
        <w:bottom w:val="none" w:sz="0" w:space="0" w:color="auto"/>
        <w:right w:val="none" w:sz="0" w:space="0" w:color="auto"/>
      </w:divBdr>
      <w:divsChild>
        <w:div w:id="107088795">
          <w:marLeft w:val="0"/>
          <w:marRight w:val="0"/>
          <w:marTop w:val="240"/>
          <w:marBottom w:val="240"/>
          <w:divBdr>
            <w:top w:val="none" w:sz="0" w:space="0" w:color="auto"/>
            <w:left w:val="none" w:sz="0" w:space="0" w:color="auto"/>
            <w:bottom w:val="none" w:sz="0" w:space="0" w:color="auto"/>
            <w:right w:val="none" w:sz="0" w:space="0" w:color="auto"/>
          </w:divBdr>
        </w:div>
        <w:div w:id="1125661224">
          <w:marLeft w:val="0"/>
          <w:marRight w:val="0"/>
          <w:marTop w:val="240"/>
          <w:marBottom w:val="240"/>
          <w:divBdr>
            <w:top w:val="none" w:sz="0" w:space="0" w:color="auto"/>
            <w:left w:val="none" w:sz="0" w:space="0" w:color="auto"/>
            <w:bottom w:val="none" w:sz="0" w:space="0" w:color="auto"/>
            <w:right w:val="none" w:sz="0" w:space="0" w:color="auto"/>
          </w:divBdr>
        </w:div>
        <w:div w:id="654069491">
          <w:marLeft w:val="0"/>
          <w:marRight w:val="0"/>
          <w:marTop w:val="240"/>
          <w:marBottom w:val="240"/>
          <w:divBdr>
            <w:top w:val="none" w:sz="0" w:space="0" w:color="auto"/>
            <w:left w:val="none" w:sz="0" w:space="0" w:color="auto"/>
            <w:bottom w:val="none" w:sz="0" w:space="0" w:color="auto"/>
            <w:right w:val="none" w:sz="0" w:space="0" w:color="auto"/>
          </w:divBdr>
        </w:div>
        <w:div w:id="1412390931">
          <w:marLeft w:val="0"/>
          <w:marRight w:val="0"/>
          <w:marTop w:val="240"/>
          <w:marBottom w:val="240"/>
          <w:divBdr>
            <w:top w:val="none" w:sz="0" w:space="0" w:color="auto"/>
            <w:left w:val="none" w:sz="0" w:space="0" w:color="auto"/>
            <w:bottom w:val="none" w:sz="0" w:space="0" w:color="auto"/>
            <w:right w:val="none" w:sz="0" w:space="0" w:color="auto"/>
          </w:divBdr>
        </w:div>
        <w:div w:id="1428429120">
          <w:marLeft w:val="0"/>
          <w:marRight w:val="0"/>
          <w:marTop w:val="240"/>
          <w:marBottom w:val="240"/>
          <w:divBdr>
            <w:top w:val="none" w:sz="0" w:space="0" w:color="auto"/>
            <w:left w:val="none" w:sz="0" w:space="0" w:color="auto"/>
            <w:bottom w:val="none" w:sz="0" w:space="0" w:color="auto"/>
            <w:right w:val="none" w:sz="0" w:space="0" w:color="auto"/>
          </w:divBdr>
        </w:div>
        <w:div w:id="1283270499">
          <w:marLeft w:val="0"/>
          <w:marRight w:val="0"/>
          <w:marTop w:val="240"/>
          <w:marBottom w:val="240"/>
          <w:divBdr>
            <w:top w:val="none" w:sz="0" w:space="0" w:color="auto"/>
            <w:left w:val="none" w:sz="0" w:space="0" w:color="auto"/>
            <w:bottom w:val="none" w:sz="0" w:space="0" w:color="auto"/>
            <w:right w:val="none" w:sz="0" w:space="0" w:color="auto"/>
          </w:divBdr>
        </w:div>
        <w:div w:id="218982737">
          <w:marLeft w:val="0"/>
          <w:marRight w:val="0"/>
          <w:marTop w:val="240"/>
          <w:marBottom w:val="240"/>
          <w:divBdr>
            <w:top w:val="none" w:sz="0" w:space="0" w:color="auto"/>
            <w:left w:val="none" w:sz="0" w:space="0" w:color="auto"/>
            <w:bottom w:val="none" w:sz="0" w:space="0" w:color="auto"/>
            <w:right w:val="none" w:sz="0" w:space="0" w:color="auto"/>
          </w:divBdr>
        </w:div>
        <w:div w:id="2052920747">
          <w:marLeft w:val="0"/>
          <w:marRight w:val="0"/>
          <w:marTop w:val="240"/>
          <w:marBottom w:val="240"/>
          <w:divBdr>
            <w:top w:val="none" w:sz="0" w:space="0" w:color="auto"/>
            <w:left w:val="none" w:sz="0" w:space="0" w:color="auto"/>
            <w:bottom w:val="none" w:sz="0" w:space="0" w:color="auto"/>
            <w:right w:val="none" w:sz="0" w:space="0" w:color="auto"/>
          </w:divBdr>
        </w:div>
        <w:div w:id="1192063729">
          <w:marLeft w:val="0"/>
          <w:marRight w:val="0"/>
          <w:marTop w:val="240"/>
          <w:marBottom w:val="240"/>
          <w:divBdr>
            <w:top w:val="none" w:sz="0" w:space="0" w:color="auto"/>
            <w:left w:val="none" w:sz="0" w:space="0" w:color="auto"/>
            <w:bottom w:val="none" w:sz="0" w:space="0" w:color="auto"/>
            <w:right w:val="none" w:sz="0" w:space="0" w:color="auto"/>
          </w:divBdr>
        </w:div>
        <w:div w:id="993728669">
          <w:marLeft w:val="0"/>
          <w:marRight w:val="0"/>
          <w:marTop w:val="240"/>
          <w:marBottom w:val="240"/>
          <w:divBdr>
            <w:top w:val="none" w:sz="0" w:space="0" w:color="auto"/>
            <w:left w:val="none" w:sz="0" w:space="0" w:color="auto"/>
            <w:bottom w:val="none" w:sz="0" w:space="0" w:color="auto"/>
            <w:right w:val="none" w:sz="0" w:space="0" w:color="auto"/>
          </w:divBdr>
        </w:div>
        <w:div w:id="1017388972">
          <w:marLeft w:val="0"/>
          <w:marRight w:val="0"/>
          <w:marTop w:val="240"/>
          <w:marBottom w:val="0"/>
          <w:divBdr>
            <w:top w:val="none" w:sz="0" w:space="0" w:color="auto"/>
            <w:left w:val="none" w:sz="0" w:space="0" w:color="auto"/>
            <w:bottom w:val="none" w:sz="0" w:space="0" w:color="auto"/>
            <w:right w:val="none" w:sz="0" w:space="0" w:color="auto"/>
          </w:divBdr>
        </w:div>
        <w:div w:id="692726649">
          <w:marLeft w:val="0"/>
          <w:marRight w:val="0"/>
          <w:marTop w:val="240"/>
          <w:marBottom w:val="240"/>
          <w:divBdr>
            <w:top w:val="none" w:sz="0" w:space="0" w:color="auto"/>
            <w:left w:val="none" w:sz="0" w:space="0" w:color="auto"/>
            <w:bottom w:val="none" w:sz="0" w:space="0" w:color="auto"/>
            <w:right w:val="none" w:sz="0" w:space="0" w:color="auto"/>
          </w:divBdr>
        </w:div>
        <w:div w:id="1239553765">
          <w:marLeft w:val="0"/>
          <w:marRight w:val="0"/>
          <w:marTop w:val="240"/>
          <w:marBottom w:val="240"/>
          <w:divBdr>
            <w:top w:val="none" w:sz="0" w:space="0" w:color="auto"/>
            <w:left w:val="none" w:sz="0" w:space="0" w:color="auto"/>
            <w:bottom w:val="none" w:sz="0" w:space="0" w:color="auto"/>
            <w:right w:val="none" w:sz="0" w:space="0" w:color="auto"/>
          </w:divBdr>
        </w:div>
        <w:div w:id="1295284830">
          <w:marLeft w:val="0"/>
          <w:marRight w:val="0"/>
          <w:marTop w:val="240"/>
          <w:marBottom w:val="0"/>
          <w:divBdr>
            <w:top w:val="none" w:sz="0" w:space="0" w:color="auto"/>
            <w:left w:val="none" w:sz="0" w:space="0" w:color="auto"/>
            <w:bottom w:val="none" w:sz="0" w:space="0" w:color="auto"/>
            <w:right w:val="none" w:sz="0" w:space="0" w:color="auto"/>
          </w:divBdr>
        </w:div>
        <w:div w:id="248738133">
          <w:marLeft w:val="0"/>
          <w:marRight w:val="0"/>
          <w:marTop w:val="240"/>
          <w:marBottom w:val="240"/>
          <w:divBdr>
            <w:top w:val="none" w:sz="0" w:space="0" w:color="auto"/>
            <w:left w:val="none" w:sz="0" w:space="0" w:color="auto"/>
            <w:bottom w:val="none" w:sz="0" w:space="0" w:color="auto"/>
            <w:right w:val="none" w:sz="0" w:space="0" w:color="auto"/>
          </w:divBdr>
        </w:div>
        <w:div w:id="1798060018">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c95a4e5274a0bb7cb806d/5860.pdf" TargetMode="External"/><Relationship Id="rId18" Type="http://schemas.openxmlformats.org/officeDocument/2006/relationships/hyperlink" Target="https://www.legislation.gov.uk/ukpga/2018/12/contents" TargetMode="External"/><Relationship Id="rId26" Type="http://schemas.openxmlformats.org/officeDocument/2006/relationships/hyperlink" Target="https://www.nhs.uk/mental-health/conditions/post-natal-depression/overview/" TargetMode="External"/><Relationship Id="rId3" Type="http://schemas.openxmlformats.org/officeDocument/2006/relationships/settings" Target="settings.xml"/><Relationship Id="rId21" Type="http://schemas.openxmlformats.org/officeDocument/2006/relationships/hyperlink" Target="https://www.legislation.gov.uk/ukpga/1996/16/section/89" TargetMode="External"/><Relationship Id="rId34" Type="http://schemas.openxmlformats.org/officeDocument/2006/relationships/fontTable" Target="fontTable.xml"/><Relationship Id="rId7" Type="http://schemas.openxmlformats.org/officeDocument/2006/relationships/hyperlink" Target="https://childlawadvice.org.uk/information-pages/police-powers-of-protection-emergency-protection-orders/" TargetMode="External"/><Relationship Id="rId12" Type="http://schemas.openxmlformats.org/officeDocument/2006/relationships/hyperlink" Target="https://www.cps.gov.uk/legal-guidance/restraining-orders" TargetMode="External"/><Relationship Id="rId17" Type="http://schemas.openxmlformats.org/officeDocument/2006/relationships/hyperlink" Target="https://www.legislation.gov.uk/ukpga/1989/41/section/31" TargetMode="External"/><Relationship Id="rId25" Type="http://schemas.openxmlformats.org/officeDocument/2006/relationships/hyperlink" Target="https://www.legislation.gov.uk/ukpga/2005/9/section/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publications/domestic-abuse-bill-2020-factsheets/domestic-abuse-bill-2020-overarching-factsheet" TargetMode="External"/><Relationship Id="rId20" Type="http://schemas.openxmlformats.org/officeDocument/2006/relationships/hyperlink" Target="https://www.legislation.gov.uk/ukpga/Geo5/23-24/12/2024-01-31?view=plain" TargetMode="External"/><Relationship Id="rId29" Type="http://schemas.openxmlformats.org/officeDocument/2006/relationships/hyperlink" Target="https://learning.nspcc.org.uk/child-protection-system/eng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controlling-or-coercive-behaviour-intimate-or-family-relationship" TargetMode="External"/><Relationship Id="rId24" Type="http://schemas.openxmlformats.org/officeDocument/2006/relationships/hyperlink" Target="https://www.legislation.gov.uk/ukpga/1989/41/section/47" TargetMode="External"/><Relationship Id="rId32" Type="http://schemas.openxmlformats.org/officeDocument/2006/relationships/hyperlink" Target="https://www.womensaid.org.uk/" TargetMode="External"/><Relationship Id="rId5" Type="http://schemas.openxmlformats.org/officeDocument/2006/relationships/footnotes" Target="footnotes.xml"/><Relationship Id="rId15" Type="http://schemas.openxmlformats.org/officeDocument/2006/relationships/hyperlink" Target="https://www.gov.uk/government/publications/domestic-abuse-bill-2020-factsheets/amendment-to-the-controlling-or-coercive-behaviour-offence" TargetMode="External"/><Relationship Id="rId23" Type="http://schemas.openxmlformats.org/officeDocument/2006/relationships/hyperlink" Target="https://www.legislation.gov.uk/ukpga/Geo5/23-24/12/part/I/crossheading/offences" TargetMode="External"/><Relationship Id="rId28" Type="http://schemas.openxmlformats.org/officeDocument/2006/relationships/hyperlink" Target="https://emea01.safelinks.protection.outlook.com/?url=https%3A%2F%2Flearning.nspcc.org.uk%2F&amp;data=05%7C02%7C%7Cba68601245484ecc4c8008ddbd52c4d8%7C84df9e7fe9f640afb435aaaaaaaaaaaa%7C1%7C0%7C638874885366613679%7CUnknown%7CTWFpbGZsb3d8eyJFbXB0eU1hcGkiOnRydWUsIlYiOiIwLjAuMDAwMCIsIlAiOiJXaW4zMiIsIkFOIjoiTWFpbCIsIldUIjoyfQ%3D%3D%7C0%7C%7C%7C&amp;sdata=xMj1nHFFv7m6XVT%2BxGcG0pyvSTuDYAJvONsLkQB5KrU%3D&amp;reserved=0" TargetMode="External"/><Relationship Id="rId10" Type="http://schemas.openxmlformats.org/officeDocument/2006/relationships/hyperlink" Target="https://www.cps.gov.uk/legal-guidance/public-order-offences-incorporating-charging-standard" TargetMode="External"/><Relationship Id="rId19" Type="http://schemas.openxmlformats.org/officeDocument/2006/relationships/hyperlink" Target="http://legisation.gov.uk/" TargetMode="External"/><Relationship Id="rId31" Type="http://schemas.openxmlformats.org/officeDocument/2006/relationships/hyperlink" Target="https://www.legislation.gov.uk/anaw/2015/2/contents" TargetMode="Externa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www.legislation.gov.uk/ukpga/2010/15/section/13" TargetMode="External"/><Relationship Id="rId22" Type="http://schemas.openxmlformats.org/officeDocument/2006/relationships/hyperlink" Target="https://www.legislation.gov.uk/ukpga/2020/17/section/360/2020-12-01" TargetMode="External"/><Relationship Id="rId27" Type="http://schemas.openxmlformats.org/officeDocument/2006/relationships/hyperlink" Target="https://www.nhs.uk/live-well/eat-well/food-guidelines-and-food-labels/the-eatwell-guide/" TargetMode="External"/><Relationship Id="rId30" Type="http://schemas.openxmlformats.org/officeDocument/2006/relationships/hyperlink" Target="https://www.legislation.gov.uk/anaw/2014/4/contents" TargetMode="External"/><Relationship Id="rId35" Type="http://schemas.openxmlformats.org/officeDocument/2006/relationships/theme" Target="theme/theme1.xml"/><Relationship Id="rId8" Type="http://schemas.openxmlformats.org/officeDocument/2006/relationships/hyperlink" Target="https://childlawadv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5740</Words>
  <Characters>32721</Characters>
  <Application>Microsoft Office Word</Application>
  <DocSecurity>0</DocSecurity>
  <Lines>272</Lines>
  <Paragraphs>76</Paragraphs>
  <ScaleCrop>false</ScaleCrop>
  <Company/>
  <LinksUpToDate>false</LinksUpToDate>
  <CharactersWithSpaces>38385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Bobbie-Jayne Rees (1301321)</cp:lastModifiedBy>
  <cp:revision>2</cp:revision>
  <cp:lastPrinted>2025-07-07T14:53:00Z</cp:lastPrinted>
  <dcterms:created xsi:type="dcterms:W3CDTF">2025-07-07T17:26:00Z</dcterms:created>
  <dcterms:modified xsi:type="dcterms:W3CDTF">2025-07-07T17:26:00Z</dcterms:modified>
</cp:coreProperties>
</file>