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6C8" w:rsidRPr="00F97286" w:rsidRDefault="00E046C8" w:rsidP="00F97286">
      <w:pPr>
        <w:jc w:val="center"/>
        <w:rPr>
          <w:rFonts w:ascii="Bradley Hand ITC" w:hAnsi="Bradley Hand ITC"/>
          <w:sz w:val="48"/>
          <w:szCs w:val="48"/>
        </w:rPr>
      </w:pPr>
      <w:r w:rsidRPr="00F97286">
        <w:rPr>
          <w:rFonts w:ascii="Bradley Hand ITC" w:hAnsi="Bradley Hand ITC"/>
          <w:sz w:val="48"/>
          <w:szCs w:val="48"/>
        </w:rPr>
        <w:t>Donaldson’s 12 Pedagogical Principles</w:t>
      </w:r>
    </w:p>
    <w:p w:rsidR="00E046C8" w:rsidRDefault="00E046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046C8" w:rsidTr="00D120A4"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bookmarkStart w:id="0" w:name="_GoBack" w:colFirst="0" w:colLast="4"/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Create authentic contexts for learning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Encourage learners to take responsibility for their learning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Support social and emotional development &amp; positive relationships</w:t>
            </w:r>
          </w:p>
        </w:tc>
        <w:tc>
          <w:tcPr>
            <w:tcW w:w="3487" w:type="dxa"/>
            <w:shd w:val="clear" w:color="auto" w:fill="9CC2E5" w:themeFill="accent1" w:themeFillTint="99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Encourage collaboration</w:t>
            </w:r>
          </w:p>
        </w:tc>
      </w:tr>
      <w:tr w:rsidR="00E046C8" w:rsidTr="00D120A4">
        <w:tc>
          <w:tcPr>
            <w:tcW w:w="3487" w:type="dxa"/>
            <w:shd w:val="clear" w:color="auto" w:fill="FFE599" w:themeFill="accent4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Sustained pupil effort to reach high but achievable targets</w:t>
            </w:r>
          </w:p>
        </w:tc>
        <w:tc>
          <w:tcPr>
            <w:tcW w:w="3487" w:type="dxa"/>
            <w:shd w:val="clear" w:color="auto" w:fill="FFE599" w:themeFill="accent4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Employing a broad repertoire of teaching approaches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Promote problem solving, creative &amp; critical thinking</w:t>
            </w:r>
          </w:p>
        </w:tc>
        <w:tc>
          <w:tcPr>
            <w:tcW w:w="3487" w:type="dxa"/>
            <w:shd w:val="clear" w:color="auto" w:fill="C5E0B3" w:themeFill="accent6" w:themeFillTint="66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Build on previous knowledge and experience to engage interest</w:t>
            </w:r>
          </w:p>
        </w:tc>
      </w:tr>
      <w:tr w:rsidR="00E046C8" w:rsidTr="00D120A4">
        <w:tc>
          <w:tcPr>
            <w:tcW w:w="3487" w:type="dxa"/>
            <w:shd w:val="clear" w:color="auto" w:fill="FF0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Focus on the 4 purposes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Use assessment for learning to accelerate progress</w:t>
            </w:r>
          </w:p>
        </w:tc>
        <w:tc>
          <w:tcPr>
            <w:tcW w:w="3487" w:type="dxa"/>
            <w:shd w:val="clear" w:color="auto" w:fill="FFC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Make connections within and across the AoLEs</w:t>
            </w:r>
          </w:p>
        </w:tc>
        <w:tc>
          <w:tcPr>
            <w:tcW w:w="3487" w:type="dxa"/>
            <w:shd w:val="clear" w:color="auto" w:fill="FF0000"/>
            <w:vAlign w:val="center"/>
          </w:tcPr>
          <w:p w:rsidR="00E046C8" w:rsidRPr="00F97286" w:rsidRDefault="00E046C8" w:rsidP="00D120A4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 w:rsidRPr="00F97286">
              <w:rPr>
                <w:rFonts w:ascii="Bradley Hand ITC" w:hAnsi="Bradley Hand ITC"/>
                <w:b/>
                <w:sz w:val="36"/>
                <w:szCs w:val="36"/>
              </w:rPr>
              <w:t>Reinforce cross-curricular responsibilities, Literacy, Numeracy, Digital Competency</w:t>
            </w:r>
          </w:p>
        </w:tc>
      </w:tr>
      <w:bookmarkEnd w:id="0"/>
    </w:tbl>
    <w:p w:rsidR="00E046C8" w:rsidRDefault="00E046C8"/>
    <w:sectPr w:rsidR="00E046C8" w:rsidSect="00E046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C8"/>
    <w:rsid w:val="00025523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D120A4"/>
    <w:rsid w:val="00E046C8"/>
    <w:rsid w:val="00E532FC"/>
    <w:rsid w:val="00F35A18"/>
    <w:rsid w:val="00F4060C"/>
    <w:rsid w:val="00F52A39"/>
    <w:rsid w:val="00F9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0C4F48-021D-4BDB-A5D6-4E928905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2019-07-03T08:52:00Z</dcterms:created>
  <dcterms:modified xsi:type="dcterms:W3CDTF">2019-07-03T14:51:00Z</dcterms:modified>
</cp:coreProperties>
</file>