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3F2FED01" w:rsidP="3F2FED01" w:rsidRDefault="3F2FED01" w14:paraId="0EA7495C" w14:textId="2A947916">
      <w:pPr>
        <w:rPr>
          <w:u w:val="single"/>
        </w:rPr>
      </w:pPr>
      <w:r w:rsidRPr="18DEE1CF" w:rsidR="18DEE1CF">
        <w:rPr>
          <w:u w:val="single"/>
        </w:rPr>
        <w:t>Reflective account of a client taken to supervision</w:t>
      </w:r>
    </w:p>
    <w:p w:rsidR="3F2FED01" w:rsidP="3F2FED01" w:rsidRDefault="3F2FED01" w14:paraId="22D9623C" w14:textId="3CB1A4EA">
      <w:pPr>
        <w:pStyle w:val="Normal"/>
        <w:rPr>
          <w:u w:val="none"/>
        </w:rPr>
      </w:pPr>
      <w:r w:rsidR="18DEE1CF">
        <w:rPr>
          <w:u w:val="none"/>
        </w:rPr>
        <w:t xml:space="preserve">  Supervision is an important aspect of a counsellors’ foundation to provide a safe and ethical practice (Campbell,2011; cited in Arnaud,2017), supervisors have the task of mentor and to help trainees with their reflection of self and within the therapeutic sessions, thus leading to personal and professional development. There are known differences in supervisors support and taking into consideration the different models of supervision which supervisors are aligned with shows differences in their direct therapeutic support in supervision. </w:t>
      </w:r>
      <w:r w:rsidR="18DEE1CF">
        <w:rPr>
          <w:u w:val="none"/>
        </w:rPr>
        <w:t xml:space="preserve">The </w:t>
      </w:r>
      <w:r w:rsidR="18DEE1CF">
        <w:rPr>
          <w:u w:val="none"/>
        </w:rPr>
        <w:t>supervisor</w:t>
      </w:r>
      <w:r w:rsidR="18DEE1CF">
        <w:rPr>
          <w:u w:val="none"/>
        </w:rPr>
        <w:t xml:space="preserve"> </w:t>
      </w:r>
      <w:r w:rsidR="18DEE1CF">
        <w:rPr>
          <w:u w:val="none"/>
        </w:rPr>
        <w:t xml:space="preserve">discussed in this essay </w:t>
      </w:r>
      <w:r w:rsidR="18DEE1CF">
        <w:rPr>
          <w:u w:val="none"/>
        </w:rPr>
        <w:t>is aligned to the Cyclical Model which includes five different areas of exploration (Page and Wosket,2014). These are Contract</w:t>
      </w:r>
      <w:r w:rsidR="18DEE1CF">
        <w:rPr>
          <w:u w:val="none"/>
        </w:rPr>
        <w:t xml:space="preserve"> which will discuss the boundaries</w:t>
      </w:r>
      <w:r w:rsidR="18DEE1CF">
        <w:rPr>
          <w:u w:val="none"/>
        </w:rPr>
        <w:t xml:space="preserve">, </w:t>
      </w:r>
      <w:r w:rsidR="18DEE1CF">
        <w:rPr>
          <w:u w:val="none"/>
        </w:rPr>
        <w:t xml:space="preserve">agenda, agreement, structure of the session, expectations and relationship and ground rules. The </w:t>
      </w:r>
      <w:r w:rsidR="18DEE1CF">
        <w:rPr>
          <w:u w:val="none"/>
        </w:rPr>
        <w:t>Focus</w:t>
      </w:r>
      <w:r w:rsidR="18DEE1CF">
        <w:rPr>
          <w:u w:val="none"/>
        </w:rPr>
        <w:t xml:space="preserve"> is exploring the issues, objectives, presentation, approach and priorities. Thirdly is </w:t>
      </w:r>
      <w:r w:rsidR="18DEE1CF">
        <w:rPr>
          <w:u w:val="none"/>
        </w:rPr>
        <w:t>Space</w:t>
      </w:r>
      <w:r w:rsidR="18DEE1CF">
        <w:rPr>
          <w:u w:val="none"/>
        </w:rPr>
        <w:t xml:space="preserve"> which involves, collaboration of the group, investigation, challenge, affirmation and containment. Fourth is the </w:t>
      </w:r>
      <w:r w:rsidR="18DEE1CF">
        <w:rPr>
          <w:u w:val="none"/>
        </w:rPr>
        <w:t xml:space="preserve">Bridge </w:t>
      </w:r>
      <w:r w:rsidR="18DEE1CF">
        <w:rPr>
          <w:u w:val="none"/>
        </w:rPr>
        <w:t xml:space="preserve">part of the model which incorporates giving information, consolidation with supervisor, action planning, goal setting and the clients’ perspective. Lastly is </w:t>
      </w:r>
      <w:r w:rsidR="18DEE1CF">
        <w:rPr>
          <w:u w:val="none"/>
        </w:rPr>
        <w:t>Review</w:t>
      </w:r>
      <w:r w:rsidR="18DEE1CF">
        <w:rPr>
          <w:u w:val="none"/>
        </w:rPr>
        <w:t xml:space="preserve"> which entails grounding, evaluation, re-contracting, and feedback. These will be the areas of exploration for this essay to give a broad reflexive account of a client taken to supervision, from a trainee student counsellors’ perspective</w:t>
      </w:r>
      <w:r w:rsidR="18DEE1CF">
        <w:rPr>
          <w:u w:val="none"/>
        </w:rPr>
        <w:t xml:space="preserve">. </w:t>
      </w:r>
    </w:p>
    <w:p w:rsidR="3F2FED01" w:rsidP="3F2FED01" w:rsidRDefault="3F2FED01" w14:paraId="54E13296" w14:textId="43B04D95">
      <w:pPr>
        <w:pStyle w:val="Normal"/>
        <w:rPr>
          <w:u w:val="none"/>
        </w:rPr>
      </w:pPr>
      <w:r w:rsidR="18DEE1CF">
        <w:rPr>
          <w:u w:val="none"/>
        </w:rPr>
        <w:t xml:space="preserve">   Group supervision starts with the contract and boundaries as a group and how much time is allocated, 3 hours in total. All of the four counsellors at the supervision group are aligned with the British Association for Counselling and Psychotherapy (BACP) and their ethical framework and standards. Accountability, relationships and expectations from the group and supervisor are discussed and every counsellor has time allocated to them to discuss their own client sessions. The group is made up of two qualified counsellors and two trainee counsellors. </w:t>
      </w:r>
      <w:r w:rsidR="18DEE1CF">
        <w:rPr>
          <w:u w:val="none"/>
        </w:rPr>
        <w:t xml:space="preserve">This environment pushes the trainee counsellor into higher levels of thinking (Granello and Underfer-Babalis,2004). Looking at themes such as, the use of power, how the supervision is structured and the balance between support and challenge. </w:t>
      </w:r>
      <w:r w:rsidR="18DEE1CF">
        <w:rPr>
          <w:u w:val="none"/>
        </w:rPr>
        <w:t xml:space="preserve">The trainee counsellor feels the importance of learning from experienced qualified counsellors in this environment and likes being heard and surrounded by </w:t>
      </w:r>
      <w:proofErr w:type="spellStart"/>
      <w:r w:rsidR="18DEE1CF">
        <w:rPr>
          <w:u w:val="none"/>
        </w:rPr>
        <w:t>non-judgemental</w:t>
      </w:r>
      <w:proofErr w:type="spellEnd"/>
      <w:r w:rsidR="18DEE1CF">
        <w:rPr>
          <w:u w:val="none"/>
        </w:rPr>
        <w:t xml:space="preserve"> but helpful and challenging views which incorporates the element of trust. The B</w:t>
      </w:r>
      <w:r w:rsidR="18DEE1CF">
        <w:rPr>
          <w:u w:val="none"/>
        </w:rPr>
        <w:t xml:space="preserve">roadening and narrowing processes </w:t>
      </w:r>
      <w:r w:rsidR="18DEE1CF">
        <w:rPr>
          <w:u w:val="none"/>
        </w:rPr>
        <w:t xml:space="preserve">takes place, for example, broadening the trainee counsellors’ thinking creatively and exploration of their ways of being and narrowing the limitation of choice the counsellor might feel they have </w:t>
      </w:r>
      <w:r w:rsidR="18DEE1CF">
        <w:rPr>
          <w:u w:val="none"/>
        </w:rPr>
        <w:t>(</w:t>
      </w:r>
      <w:proofErr w:type="spellStart"/>
      <w:r w:rsidR="18DEE1CF">
        <w:rPr>
          <w:u w:val="none"/>
        </w:rPr>
        <w:t>Grazzola</w:t>
      </w:r>
      <w:proofErr w:type="spellEnd"/>
      <w:r w:rsidR="18DEE1CF">
        <w:rPr>
          <w:u w:val="none"/>
        </w:rPr>
        <w:t xml:space="preserve"> and Thériault,2007)</w:t>
      </w:r>
      <w:r w:rsidR="18DEE1CF">
        <w:rPr>
          <w:u w:val="none"/>
        </w:rPr>
        <w:t>, exploring t</w:t>
      </w:r>
      <w:r w:rsidR="18DEE1CF">
        <w:rPr>
          <w:u w:val="none"/>
        </w:rPr>
        <w:t>he relational process in counselling supervision and the way in which the supervisor engages with the trainee counsellor is seen as one of the most crucial aspects</w:t>
      </w:r>
      <w:r w:rsidR="18DEE1CF">
        <w:rPr>
          <w:u w:val="none"/>
        </w:rPr>
        <w:t xml:space="preserve"> for the supervisees’ development, which then is known to have an effect on their client therapeutic sessions</w:t>
      </w:r>
      <w:r w:rsidR="18DEE1CF">
        <w:rPr>
          <w:u w:val="none"/>
        </w:rPr>
        <w:t>.</w:t>
      </w:r>
      <w:r w:rsidR="18DEE1CF">
        <w:rPr>
          <w:u w:val="none"/>
        </w:rPr>
        <w:t xml:space="preserve"> </w:t>
      </w:r>
    </w:p>
    <w:p w:rsidR="3F2FED01" w:rsidP="3F2FED01" w:rsidRDefault="3F2FED01" w14:paraId="18504245" w14:textId="77FD1B3E">
      <w:pPr>
        <w:pStyle w:val="Normal"/>
        <w:rPr>
          <w:u w:val="none"/>
        </w:rPr>
      </w:pPr>
      <w:r w:rsidR="18DEE1CF">
        <w:rPr>
          <w:u w:val="none"/>
        </w:rPr>
        <w:t xml:space="preserve">   Leading on to the focus part of the supervision session, the trainee counsellor gives an account of what their client is expressing and describes these themes of the client sessions as anxiety, low self-worth, anger and loss. </w:t>
      </w:r>
      <w:r w:rsidR="18DEE1CF">
        <w:rPr>
          <w:u w:val="none"/>
        </w:rPr>
        <w:t xml:space="preserve">The </w:t>
      </w:r>
      <w:r w:rsidR="18DEE1CF">
        <w:rPr>
          <w:u w:val="none"/>
        </w:rPr>
        <w:t>counsellor</w:t>
      </w:r>
      <w:r w:rsidR="18DEE1CF">
        <w:rPr>
          <w:u w:val="none"/>
        </w:rPr>
        <w:t xml:space="preserve"> explored the issue of countertransference, with regards to being a mother and their own feelings, beliefs and values and how this may have effect the therapeutic relationship with th</w:t>
      </w:r>
      <w:r w:rsidR="18DEE1CF">
        <w:rPr>
          <w:u w:val="none"/>
        </w:rPr>
        <w:t>is</w:t>
      </w:r>
      <w:r w:rsidR="18DEE1CF">
        <w:rPr>
          <w:u w:val="none"/>
        </w:rPr>
        <w:t xml:space="preserve"> </w:t>
      </w:r>
      <w:r w:rsidR="18DEE1CF">
        <w:rPr>
          <w:u w:val="none"/>
        </w:rPr>
        <w:t xml:space="preserve">particular </w:t>
      </w:r>
      <w:r w:rsidR="18DEE1CF">
        <w:rPr>
          <w:u w:val="none"/>
        </w:rPr>
        <w:t xml:space="preserve">client. </w:t>
      </w:r>
      <w:r w:rsidR="18DEE1CF">
        <w:rPr>
          <w:u w:val="none"/>
        </w:rPr>
        <w:t xml:space="preserve">The trainee counsellor is aligned with the ethical framework of BACP, where being </w:t>
      </w:r>
      <w:proofErr w:type="spellStart"/>
      <w:r w:rsidR="18DEE1CF">
        <w:rPr>
          <w:u w:val="none"/>
        </w:rPr>
        <w:t>non-judgemental</w:t>
      </w:r>
      <w:proofErr w:type="spellEnd"/>
      <w:r w:rsidR="18DEE1CF">
        <w:rPr>
          <w:u w:val="none"/>
        </w:rPr>
        <w:t xml:space="preserve"> is a crucial element (BACP,2019). However, the counsellor felt this was seen as an important element of exploration within this session. These feelings arose from a particular part of the session where the client was relating to a specific incident surrounding Christmas time and how the client felt about that as a mother, the counsellor being aware that they would not have done what the client did. Although this was the case, the counsellor kept to a professional way of thinking and being present in the session with the client. In the supervision session the trainee counsellor shared the feeling of discomfort from what the client had shared. The counsellor felt safe and heard when communicating these issues to the supervision group. The</w:t>
      </w:r>
      <w:r w:rsidR="18DEE1CF">
        <w:rPr>
          <w:u w:val="none"/>
        </w:rPr>
        <w:t xml:space="preserve"> importance of being able to disclose an issue of countertransference (</w:t>
      </w:r>
      <w:proofErr w:type="spellStart"/>
      <w:r w:rsidR="18DEE1CF">
        <w:rPr>
          <w:u w:val="none"/>
        </w:rPr>
        <w:t>Pakdaman</w:t>
      </w:r>
      <w:proofErr w:type="spellEnd"/>
      <w:r w:rsidR="18DEE1CF">
        <w:rPr>
          <w:u w:val="none"/>
        </w:rPr>
        <w:t xml:space="preserve">, </w:t>
      </w:r>
      <w:proofErr w:type="spellStart"/>
      <w:r w:rsidR="18DEE1CF">
        <w:rPr>
          <w:u w:val="none"/>
        </w:rPr>
        <w:t>Shafranske</w:t>
      </w:r>
      <w:proofErr w:type="spellEnd"/>
      <w:r w:rsidR="18DEE1CF">
        <w:rPr>
          <w:u w:val="none"/>
        </w:rPr>
        <w:t xml:space="preserve"> and Falender,2015) is shown as the all</w:t>
      </w:r>
      <w:r w:rsidR="18DEE1CF">
        <w:rPr>
          <w:u w:val="none"/>
        </w:rPr>
        <w:t>ia</w:t>
      </w:r>
      <w:r w:rsidR="18DEE1CF">
        <w:rPr>
          <w:u w:val="none"/>
        </w:rPr>
        <w:t>nce and bond dimensions of the supervisee and supervisors’ relationship.</w:t>
      </w:r>
      <w:r w:rsidR="18DEE1CF">
        <w:rPr>
          <w:u w:val="none"/>
        </w:rPr>
        <w:t xml:space="preserve"> The counsellor felt able to express this issue and did not feel shame (Searles,1959; cited in Waugaman,2015) for doing so but saw it more of an opportunity for further exploration and understanding within themselves and for the benefit of the further sessions with the client.</w:t>
      </w:r>
    </w:p>
    <w:p w:rsidR="3F2FED01" w:rsidP="3F2FED01" w:rsidRDefault="3F2FED01" w14:paraId="09D80F8C" w14:textId="4C9BF169">
      <w:pPr>
        <w:pStyle w:val="Normal"/>
        <w:rPr>
          <w:u w:val="none"/>
        </w:rPr>
      </w:pPr>
      <w:r w:rsidRPr="18DEE1CF" w:rsidR="18DEE1CF">
        <w:rPr>
          <w:rFonts w:ascii="Calibri" w:hAnsi="Calibri" w:eastAsia="Calibri" w:cs="Calibri"/>
          <w:noProof w:val="0"/>
          <w:sz w:val="22"/>
          <w:szCs w:val="22"/>
          <w:lang w:val="en-US"/>
        </w:rPr>
        <w:t xml:space="preserve">  The trainee counsellor took time to reflect on their own feelings after the client therapy session and in this time also reflected on what the client wants from counselling, as there was also a feeling, for the counsellor, of uncertainty from the client wanting to be at the counselling sessions. When this question had been asked to the client in the first session the </w:t>
      </w:r>
      <w:r w:rsidR="18DEE1CF">
        <w:rPr>
          <w:u w:val="none"/>
        </w:rPr>
        <w:t>client pull</w:t>
      </w:r>
      <w:r w:rsidR="18DEE1CF">
        <w:rPr>
          <w:u w:val="none"/>
        </w:rPr>
        <w:t>ed</w:t>
      </w:r>
      <w:r w:rsidR="18DEE1CF">
        <w:rPr>
          <w:u w:val="none"/>
        </w:rPr>
        <w:t xml:space="preserve"> a puzzled, frowning face at the counsellor and </w:t>
      </w:r>
      <w:r w:rsidR="18DEE1CF">
        <w:rPr>
          <w:u w:val="none"/>
        </w:rPr>
        <w:t>expressed the fact ‘well obviously help with my anxiety’</w:t>
      </w:r>
      <w:r w:rsidR="18DEE1CF">
        <w:rPr>
          <w:u w:val="none"/>
        </w:rPr>
        <w:t>.</w:t>
      </w:r>
      <w:r w:rsidR="18DEE1CF">
        <w:rPr>
          <w:u w:val="none"/>
        </w:rPr>
        <w:t xml:space="preserve"> The counsellor communicated to the group a feeling of being stuck with the client because in the sessions after, when exploring how the anxiety is for the client and how it feels, the client does not want to share or explore this and so appears as if challenging the process. The group then where asked how they would work with this client by the supervisor, the counsellor perceives this helpful feedback to acknowledge what they might be missing. One counsellor in the group suggested that the question of what the client wanted from counselling should be asked again and a sense of immediacy brought into the room. This element of supervision could be described as </w:t>
      </w:r>
      <w:r w:rsidR="18DEE1CF">
        <w:rPr>
          <w:u w:val="none"/>
        </w:rPr>
        <w:t xml:space="preserve">Interpersonal Process Recall (IPR) </w:t>
      </w:r>
      <w:r w:rsidR="18DEE1CF">
        <w:rPr>
          <w:u w:val="none"/>
        </w:rPr>
        <w:t xml:space="preserve">which </w:t>
      </w:r>
      <w:r w:rsidR="18DEE1CF">
        <w:rPr>
          <w:u w:val="none"/>
        </w:rPr>
        <w:t>is used to increase the trainee counsellors</w:t>
      </w:r>
      <w:r w:rsidR="18DEE1CF">
        <w:rPr>
          <w:u w:val="none"/>
        </w:rPr>
        <w:t>’</w:t>
      </w:r>
      <w:r w:rsidR="18DEE1CF">
        <w:rPr>
          <w:u w:val="none"/>
        </w:rPr>
        <w:t xml:space="preserve"> awareness of perceptions (Cashwell,1994) which they may not already have knowledge of and to process their clients</w:t>
      </w:r>
      <w:r w:rsidR="18DEE1CF">
        <w:rPr>
          <w:u w:val="none"/>
        </w:rPr>
        <w:t>’</w:t>
      </w:r>
      <w:r w:rsidR="18DEE1CF">
        <w:rPr>
          <w:u w:val="none"/>
        </w:rPr>
        <w:t xml:space="preserve"> thoughts and feelings which the </w:t>
      </w:r>
      <w:r w:rsidR="18DEE1CF">
        <w:rPr>
          <w:u w:val="none"/>
        </w:rPr>
        <w:t xml:space="preserve">client </w:t>
      </w:r>
      <w:r w:rsidR="18DEE1CF">
        <w:rPr>
          <w:u w:val="none"/>
        </w:rPr>
        <w:t xml:space="preserve">may not have made known in the session. </w:t>
      </w:r>
      <w:r w:rsidR="18DEE1CF">
        <w:rPr>
          <w:u w:val="none"/>
        </w:rPr>
        <w:t>When IPR is done effectively the counsellor would u</w:t>
      </w:r>
      <w:r w:rsidR="18DEE1CF">
        <w:rPr>
          <w:u w:val="none"/>
        </w:rPr>
        <w:t>nderstand how to express these</w:t>
      </w:r>
      <w:r w:rsidR="18DEE1CF">
        <w:rPr>
          <w:u w:val="none"/>
        </w:rPr>
        <w:t xml:space="preserve"> perceptions and the level of new awareness in the client therapy sessions, </w:t>
      </w:r>
      <w:r w:rsidR="18DEE1CF">
        <w:rPr>
          <w:u w:val="none"/>
        </w:rPr>
        <w:t xml:space="preserve">without negatively effecting the therapeutic relationship, </w:t>
      </w:r>
      <w:r w:rsidR="18DEE1CF">
        <w:rPr>
          <w:u w:val="none"/>
        </w:rPr>
        <w:t xml:space="preserve">it is used as </w:t>
      </w:r>
      <w:r w:rsidR="18DEE1CF">
        <w:rPr>
          <w:u w:val="none"/>
        </w:rPr>
        <w:t>an emphasis on strengthening the relationship between counsellor and the client.</w:t>
      </w:r>
      <w:r w:rsidR="18DEE1CF">
        <w:rPr>
          <w:u w:val="none"/>
        </w:rPr>
        <w:t xml:space="preserve"> The supervisor questioned whether the countertransference was showing in other aspects of the session and to explore this within personal therapy as well as the group supervision. The supervisor continued to discuss the positive aspects of the session such as the client being able to explore other elements of what is going on for them and </w:t>
      </w:r>
      <w:proofErr w:type="spellStart"/>
      <w:r w:rsidR="18DEE1CF">
        <w:rPr>
          <w:u w:val="none"/>
        </w:rPr>
        <w:t>normalising</w:t>
      </w:r>
      <w:proofErr w:type="spellEnd"/>
      <w:r w:rsidR="18DEE1CF">
        <w:rPr>
          <w:u w:val="none"/>
        </w:rPr>
        <w:t xml:space="preserve"> how counsellors do come across barriers where clients will not want to go to a deeper level with some experiences, as it is person-</w:t>
      </w:r>
      <w:proofErr w:type="spellStart"/>
      <w:r w:rsidR="18DEE1CF">
        <w:rPr>
          <w:u w:val="none"/>
        </w:rPr>
        <w:t>centred</w:t>
      </w:r>
      <w:proofErr w:type="spellEnd"/>
      <w:r w:rsidR="18DEE1CF">
        <w:rPr>
          <w:u w:val="none"/>
        </w:rPr>
        <w:t xml:space="preserve"> the client is the person leading the way (Rogers,1959; cited in Kirschenbaum and Henderson,1990). This gave the counsellor back a sense of empowerment instead of the feeling as if they were not doing enough. The trust in the supervisor and supervisee is shown here and the understanding of when a supervisor demonstrates </w:t>
      </w:r>
      <w:r w:rsidR="18DEE1CF">
        <w:rPr>
          <w:u w:val="none"/>
        </w:rPr>
        <w:t xml:space="preserve">(Stefano, </w:t>
      </w:r>
      <w:proofErr w:type="spellStart"/>
      <w:r w:rsidR="18DEE1CF">
        <w:rPr>
          <w:u w:val="none"/>
        </w:rPr>
        <w:t>Hutman</w:t>
      </w:r>
      <w:proofErr w:type="spellEnd"/>
      <w:r w:rsidR="18DEE1CF">
        <w:rPr>
          <w:u w:val="none"/>
        </w:rPr>
        <w:t xml:space="preserve"> and Gazzola, 2017)</w:t>
      </w:r>
      <w:r w:rsidR="18DEE1CF">
        <w:rPr>
          <w:u w:val="none"/>
        </w:rPr>
        <w:t xml:space="preserve"> t</w:t>
      </w:r>
      <w:r w:rsidR="18DEE1CF">
        <w:rPr>
          <w:u w:val="none"/>
        </w:rPr>
        <w:t xml:space="preserve">rust in the trainee counsellors’ abilities actually empowers the supervisee and transparency from the supervisor shows the reduction of </w:t>
      </w:r>
      <w:r w:rsidR="18DEE1CF">
        <w:rPr>
          <w:u w:val="none"/>
        </w:rPr>
        <w:t xml:space="preserve">any </w:t>
      </w:r>
      <w:r w:rsidR="18DEE1CF">
        <w:rPr>
          <w:u w:val="none"/>
        </w:rPr>
        <w:t>power imbalance</w:t>
      </w:r>
      <w:r w:rsidR="18DEE1CF">
        <w:rPr>
          <w:u w:val="none"/>
        </w:rPr>
        <w:t xml:space="preserve"> that might be presented</w:t>
      </w:r>
      <w:r w:rsidR="18DEE1CF">
        <w:rPr>
          <w:u w:val="none"/>
        </w:rPr>
        <w:t xml:space="preserve">. </w:t>
      </w:r>
      <w:r w:rsidR="18DEE1CF">
        <w:rPr>
          <w:u w:val="none"/>
        </w:rPr>
        <w:t xml:space="preserve"> </w:t>
      </w:r>
    </w:p>
    <w:p w:rsidR="3F2FED01" w:rsidP="3F2FED01" w:rsidRDefault="3F2FED01" w14:paraId="4DF7D7D6" w14:textId="362CBC6A">
      <w:pPr>
        <w:pStyle w:val="Normal"/>
        <w:rPr>
          <w:u w:val="none"/>
        </w:rPr>
      </w:pPr>
      <w:r w:rsidR="18DEE1CF">
        <w:rPr>
          <w:u w:val="none"/>
        </w:rPr>
        <w:t xml:space="preserve">   In counselling and psychotherapy, the relationship between client and counsellor is often reflected in the therapist and supervisors’ relationship, this is referred to as parallel process (Watkins,2017). In this instance the parallel process is ‘top down’, from supervisor to counsellor to client. The information given at supervision and goal setting for the next session has been passed to the trainee counsellor to take into the session with the client, to help strengthen the therapeutic relationship (Arnaud,2017). There are shown to be links between counsellors’ self-efficiency and how they feel their supervisor perceives their efficiency </w:t>
      </w:r>
      <w:r w:rsidR="18DEE1CF">
        <w:rPr>
          <w:u w:val="none"/>
        </w:rPr>
        <w:t>(</w:t>
      </w:r>
      <w:proofErr w:type="spellStart"/>
      <w:r w:rsidR="18DEE1CF">
        <w:rPr>
          <w:u w:val="none"/>
        </w:rPr>
        <w:t>Morrsison</w:t>
      </w:r>
      <w:proofErr w:type="spellEnd"/>
      <w:r w:rsidR="18DEE1CF">
        <w:rPr>
          <w:u w:val="none"/>
        </w:rPr>
        <w:t xml:space="preserve"> and Lent, 2018)</w:t>
      </w:r>
      <w:r w:rsidR="18DEE1CF">
        <w:rPr>
          <w:u w:val="none"/>
        </w:rPr>
        <w:t xml:space="preserve"> when in a counselling session with a client. The supervisors’ own clinical credibility in fact promotes the counsellors own self-efficiency, so the more effective the trainee counsellor feels their supervisor is then has a knock-on effect to how the counsellor deems efficacy within therapy for themselves. In this case the goals and action where taken from the supervision group and into the client therapy session and shown to be effective. Having acknowledged and incorporated the element of personal therapy for the counsellors’ own awareness and worked on that, the feelings in the sessions changed. The counsellor asked the question again what the client wanted from the counselling sessions and they were able to discuss this at a deeper level. Although this client was challenging for the counsellor, they also where seen, from the counsellors’ perspective, as one of the most important, in the aspect of learning and reflective practice. The process of supervision has shown that being honest about feelings, being stuck and not knowing how to move forward in areas of client work are all a part of the learning process (Gazzola and Thériault,2007) and why supervision is in place.</w:t>
      </w:r>
    </w:p>
    <w:p w:rsidR="18DEE1CF" w:rsidP="18DEE1CF" w:rsidRDefault="18DEE1CF" w14:paraId="4D8A7391" w14:textId="62DC562D">
      <w:pPr>
        <w:pStyle w:val="Normal"/>
        <w:rPr>
          <w:u w:val="none"/>
        </w:rPr>
      </w:pPr>
      <w:r w:rsidR="18DEE1CF">
        <w:rPr>
          <w:u w:val="none"/>
        </w:rPr>
        <w:t xml:space="preserve">  To conclude it is evident that supervision is a vital aspect of a counsellors’ own development, it ensures that the counsellor is working safely and ethically within the therapeutic sessions with their client </w:t>
      </w:r>
      <w:r w:rsidR="18DEE1CF">
        <w:rPr>
          <w:u w:val="none"/>
        </w:rPr>
        <w:t>(</w:t>
      </w:r>
      <w:proofErr w:type="spellStart"/>
      <w:r w:rsidR="18DEE1CF">
        <w:rPr>
          <w:u w:val="none"/>
        </w:rPr>
        <w:t>Pakdaman</w:t>
      </w:r>
      <w:proofErr w:type="spellEnd"/>
      <w:r w:rsidR="18DEE1CF">
        <w:rPr>
          <w:u w:val="none"/>
        </w:rPr>
        <w:t xml:space="preserve">, </w:t>
      </w:r>
      <w:proofErr w:type="spellStart"/>
      <w:r w:rsidR="18DEE1CF">
        <w:rPr>
          <w:u w:val="none"/>
        </w:rPr>
        <w:t>Shafranske</w:t>
      </w:r>
      <w:proofErr w:type="spellEnd"/>
      <w:r w:rsidR="18DEE1CF">
        <w:rPr>
          <w:u w:val="none"/>
        </w:rPr>
        <w:t xml:space="preserve"> and Falender,2015)</w:t>
      </w:r>
      <w:r w:rsidR="18DEE1CF">
        <w:rPr>
          <w:u w:val="none"/>
        </w:rPr>
        <w:t>, allowing the counsellor to check in with their own values, beliefs and morals and how these can be challenged. Supervision incorporates evidence-based practice, such as in this essay the Cyclical Model of supervision, which allow the process to flow and acknowledge every aspect (Page and Wosket,2014) of what is going on in the therapy sessions, not only from the counsellors’ perspective but also the clients, looking at the attitudes, perceptions of behavior and attitudes that are focused on the client (</w:t>
      </w:r>
      <w:proofErr w:type="spellStart"/>
      <w:r w:rsidR="18DEE1CF">
        <w:rPr>
          <w:u w:val="none"/>
        </w:rPr>
        <w:t>Falender</w:t>
      </w:r>
      <w:proofErr w:type="spellEnd"/>
      <w:r w:rsidR="18DEE1CF">
        <w:rPr>
          <w:u w:val="none"/>
        </w:rPr>
        <w:t xml:space="preserve"> and Shafranske,2012). This management is also incorporated into moving forward with the client in sessions to gain a deeper understanding of what is really going on, what is being potentially missed. In a good supervision environment, where power imbalance and the supervisor and supervisees’ relationship are perceived as aligned where there is no mis treatment or criticism (Brody,1990; cited in </w:t>
      </w:r>
      <w:proofErr w:type="spellStart"/>
      <w:r w:rsidR="18DEE1CF">
        <w:rPr>
          <w:u w:val="none"/>
        </w:rPr>
        <w:t>Pakdaman</w:t>
      </w:r>
      <w:proofErr w:type="spellEnd"/>
      <w:r w:rsidR="18DEE1CF">
        <w:rPr>
          <w:u w:val="none"/>
        </w:rPr>
        <w:t xml:space="preserve">, </w:t>
      </w:r>
      <w:proofErr w:type="spellStart"/>
      <w:r w:rsidR="18DEE1CF">
        <w:rPr>
          <w:u w:val="none"/>
        </w:rPr>
        <w:t>Shafranske</w:t>
      </w:r>
      <w:proofErr w:type="spellEnd"/>
      <w:r w:rsidR="18DEE1CF">
        <w:rPr>
          <w:u w:val="none"/>
        </w:rPr>
        <w:t xml:space="preserve"> and Falender,2015)</w:t>
      </w:r>
      <w:r w:rsidR="18DEE1CF">
        <w:rPr>
          <w:u w:val="none"/>
        </w:rPr>
        <w:t>, but instead challenge and encouragement to feel confident in their empathetic ability within client therapy sessions, then the counsellor is able to explore the foundations of the therapeutic sessions. This builds around the notion of IPR, as mentioned, and how ‘surface issues’ (Cashwell,1994) can hinder therapeutic efforts and helps the counsellor to become more attuned in the counsellor and client relationship rather than from what is known to be diplomatic behavior, the counsellor being aware of  the ethics and principles they align themselves with to keep it a safe environment. The self-efficacy of the therapist (Morrison and Lent,2018) showing that the counsellors’ confidence in their own capabilities is relevant to their own position within the therapy sessions with clients but also their position within the supervision, how they are able to introduce therapeutic activities in the sessions and the comfort which is involved in doing so and the goal of choosing therapy as a career, all these factors of supervision provide a counsellor to develop and function to the best of their ability in therapy with their clients, to provide the foundations of important ethical working alliances’ through client work stemmed from their own practice and supervision.</w:t>
      </w:r>
    </w:p>
    <w:p w:rsidR="3F2FED01" w:rsidP="3F2FED01" w:rsidRDefault="3F2FED01" w14:paraId="4C4355A2" w14:textId="037FA7DF">
      <w:pPr>
        <w:pStyle w:val="Normal"/>
        <w:rPr>
          <w:u w:val="single"/>
        </w:rPr>
      </w:pPr>
    </w:p>
    <w:p xmlns:wp14="http://schemas.microsoft.com/office/word/2010/wordml" w:rsidP="18DEE1CF" w14:paraId="6C22DCD3" wp14:textId="493A370C">
      <w:pPr>
        <w:pStyle w:val="Normal"/>
        <w:rPr>
          <w:u w:val="single"/>
        </w:rPr>
      </w:pPr>
      <w:bookmarkStart w:name="_GoBack" w:id="0"/>
      <w:bookmarkEnd w:id="0"/>
    </w:p>
    <w:p xmlns:wp14="http://schemas.microsoft.com/office/word/2010/wordml" w:rsidP="18DEE1CF" w14:paraId="0CBBBB60" wp14:textId="26203809">
      <w:pPr>
        <w:pStyle w:val="Normal"/>
        <w:rPr>
          <w:u w:val="single"/>
        </w:rPr>
      </w:pPr>
    </w:p>
    <w:p xmlns:wp14="http://schemas.microsoft.com/office/word/2010/wordml" w:rsidP="18DEE1CF" w14:paraId="4C068583" wp14:textId="79410352">
      <w:pPr>
        <w:pStyle w:val="Normal"/>
        <w:rPr>
          <w:u w:val="single"/>
        </w:rPr>
      </w:pPr>
    </w:p>
    <w:p xmlns:wp14="http://schemas.microsoft.com/office/word/2010/wordml" w:rsidP="18DEE1CF" w14:paraId="3B3B3A3A" wp14:textId="77DC9779">
      <w:pPr>
        <w:pStyle w:val="Normal"/>
        <w:rPr>
          <w:u w:val="single"/>
        </w:rPr>
      </w:pPr>
    </w:p>
    <w:p xmlns:wp14="http://schemas.microsoft.com/office/word/2010/wordml" w:rsidP="18DEE1CF" w14:paraId="1A638DA3" wp14:textId="564B06AF">
      <w:pPr>
        <w:pStyle w:val="Normal"/>
        <w:rPr>
          <w:u w:val="single"/>
        </w:rPr>
      </w:pPr>
    </w:p>
    <w:p xmlns:wp14="http://schemas.microsoft.com/office/word/2010/wordml" w:rsidP="18DEE1CF" w14:paraId="2C078E63" wp14:textId="03BD3BDC">
      <w:pPr>
        <w:pStyle w:val="Normal"/>
        <w:rPr>
          <w:u w:val="single"/>
        </w:rPr>
      </w:pPr>
      <w:r w:rsidRPr="18DEE1CF" w:rsidR="18DEE1CF">
        <w:rPr>
          <w:u w:val="single"/>
        </w:rPr>
        <w:t>References</w:t>
      </w:r>
    </w:p>
    <w:p w:rsidR="18DEE1CF" w:rsidP="18DEE1CF" w:rsidRDefault="18DEE1CF" w14:paraId="67A5F301" w14:textId="7E16C099">
      <w:pPr>
        <w:pStyle w:val="Normal"/>
        <w:rPr>
          <w:u w:val="none"/>
        </w:rPr>
      </w:pPr>
      <w:r w:rsidR="18DEE1CF">
        <w:rPr>
          <w:u w:val="none"/>
        </w:rPr>
        <w:t xml:space="preserve">British Association for Counselling and Psychotherapy (2019) </w:t>
      </w:r>
      <w:r w:rsidRPr="18DEE1CF" w:rsidR="18DEE1CF">
        <w:rPr>
          <w:i w:val="1"/>
          <w:iCs w:val="1"/>
          <w:u w:val="none"/>
        </w:rPr>
        <w:t xml:space="preserve">Ethical Framework for the Counselling Professions. </w:t>
      </w:r>
      <w:r w:rsidRPr="18DEE1CF" w:rsidR="18DEE1CF">
        <w:rPr>
          <w:i w:val="0"/>
          <w:iCs w:val="0"/>
          <w:u w:val="none"/>
        </w:rPr>
        <w:t xml:space="preserve">Available at: </w:t>
      </w:r>
      <w:hyperlink r:id="R6cf38f280dee4d5a">
        <w:r w:rsidRPr="18DEE1CF" w:rsidR="18DEE1CF">
          <w:rPr>
            <w:rStyle w:val="Hyperlink"/>
            <w:rFonts w:ascii="Calibri" w:hAnsi="Calibri" w:eastAsia="Calibri" w:cs="Calibri"/>
            <w:noProof w:val="0"/>
            <w:sz w:val="22"/>
            <w:szCs w:val="22"/>
            <w:lang w:val="en-US"/>
          </w:rPr>
          <w:t>https://www.bacp.co.uk/events-and-resources/ethics-and-standards/ethical-framework-for-the-counselling-professions/</w:t>
        </w:r>
      </w:hyperlink>
      <w:r w:rsidRPr="18DEE1CF" w:rsidR="18DEE1CF">
        <w:rPr>
          <w:rFonts w:ascii="Calibri" w:hAnsi="Calibri" w:eastAsia="Calibri" w:cs="Calibri"/>
          <w:noProof w:val="0"/>
          <w:sz w:val="22"/>
          <w:szCs w:val="22"/>
          <w:lang w:val="en-US"/>
        </w:rPr>
        <w:t xml:space="preserve"> (Accessed on: 30</w:t>
      </w:r>
      <w:r w:rsidRPr="18DEE1CF" w:rsidR="18DEE1CF">
        <w:rPr>
          <w:rFonts w:ascii="Calibri" w:hAnsi="Calibri" w:eastAsia="Calibri" w:cs="Calibri"/>
          <w:noProof w:val="0"/>
          <w:sz w:val="22"/>
          <w:szCs w:val="22"/>
          <w:vertAlign w:val="superscript"/>
          <w:lang w:val="en-US"/>
        </w:rPr>
        <w:t>th</w:t>
      </w:r>
      <w:r w:rsidRPr="18DEE1CF" w:rsidR="18DEE1CF">
        <w:rPr>
          <w:rFonts w:ascii="Calibri" w:hAnsi="Calibri" w:eastAsia="Calibri" w:cs="Calibri"/>
          <w:noProof w:val="0"/>
          <w:sz w:val="22"/>
          <w:szCs w:val="22"/>
          <w:lang w:val="en-US"/>
        </w:rPr>
        <w:t xml:space="preserve"> April 2019).</w:t>
      </w:r>
    </w:p>
    <w:p w:rsidR="18DEE1CF" w:rsidP="18DEE1CF" w:rsidRDefault="18DEE1CF" w14:paraId="1CEE7D72" w14:textId="16EB23AF">
      <w:pPr>
        <w:pStyle w:val="Normal"/>
        <w:rPr>
          <w:u w:val="single"/>
        </w:rPr>
      </w:pPr>
      <w:r w:rsidR="18DEE1CF">
        <w:rPr>
          <w:u w:val="none"/>
        </w:rPr>
        <w:t xml:space="preserve">Arnaud, K.O. (2017) ‘Encountering the Wounded Healer: Parallel Process and Supervision’, </w:t>
      </w:r>
      <w:r w:rsidRPr="18DEE1CF" w:rsidR="18DEE1CF">
        <w:rPr>
          <w:i w:val="1"/>
          <w:iCs w:val="1"/>
          <w:u w:val="none"/>
        </w:rPr>
        <w:t xml:space="preserve">Canadian Journal of Counselling and Psychotherapy, </w:t>
      </w:r>
      <w:r w:rsidRPr="18DEE1CF" w:rsidR="18DEE1CF">
        <w:rPr>
          <w:i w:val="0"/>
          <w:iCs w:val="0"/>
          <w:u w:val="none"/>
        </w:rPr>
        <w:t>51 (2), pp.131-144.</w:t>
      </w:r>
    </w:p>
    <w:p w:rsidR="18DEE1CF" w:rsidP="18DEE1CF" w:rsidRDefault="18DEE1CF" w14:paraId="1FC89CBD" w14:textId="32CF277A">
      <w:pPr>
        <w:pStyle w:val="Normal"/>
        <w:rPr>
          <w:rFonts w:ascii="Calibri" w:hAnsi="Calibri" w:eastAsia="Calibri" w:cs="Calibri"/>
          <w:i w:val="0"/>
          <w:iCs w:val="0"/>
          <w:noProof w:val="0"/>
          <w:sz w:val="22"/>
          <w:szCs w:val="22"/>
          <w:lang w:val="en-US"/>
        </w:rPr>
      </w:pPr>
      <w:r w:rsidRPr="18DEE1CF" w:rsidR="18DEE1CF">
        <w:rPr>
          <w:rFonts w:ascii="Calibri" w:hAnsi="Calibri" w:eastAsia="Calibri" w:cs="Calibri"/>
          <w:i w:val="0"/>
          <w:iCs w:val="0"/>
          <w:noProof w:val="0"/>
          <w:sz w:val="22"/>
          <w:szCs w:val="22"/>
          <w:lang w:val="en-US"/>
        </w:rPr>
        <w:t xml:space="preserve">Cashwell, C.S. (1994) </w:t>
      </w:r>
      <w:r w:rsidRPr="18DEE1CF" w:rsidR="18DEE1CF">
        <w:rPr>
          <w:rFonts w:ascii="Calibri" w:hAnsi="Calibri" w:eastAsia="Calibri" w:cs="Calibri"/>
          <w:i w:val="1"/>
          <w:iCs w:val="1"/>
          <w:noProof w:val="0"/>
          <w:sz w:val="22"/>
          <w:szCs w:val="22"/>
          <w:lang w:val="en-US"/>
        </w:rPr>
        <w:t xml:space="preserve">Interpersonal Process Recall. </w:t>
      </w:r>
      <w:r w:rsidRPr="18DEE1CF" w:rsidR="18DEE1CF">
        <w:rPr>
          <w:rFonts w:ascii="Calibri" w:hAnsi="Calibri" w:eastAsia="Calibri" w:cs="Calibri"/>
          <w:i w:val="0"/>
          <w:iCs w:val="0"/>
          <w:noProof w:val="0"/>
          <w:sz w:val="22"/>
          <w:szCs w:val="22"/>
          <w:lang w:val="en-US"/>
        </w:rPr>
        <w:t xml:space="preserve">Available at: </w:t>
      </w:r>
      <w:hyperlink r:id="R50f766a269a4467b">
        <w:r w:rsidRPr="18DEE1CF" w:rsidR="18DEE1CF">
          <w:rPr>
            <w:rStyle w:val="Hyperlink"/>
            <w:rFonts w:ascii="Calibri" w:hAnsi="Calibri" w:eastAsia="Calibri" w:cs="Calibri"/>
            <w:i w:val="0"/>
            <w:iCs w:val="0"/>
            <w:noProof w:val="0"/>
            <w:sz w:val="22"/>
            <w:szCs w:val="22"/>
            <w:lang w:val="en-US"/>
          </w:rPr>
          <w:t>https://www.counseling.org/Resources/Library/ERIC%20Digests/94-10.pdf</w:t>
        </w:r>
      </w:hyperlink>
      <w:r w:rsidRPr="18DEE1CF" w:rsidR="18DEE1CF">
        <w:rPr>
          <w:rFonts w:ascii="Calibri" w:hAnsi="Calibri" w:eastAsia="Calibri" w:cs="Calibri"/>
          <w:i w:val="0"/>
          <w:iCs w:val="0"/>
          <w:noProof w:val="0"/>
          <w:sz w:val="22"/>
          <w:szCs w:val="22"/>
          <w:lang w:val="en-US"/>
        </w:rPr>
        <w:t xml:space="preserve"> (Accessed on: 30</w:t>
      </w:r>
      <w:r w:rsidRPr="18DEE1CF" w:rsidR="18DEE1CF">
        <w:rPr>
          <w:rFonts w:ascii="Calibri" w:hAnsi="Calibri" w:eastAsia="Calibri" w:cs="Calibri"/>
          <w:i w:val="0"/>
          <w:iCs w:val="0"/>
          <w:noProof w:val="0"/>
          <w:sz w:val="22"/>
          <w:szCs w:val="22"/>
          <w:vertAlign w:val="superscript"/>
          <w:lang w:val="en-US"/>
        </w:rPr>
        <w:t>th</w:t>
      </w:r>
      <w:r w:rsidRPr="18DEE1CF" w:rsidR="18DEE1CF">
        <w:rPr>
          <w:rFonts w:ascii="Calibri" w:hAnsi="Calibri" w:eastAsia="Calibri" w:cs="Calibri"/>
          <w:i w:val="0"/>
          <w:iCs w:val="0"/>
          <w:noProof w:val="0"/>
          <w:sz w:val="22"/>
          <w:szCs w:val="22"/>
          <w:lang w:val="en-US"/>
        </w:rPr>
        <w:t xml:space="preserve"> April 2019).</w:t>
      </w:r>
    </w:p>
    <w:p w:rsidR="18DEE1CF" w:rsidP="18DEE1CF" w:rsidRDefault="18DEE1CF" w14:paraId="58D15EB6" w14:textId="7D2FCF29">
      <w:pPr>
        <w:pStyle w:val="Normal"/>
        <w:rPr>
          <w:i w:val="0"/>
          <w:iCs w:val="0"/>
          <w:u w:val="none"/>
        </w:rPr>
      </w:pPr>
      <w:proofErr w:type="spellStart"/>
      <w:r w:rsidRPr="18DEE1CF" w:rsidR="18DEE1CF">
        <w:rPr>
          <w:i w:val="0"/>
          <w:iCs w:val="0"/>
          <w:u w:val="none"/>
        </w:rPr>
        <w:t>Falender</w:t>
      </w:r>
      <w:proofErr w:type="spellEnd"/>
      <w:r w:rsidRPr="18DEE1CF" w:rsidR="18DEE1CF">
        <w:rPr>
          <w:i w:val="0"/>
          <w:iCs w:val="0"/>
          <w:u w:val="none"/>
        </w:rPr>
        <w:t xml:space="preserve">, C. and </w:t>
      </w:r>
      <w:proofErr w:type="spellStart"/>
      <w:r w:rsidRPr="18DEE1CF" w:rsidR="18DEE1CF">
        <w:rPr>
          <w:i w:val="0"/>
          <w:iCs w:val="0"/>
          <w:u w:val="none"/>
        </w:rPr>
        <w:t>Shafranske</w:t>
      </w:r>
      <w:proofErr w:type="spellEnd"/>
      <w:r w:rsidRPr="18DEE1CF" w:rsidR="18DEE1CF">
        <w:rPr>
          <w:i w:val="0"/>
          <w:iCs w:val="0"/>
          <w:u w:val="none"/>
        </w:rPr>
        <w:t xml:space="preserve">, E. (2012) ‘The Importance of Competency-based Clinical Supervision and Training in the Twenty-first Century: Why Bother?’, </w:t>
      </w:r>
      <w:r w:rsidRPr="18DEE1CF" w:rsidR="18DEE1CF">
        <w:rPr>
          <w:i w:val="1"/>
          <w:iCs w:val="1"/>
          <w:u w:val="none"/>
        </w:rPr>
        <w:t xml:space="preserve">Journal of Contemporary Psychotherapy, </w:t>
      </w:r>
      <w:r w:rsidRPr="18DEE1CF" w:rsidR="18DEE1CF">
        <w:rPr>
          <w:i w:val="0"/>
          <w:iCs w:val="0"/>
          <w:u w:val="none"/>
        </w:rPr>
        <w:t>42 (3), pp.1-9.</w:t>
      </w:r>
    </w:p>
    <w:p w:rsidR="18DEE1CF" w:rsidP="18DEE1CF" w:rsidRDefault="18DEE1CF" w14:paraId="3D3EBE94" w14:textId="74D09A50">
      <w:pPr>
        <w:pStyle w:val="Normal"/>
        <w:rPr>
          <w:rFonts w:ascii="Calibri" w:hAnsi="Calibri" w:eastAsia="Calibri" w:cs="Calibri"/>
          <w:i w:val="0"/>
          <w:iCs w:val="0"/>
          <w:noProof w:val="0"/>
          <w:sz w:val="22"/>
          <w:szCs w:val="22"/>
          <w:lang w:val="en-US"/>
        </w:rPr>
      </w:pPr>
      <w:r w:rsidRPr="18DEE1CF" w:rsidR="18DEE1CF">
        <w:rPr>
          <w:rFonts w:ascii="Calibri" w:hAnsi="Calibri" w:eastAsia="Calibri" w:cs="Calibri"/>
          <w:noProof w:val="0"/>
          <w:sz w:val="22"/>
          <w:szCs w:val="22"/>
          <w:lang w:val="en-US"/>
        </w:rPr>
        <w:t xml:space="preserve">Granello, D.H. and </w:t>
      </w:r>
      <w:proofErr w:type="spellStart"/>
      <w:r w:rsidRPr="18DEE1CF" w:rsidR="18DEE1CF">
        <w:rPr>
          <w:rFonts w:ascii="Calibri" w:hAnsi="Calibri" w:eastAsia="Calibri" w:cs="Calibri"/>
          <w:noProof w:val="0"/>
          <w:sz w:val="22"/>
          <w:szCs w:val="22"/>
          <w:lang w:val="en-US"/>
        </w:rPr>
        <w:t>Underfer-Babalis</w:t>
      </w:r>
      <w:proofErr w:type="spellEnd"/>
      <w:r w:rsidRPr="18DEE1CF" w:rsidR="18DEE1CF">
        <w:rPr>
          <w:rFonts w:ascii="Calibri" w:hAnsi="Calibri" w:eastAsia="Calibri" w:cs="Calibri"/>
          <w:noProof w:val="0"/>
          <w:sz w:val="22"/>
          <w:szCs w:val="22"/>
          <w:lang w:val="en-US"/>
        </w:rPr>
        <w:t xml:space="preserve">, J. (2004) ‘Supervision of Group Work: A Model to Increase Supervisee Cognitive Complexity’, </w:t>
      </w:r>
      <w:r w:rsidRPr="18DEE1CF" w:rsidR="18DEE1CF">
        <w:rPr>
          <w:rFonts w:ascii="Calibri" w:hAnsi="Calibri" w:eastAsia="Calibri" w:cs="Calibri"/>
          <w:i w:val="1"/>
          <w:iCs w:val="1"/>
          <w:noProof w:val="0"/>
          <w:sz w:val="22"/>
          <w:szCs w:val="22"/>
          <w:lang w:val="en-US"/>
        </w:rPr>
        <w:t xml:space="preserve">The Journal for Specialists in Group Work, </w:t>
      </w:r>
      <w:r w:rsidRPr="18DEE1CF" w:rsidR="18DEE1CF">
        <w:rPr>
          <w:rFonts w:ascii="Calibri" w:hAnsi="Calibri" w:eastAsia="Calibri" w:cs="Calibri"/>
          <w:i w:val="0"/>
          <w:iCs w:val="0"/>
          <w:noProof w:val="0"/>
          <w:sz w:val="22"/>
          <w:szCs w:val="22"/>
          <w:lang w:val="en-US"/>
        </w:rPr>
        <w:t>29 (2), pp.159-173</w:t>
      </w:r>
    </w:p>
    <w:p w:rsidR="18DEE1CF" w:rsidP="18DEE1CF" w:rsidRDefault="18DEE1CF" w14:paraId="5D8EE135" w14:textId="0EA7D3BE">
      <w:pPr>
        <w:pStyle w:val="Normal"/>
        <w:rPr>
          <w:i w:val="0"/>
          <w:iCs w:val="0"/>
          <w:u w:val="none"/>
        </w:rPr>
      </w:pPr>
      <w:proofErr w:type="spellStart"/>
      <w:r w:rsidRPr="18DEE1CF" w:rsidR="18DEE1CF">
        <w:rPr>
          <w:i w:val="0"/>
          <w:iCs w:val="0"/>
          <w:u w:val="none"/>
        </w:rPr>
        <w:t>Grazola</w:t>
      </w:r>
      <w:proofErr w:type="spellEnd"/>
      <w:r w:rsidRPr="18DEE1CF" w:rsidR="18DEE1CF">
        <w:rPr>
          <w:i w:val="0"/>
          <w:iCs w:val="0"/>
          <w:u w:val="none"/>
        </w:rPr>
        <w:t xml:space="preserve">, N. and </w:t>
      </w:r>
      <w:proofErr w:type="spellStart"/>
      <w:r w:rsidRPr="18DEE1CF" w:rsidR="18DEE1CF">
        <w:rPr>
          <w:i w:val="0"/>
          <w:iCs w:val="0"/>
          <w:u w:val="none"/>
        </w:rPr>
        <w:t>Thériault</w:t>
      </w:r>
      <w:proofErr w:type="spellEnd"/>
      <w:r w:rsidRPr="18DEE1CF" w:rsidR="18DEE1CF">
        <w:rPr>
          <w:i w:val="0"/>
          <w:iCs w:val="0"/>
          <w:u w:val="none"/>
        </w:rPr>
        <w:t xml:space="preserve">, A. (2007) ‘Relational Themes in Counselling Supervision: Broadening and Narrowing Processes’, </w:t>
      </w:r>
      <w:r w:rsidRPr="18DEE1CF" w:rsidR="18DEE1CF">
        <w:rPr>
          <w:i w:val="1"/>
          <w:iCs w:val="1"/>
          <w:u w:val="none"/>
        </w:rPr>
        <w:t xml:space="preserve">Canadian Journal of Counselling, </w:t>
      </w:r>
      <w:r w:rsidRPr="18DEE1CF" w:rsidR="18DEE1CF">
        <w:rPr>
          <w:i w:val="0"/>
          <w:iCs w:val="0"/>
          <w:u w:val="none"/>
        </w:rPr>
        <w:t>41 (4), pp. 228-243.</w:t>
      </w:r>
    </w:p>
    <w:p w:rsidR="18DEE1CF" w:rsidP="18DEE1CF" w:rsidRDefault="18DEE1CF" w14:paraId="5095EF26" w14:textId="2B889967">
      <w:pPr>
        <w:pStyle w:val="Normal"/>
      </w:pPr>
      <w:r w:rsidRPr="18DEE1CF" w:rsidR="18DEE1CF">
        <w:rPr>
          <w:rFonts w:ascii="Calibri" w:hAnsi="Calibri" w:eastAsia="Calibri" w:cs="Calibri"/>
          <w:noProof w:val="0"/>
          <w:sz w:val="22"/>
          <w:szCs w:val="22"/>
          <w:lang w:val="en-GB"/>
        </w:rPr>
        <w:t xml:space="preserve">Kirschenbaum, H. and Henderson, V.L. (1990) </w:t>
      </w:r>
      <w:r w:rsidRPr="18DEE1CF" w:rsidR="18DEE1CF">
        <w:rPr>
          <w:rFonts w:ascii="Calibri" w:hAnsi="Calibri" w:eastAsia="Calibri" w:cs="Calibri"/>
          <w:i w:val="1"/>
          <w:iCs w:val="1"/>
          <w:noProof w:val="0"/>
          <w:sz w:val="22"/>
          <w:szCs w:val="22"/>
          <w:lang w:val="en-GB"/>
        </w:rPr>
        <w:t>The Carl Rogers Reader.</w:t>
      </w:r>
      <w:r w:rsidRPr="18DEE1CF" w:rsidR="18DEE1CF">
        <w:rPr>
          <w:rFonts w:ascii="Calibri" w:hAnsi="Calibri" w:eastAsia="Calibri" w:cs="Calibri"/>
          <w:noProof w:val="0"/>
          <w:sz w:val="22"/>
          <w:szCs w:val="22"/>
          <w:lang w:val="en-GB"/>
        </w:rPr>
        <w:t xml:space="preserve"> Robinson.</w:t>
      </w:r>
    </w:p>
    <w:p w:rsidR="18DEE1CF" w:rsidP="18DEE1CF" w:rsidRDefault="18DEE1CF" w14:paraId="3A3B47DE" w14:textId="2FFA2AEB">
      <w:pPr>
        <w:pStyle w:val="Normal"/>
        <w:rPr>
          <w:rFonts w:ascii="Calibri" w:hAnsi="Calibri" w:eastAsia="Calibri" w:cs="Calibri"/>
          <w:i w:val="0"/>
          <w:iCs w:val="0"/>
          <w:noProof w:val="0"/>
          <w:sz w:val="22"/>
          <w:szCs w:val="22"/>
          <w:lang w:val="en-US"/>
        </w:rPr>
      </w:pPr>
      <w:r w:rsidRPr="18DEE1CF" w:rsidR="18DEE1CF">
        <w:rPr>
          <w:rFonts w:ascii="Calibri" w:hAnsi="Calibri" w:eastAsia="Calibri" w:cs="Calibri"/>
          <w:i w:val="0"/>
          <w:iCs w:val="0"/>
          <w:noProof w:val="0"/>
          <w:sz w:val="22"/>
          <w:szCs w:val="22"/>
          <w:lang w:val="en-US"/>
        </w:rPr>
        <w:t xml:space="preserve">Morrison, A.M. and Lent, R.W. (2018) ‘The Working Alliance: Beliefs About the Supervisor, and Counseling Self-Efficacy: Applying the Relational </w:t>
      </w:r>
      <w:proofErr w:type="spellStart"/>
      <w:r w:rsidRPr="18DEE1CF" w:rsidR="18DEE1CF">
        <w:rPr>
          <w:rFonts w:ascii="Calibri" w:hAnsi="Calibri" w:eastAsia="Calibri" w:cs="Calibri"/>
          <w:i w:val="0"/>
          <w:iCs w:val="0"/>
          <w:noProof w:val="0"/>
          <w:sz w:val="22"/>
          <w:szCs w:val="22"/>
          <w:lang w:val="en-US"/>
        </w:rPr>
        <w:t>Efficicacy</w:t>
      </w:r>
      <w:proofErr w:type="spellEnd"/>
      <w:r w:rsidRPr="18DEE1CF" w:rsidR="18DEE1CF">
        <w:rPr>
          <w:rFonts w:ascii="Calibri" w:hAnsi="Calibri" w:eastAsia="Calibri" w:cs="Calibri"/>
          <w:i w:val="0"/>
          <w:iCs w:val="0"/>
          <w:noProof w:val="0"/>
          <w:sz w:val="22"/>
          <w:szCs w:val="22"/>
          <w:lang w:val="en-US"/>
        </w:rPr>
        <w:t xml:space="preserve"> Model to Counselor Supervision’, </w:t>
      </w:r>
      <w:r w:rsidRPr="18DEE1CF" w:rsidR="18DEE1CF">
        <w:rPr>
          <w:rFonts w:ascii="Calibri" w:hAnsi="Calibri" w:eastAsia="Calibri" w:cs="Calibri"/>
          <w:i w:val="1"/>
          <w:iCs w:val="1"/>
          <w:noProof w:val="0"/>
          <w:sz w:val="22"/>
          <w:szCs w:val="22"/>
          <w:lang w:val="en-US"/>
        </w:rPr>
        <w:t xml:space="preserve">Journal of Counselling Psychology, </w:t>
      </w:r>
      <w:r w:rsidRPr="18DEE1CF" w:rsidR="18DEE1CF">
        <w:rPr>
          <w:rFonts w:ascii="Calibri" w:hAnsi="Calibri" w:eastAsia="Calibri" w:cs="Calibri"/>
          <w:i w:val="0"/>
          <w:iCs w:val="0"/>
          <w:noProof w:val="0"/>
          <w:sz w:val="22"/>
          <w:szCs w:val="22"/>
          <w:lang w:val="en-US"/>
        </w:rPr>
        <w:t>65 (4), pp. 512-522.</w:t>
      </w:r>
    </w:p>
    <w:p w:rsidR="18DEE1CF" w:rsidP="18DEE1CF" w:rsidRDefault="18DEE1CF" w14:paraId="4BC76E7E" w14:textId="00B02CEA">
      <w:pPr>
        <w:pStyle w:val="Normal"/>
        <w:rPr>
          <w:rFonts w:ascii="Calibri" w:hAnsi="Calibri" w:eastAsia="Calibri" w:cs="Calibri"/>
          <w:noProof w:val="0"/>
          <w:sz w:val="22"/>
          <w:szCs w:val="22"/>
          <w:lang w:val="en-US"/>
        </w:rPr>
      </w:pPr>
      <w:r w:rsidRPr="18DEE1CF" w:rsidR="18DEE1CF">
        <w:rPr>
          <w:rFonts w:ascii="Calibri" w:hAnsi="Calibri" w:eastAsia="Calibri" w:cs="Calibri"/>
          <w:noProof w:val="0"/>
          <w:sz w:val="22"/>
          <w:szCs w:val="22"/>
          <w:lang w:val="en-US"/>
        </w:rPr>
        <w:t xml:space="preserve">Page, S. and </w:t>
      </w:r>
      <w:r w:rsidRPr="18DEE1CF" w:rsidR="18DEE1CF">
        <w:rPr>
          <w:rFonts w:ascii="Calibri" w:hAnsi="Calibri" w:eastAsia="Calibri" w:cs="Calibri"/>
          <w:noProof w:val="0"/>
          <w:sz w:val="22"/>
          <w:szCs w:val="22"/>
          <w:lang w:val="en-US"/>
        </w:rPr>
        <w:t>Wosket</w:t>
      </w:r>
      <w:r w:rsidRPr="18DEE1CF" w:rsidR="18DEE1CF">
        <w:rPr>
          <w:rFonts w:ascii="Calibri" w:hAnsi="Calibri" w:eastAsia="Calibri" w:cs="Calibri"/>
          <w:noProof w:val="0"/>
          <w:sz w:val="22"/>
          <w:szCs w:val="22"/>
          <w:lang w:val="en-US"/>
        </w:rPr>
        <w:t>, V. (2014)</w:t>
      </w:r>
      <w:r w:rsidRPr="18DEE1CF" w:rsidR="18DEE1CF">
        <w:rPr>
          <w:rFonts w:ascii="Calibri" w:hAnsi="Calibri" w:eastAsia="Calibri" w:cs="Calibri"/>
          <w:i w:val="1"/>
          <w:iCs w:val="1"/>
          <w:noProof w:val="0"/>
          <w:sz w:val="22"/>
          <w:szCs w:val="22"/>
          <w:lang w:val="en-US"/>
        </w:rPr>
        <w:t xml:space="preserve"> Supervising the Counsellor and Psychotherapist: A cyclical Model. </w:t>
      </w:r>
      <w:r w:rsidRPr="18DEE1CF" w:rsidR="18DEE1CF">
        <w:rPr>
          <w:rFonts w:ascii="Calibri" w:hAnsi="Calibri" w:eastAsia="Calibri" w:cs="Calibri"/>
          <w:i w:val="0"/>
          <w:iCs w:val="0"/>
          <w:noProof w:val="0"/>
          <w:sz w:val="22"/>
          <w:szCs w:val="22"/>
          <w:lang w:val="en-US"/>
        </w:rPr>
        <w:t>3</w:t>
      </w:r>
      <w:r w:rsidRPr="18DEE1CF" w:rsidR="18DEE1CF">
        <w:rPr>
          <w:rFonts w:ascii="Calibri" w:hAnsi="Calibri" w:eastAsia="Calibri" w:cs="Calibri"/>
          <w:i w:val="0"/>
          <w:iCs w:val="0"/>
          <w:noProof w:val="0"/>
          <w:sz w:val="22"/>
          <w:szCs w:val="22"/>
          <w:vertAlign w:val="superscript"/>
          <w:lang w:val="en-US"/>
        </w:rPr>
        <w:t>rd</w:t>
      </w:r>
      <w:r w:rsidRPr="18DEE1CF" w:rsidR="18DEE1CF">
        <w:rPr>
          <w:rFonts w:ascii="Calibri" w:hAnsi="Calibri" w:eastAsia="Calibri" w:cs="Calibri"/>
          <w:i w:val="0"/>
          <w:iCs w:val="0"/>
          <w:noProof w:val="0"/>
          <w:sz w:val="22"/>
          <w:szCs w:val="22"/>
          <w:lang w:val="en-US"/>
        </w:rPr>
        <w:t xml:space="preserve"> ed, Routledge.</w:t>
      </w:r>
    </w:p>
    <w:p w:rsidR="18DEE1CF" w:rsidP="18DEE1CF" w:rsidRDefault="18DEE1CF" w14:paraId="4B5ECA7A" w14:textId="07E9C255">
      <w:pPr>
        <w:pStyle w:val="Normal"/>
        <w:rPr>
          <w:i w:val="0"/>
          <w:iCs w:val="0"/>
          <w:u w:val="none"/>
        </w:rPr>
      </w:pPr>
      <w:r w:rsidRPr="18DEE1CF" w:rsidR="18DEE1CF">
        <w:rPr>
          <w:i w:val="0"/>
          <w:iCs w:val="0"/>
          <w:u w:val="none"/>
        </w:rPr>
        <w:t xml:space="preserve">Pakdaman, S. and </w:t>
      </w:r>
      <w:proofErr w:type="spellStart"/>
      <w:r w:rsidRPr="18DEE1CF" w:rsidR="18DEE1CF">
        <w:rPr>
          <w:i w:val="0"/>
          <w:iCs w:val="0"/>
          <w:u w:val="none"/>
        </w:rPr>
        <w:t>Shafranske</w:t>
      </w:r>
      <w:proofErr w:type="spellEnd"/>
      <w:r w:rsidRPr="18DEE1CF" w:rsidR="18DEE1CF">
        <w:rPr>
          <w:i w:val="0"/>
          <w:iCs w:val="0"/>
          <w:u w:val="none"/>
        </w:rPr>
        <w:t xml:space="preserve">, E. and </w:t>
      </w:r>
      <w:proofErr w:type="spellStart"/>
      <w:r w:rsidRPr="18DEE1CF" w:rsidR="18DEE1CF">
        <w:rPr>
          <w:i w:val="0"/>
          <w:iCs w:val="0"/>
          <w:u w:val="none"/>
        </w:rPr>
        <w:t>Falender</w:t>
      </w:r>
      <w:proofErr w:type="spellEnd"/>
      <w:r w:rsidRPr="18DEE1CF" w:rsidR="18DEE1CF">
        <w:rPr>
          <w:i w:val="0"/>
          <w:iCs w:val="0"/>
          <w:u w:val="none"/>
        </w:rPr>
        <w:t>, C. (2015) ‘Ethics in Supervision: Consideration of the Supervisory Alliance and Countertransference Management of Psychology Doctoral Students’,</w:t>
      </w:r>
      <w:r w:rsidRPr="18DEE1CF" w:rsidR="18DEE1CF">
        <w:rPr>
          <w:i w:val="1"/>
          <w:iCs w:val="1"/>
          <w:u w:val="none"/>
        </w:rPr>
        <w:t xml:space="preserve"> Journal of Ethics and Behavior,</w:t>
      </w:r>
      <w:r w:rsidRPr="18DEE1CF" w:rsidR="18DEE1CF">
        <w:rPr>
          <w:i w:val="0"/>
          <w:iCs w:val="0"/>
          <w:u w:val="none"/>
        </w:rPr>
        <w:t xml:space="preserve"> 25 (5), pp.427-441.</w:t>
      </w:r>
    </w:p>
    <w:p w:rsidR="3F2FED01" w:rsidP="3F2FED01" w:rsidRDefault="3F2FED01" w14:paraId="675103F3" w14:textId="09AA71F9">
      <w:pPr>
        <w:pStyle w:val="Normal"/>
      </w:pPr>
      <w:r w:rsidRPr="18DEE1CF" w:rsidR="18DEE1CF">
        <w:rPr>
          <w:rFonts w:ascii="Calibri" w:hAnsi="Calibri" w:eastAsia="Calibri" w:cs="Calibri"/>
          <w:noProof w:val="0"/>
          <w:sz w:val="22"/>
          <w:szCs w:val="22"/>
          <w:lang w:val="en-US"/>
        </w:rPr>
        <w:t xml:space="preserve">Stefano, J.D. and </w:t>
      </w:r>
      <w:proofErr w:type="spellStart"/>
      <w:r w:rsidRPr="18DEE1CF" w:rsidR="18DEE1CF">
        <w:rPr>
          <w:rFonts w:ascii="Calibri" w:hAnsi="Calibri" w:eastAsia="Calibri" w:cs="Calibri"/>
          <w:noProof w:val="0"/>
          <w:sz w:val="22"/>
          <w:szCs w:val="22"/>
          <w:lang w:val="en-US"/>
        </w:rPr>
        <w:t>Hutman</w:t>
      </w:r>
      <w:proofErr w:type="spellEnd"/>
      <w:r w:rsidRPr="18DEE1CF" w:rsidR="18DEE1CF">
        <w:rPr>
          <w:rFonts w:ascii="Calibri" w:hAnsi="Calibri" w:eastAsia="Calibri" w:cs="Calibri"/>
          <w:noProof w:val="0"/>
          <w:sz w:val="22"/>
          <w:szCs w:val="22"/>
          <w:lang w:val="en-US"/>
        </w:rPr>
        <w:t xml:space="preserve">, H. and Gazzola, N. (2017) </w:t>
      </w:r>
      <w:r w:rsidRPr="18DEE1CF" w:rsidR="18DEE1CF">
        <w:rPr>
          <w:rFonts w:ascii="Calibri" w:hAnsi="Calibri" w:eastAsia="Calibri" w:cs="Calibri"/>
          <w:i w:val="1"/>
          <w:iCs w:val="1"/>
          <w:noProof w:val="0"/>
          <w:sz w:val="22"/>
          <w:szCs w:val="22"/>
          <w:lang w:val="en-US"/>
        </w:rPr>
        <w:t xml:space="preserve">Putting on the face: A qualitative study of power dynamics in clinical supervision. </w:t>
      </w:r>
      <w:r w:rsidRPr="18DEE1CF" w:rsidR="18DEE1CF">
        <w:rPr>
          <w:rFonts w:ascii="Calibri" w:hAnsi="Calibri" w:eastAsia="Calibri" w:cs="Calibri"/>
          <w:i w:val="0"/>
          <w:iCs w:val="0"/>
          <w:noProof w:val="0"/>
          <w:sz w:val="22"/>
          <w:szCs w:val="22"/>
          <w:lang w:val="en-US"/>
        </w:rPr>
        <w:t xml:space="preserve">Available at: </w:t>
      </w:r>
      <w:hyperlink r:id="R7ade92a9767c44db">
        <w:r w:rsidRPr="18DEE1CF" w:rsidR="18DEE1CF">
          <w:rPr>
            <w:rStyle w:val="Hyperlink"/>
            <w:rFonts w:ascii="Calibri" w:hAnsi="Calibri" w:eastAsia="Calibri" w:cs="Calibri"/>
            <w:noProof w:val="0"/>
            <w:sz w:val="22"/>
            <w:szCs w:val="22"/>
            <w:lang w:val="en-US"/>
          </w:rPr>
          <w:t>https://www.tandfonline.com/doi/full/10.1080/07325223.2017.1295893?src=recsys</w:t>
        </w:r>
      </w:hyperlink>
      <w:r w:rsidRPr="18DEE1CF" w:rsidR="18DEE1CF">
        <w:rPr>
          <w:rFonts w:ascii="Calibri" w:hAnsi="Calibri" w:eastAsia="Calibri" w:cs="Calibri"/>
          <w:noProof w:val="0"/>
          <w:sz w:val="22"/>
          <w:szCs w:val="22"/>
          <w:lang w:val="en-US"/>
        </w:rPr>
        <w:t xml:space="preserve"> (Accessed on: 30</w:t>
      </w:r>
      <w:r w:rsidRPr="18DEE1CF" w:rsidR="18DEE1CF">
        <w:rPr>
          <w:rFonts w:ascii="Calibri" w:hAnsi="Calibri" w:eastAsia="Calibri" w:cs="Calibri"/>
          <w:noProof w:val="0"/>
          <w:sz w:val="22"/>
          <w:szCs w:val="22"/>
          <w:vertAlign w:val="superscript"/>
          <w:lang w:val="en-US"/>
        </w:rPr>
        <w:t>th</w:t>
      </w:r>
      <w:r w:rsidRPr="18DEE1CF" w:rsidR="18DEE1CF">
        <w:rPr>
          <w:rFonts w:ascii="Calibri" w:hAnsi="Calibri" w:eastAsia="Calibri" w:cs="Calibri"/>
          <w:noProof w:val="0"/>
          <w:sz w:val="22"/>
          <w:szCs w:val="22"/>
          <w:lang w:val="en-US"/>
        </w:rPr>
        <w:t xml:space="preserve"> April 2019).</w:t>
      </w:r>
    </w:p>
    <w:p w:rsidR="18DEE1CF" w:rsidP="18DEE1CF" w:rsidRDefault="18DEE1CF" w14:paraId="517CBDC3" w14:textId="13CF8C0F">
      <w:pPr>
        <w:pStyle w:val="Normal"/>
        <w:rPr>
          <w:rFonts w:ascii="Calibri" w:hAnsi="Calibri" w:eastAsia="Calibri" w:cs="Calibri"/>
          <w:i w:val="1"/>
          <w:iCs w:val="1"/>
          <w:noProof w:val="0"/>
          <w:sz w:val="22"/>
          <w:szCs w:val="22"/>
          <w:lang w:val="en-US"/>
        </w:rPr>
      </w:pPr>
      <w:r w:rsidRPr="18DEE1CF" w:rsidR="18DEE1CF">
        <w:rPr>
          <w:rFonts w:ascii="Calibri" w:hAnsi="Calibri" w:eastAsia="Calibri" w:cs="Calibri"/>
          <w:i w:val="0"/>
          <w:iCs w:val="0"/>
          <w:noProof w:val="0"/>
          <w:sz w:val="22"/>
          <w:szCs w:val="22"/>
          <w:lang w:val="en-US"/>
        </w:rPr>
        <w:t xml:space="preserve">Watkins, C.E. (2017) ‘Reconsidering Parallel Process in Psychotherapy Supervision: On Parsimony, Rival Hypothesis, and Alternate Explanations’, </w:t>
      </w:r>
      <w:r w:rsidRPr="18DEE1CF" w:rsidR="18DEE1CF">
        <w:rPr>
          <w:rFonts w:ascii="Calibri" w:hAnsi="Calibri" w:eastAsia="Calibri" w:cs="Calibri"/>
          <w:i w:val="1"/>
          <w:iCs w:val="1"/>
          <w:noProof w:val="0"/>
          <w:sz w:val="22"/>
          <w:szCs w:val="22"/>
          <w:lang w:val="en-US"/>
        </w:rPr>
        <w:t xml:space="preserve">American Psychological Association, </w:t>
      </w:r>
      <w:r w:rsidRPr="18DEE1CF" w:rsidR="18DEE1CF">
        <w:rPr>
          <w:rFonts w:ascii="Calibri" w:hAnsi="Calibri" w:eastAsia="Calibri" w:cs="Calibri"/>
          <w:i w:val="0"/>
          <w:iCs w:val="0"/>
          <w:noProof w:val="0"/>
          <w:sz w:val="22"/>
          <w:szCs w:val="22"/>
          <w:lang w:val="en-US"/>
        </w:rPr>
        <w:t>34 (4), pp.506-515.</w:t>
      </w:r>
    </w:p>
    <w:p w:rsidR="18DEE1CF" w:rsidP="18DEE1CF" w:rsidRDefault="18DEE1CF" w14:paraId="218EB738" w14:textId="02CAA441">
      <w:pPr>
        <w:pStyle w:val="Normal"/>
        <w:rPr>
          <w:rFonts w:ascii="Calibri" w:hAnsi="Calibri" w:eastAsia="Calibri" w:cs="Calibri"/>
          <w:noProof w:val="0"/>
          <w:sz w:val="22"/>
          <w:szCs w:val="22"/>
          <w:lang w:val="en-US"/>
        </w:rPr>
      </w:pPr>
      <w:r w:rsidRPr="18DEE1CF" w:rsidR="18DEE1CF">
        <w:rPr>
          <w:rFonts w:ascii="Calibri" w:hAnsi="Calibri" w:eastAsia="Calibri" w:cs="Calibri"/>
          <w:noProof w:val="0"/>
          <w:sz w:val="22"/>
          <w:szCs w:val="22"/>
          <w:lang w:val="en-US"/>
        </w:rPr>
        <w:t xml:space="preserve">Waugaman, R. M. (2015) ‘Searles’s Discovery of the Parallel Process in Supervision’, </w:t>
      </w:r>
      <w:r w:rsidRPr="18DEE1CF" w:rsidR="18DEE1CF">
        <w:rPr>
          <w:rFonts w:ascii="Calibri" w:hAnsi="Calibri" w:eastAsia="Calibri" w:cs="Calibri"/>
          <w:i w:val="1"/>
          <w:iCs w:val="1"/>
          <w:noProof w:val="0"/>
          <w:sz w:val="22"/>
          <w:szCs w:val="22"/>
          <w:lang w:val="en-US"/>
        </w:rPr>
        <w:t xml:space="preserve">Washington School of Psychiatry, </w:t>
      </w:r>
      <w:r w:rsidRPr="18DEE1CF" w:rsidR="18DEE1CF">
        <w:rPr>
          <w:rFonts w:ascii="Calibri" w:hAnsi="Calibri" w:eastAsia="Calibri" w:cs="Calibri"/>
          <w:i w:val="0"/>
          <w:iCs w:val="0"/>
          <w:noProof w:val="0"/>
          <w:sz w:val="22"/>
          <w:szCs w:val="22"/>
          <w:lang w:val="en-US"/>
        </w:rPr>
        <w:t>78, pp.225-230.</w:t>
      </w: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4:docId w14:val="4E0B41A9"/>
  <w15:docId w15:val="{c3ce9ab2-4baf-4b4e-9a1b-e1b4c1ea9adf}"/>
  <w:rsids>
    <w:rsidRoot w:val="4E0B41A9"/>
    <w:rsid w:val="18DEE1CF"/>
    <w:rsid w:val="3F2FED01"/>
    <w:rsid w:val="4E0B41A9"/>
  </w:rsids>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www.bacp.co.uk/events-and-resources/ethics-and-standards/ethical-framework-for-the-counselling-professions/" TargetMode="External" Id="R6cf38f280dee4d5a" /><Relationship Type="http://schemas.openxmlformats.org/officeDocument/2006/relationships/hyperlink" Target="https://www.counseling.org/Resources/Library/ERIC%20Digests/94-10.pdf" TargetMode="External" Id="R50f766a269a4467b" /><Relationship Type="http://schemas.openxmlformats.org/officeDocument/2006/relationships/hyperlink" Target="https://www.tandfonline.com/doi/full/10.1080/07325223.2017.1295893?src=recsys" TargetMode="External" Id="R7ade92a9767c44db"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Office Word</ap:Application>
  <ap:DocSecurity>0</ap:DocSecurity>
  <ap:ScaleCrop>false</ap:ScaleCrop>
  <ap:Company/>
  <ap:SharedDoc>false</ap:SharedDoc>
  <ap:HyperlinksChanged>false</ap:HyperlinksChanged>
  <ap:AppVersion>00.0001</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2019-05-01T12:34:46.9586926Z</dcterms:created>
  <dcterms:modified xsi:type="dcterms:W3CDTF">2019-05-05T13:23:59.3546366Z</dcterms:modified>
  <dc:creator>sophie grimmett</dc:creator>
  <lastModifiedBy>sophie grimmett</lastModifiedBy>
</coreProperties>
</file>