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6E429" w14:textId="09963991" w:rsidR="004B2EC6" w:rsidRDefault="00AE6C0F">
      <w:pPr>
        <w:pStyle w:val="Body"/>
        <w:spacing w:line="360" w:lineRule="auto"/>
        <w:jc w:val="center"/>
        <w:rPr>
          <w:sz w:val="24"/>
          <w:szCs w:val="24"/>
        </w:rPr>
      </w:pPr>
      <w:r>
        <w:rPr>
          <w:b/>
          <w:bCs/>
          <w:sz w:val="24"/>
          <w:szCs w:val="24"/>
        </w:rPr>
        <w:t>The use of motifs in the Life of St. Winefride</w:t>
      </w:r>
      <w:r>
        <w:rPr>
          <w:sz w:val="24"/>
          <w:szCs w:val="24"/>
        </w:rPr>
        <w:t xml:space="preserve"> </w:t>
      </w:r>
      <w:r>
        <w:rPr>
          <w:b/>
          <w:bCs/>
          <w:sz w:val="24"/>
          <w:szCs w:val="24"/>
          <w:lang w:val="de-DE"/>
        </w:rPr>
        <w:t>(Vita et translatio S. Wenefredae</w:t>
      </w:r>
      <w:r>
        <w:rPr>
          <w:b/>
          <w:bCs/>
          <w:sz w:val="24"/>
          <w:szCs w:val="24"/>
        </w:rPr>
        <w:t>.)        by Prior Robert of Shrewsbury</w:t>
      </w:r>
      <w:r>
        <w:rPr>
          <w:sz w:val="24"/>
          <w:szCs w:val="24"/>
        </w:rPr>
        <w:t>.</w:t>
      </w:r>
    </w:p>
    <w:p w14:paraId="4166E42A" w14:textId="77777777" w:rsidR="004B2EC6" w:rsidRDefault="004B2EC6">
      <w:pPr>
        <w:pStyle w:val="Body"/>
        <w:spacing w:line="360" w:lineRule="auto"/>
      </w:pPr>
    </w:p>
    <w:p w14:paraId="278ACC7C" w14:textId="5CEAA11A" w:rsidR="00171903" w:rsidRDefault="00AE6C0F" w:rsidP="001B7D22">
      <w:pPr>
        <w:pStyle w:val="Body"/>
        <w:spacing w:line="360" w:lineRule="auto"/>
      </w:pPr>
      <w:r>
        <w:t xml:space="preserve">The fame of St. Winefride’s Well is the result of it having the unique claim of being the only </w:t>
      </w:r>
      <w:r w:rsidR="001C7F39">
        <w:t>s</w:t>
      </w:r>
      <w:r>
        <w:t xml:space="preserve">hrine in the British Isles attracting the veneration of pilgrims uninterrupted from the seventh century until the </w:t>
      </w:r>
      <w:r w:rsidR="00EA0E4C">
        <w:t>present.</w:t>
      </w:r>
      <w:r>
        <w:t xml:space="preserve"> </w:t>
      </w:r>
      <w:r w:rsidR="001B7D22">
        <w:t xml:space="preserve">The epitaph </w:t>
      </w:r>
      <w:r w:rsidR="008F55DF">
        <w:t>‘</w:t>
      </w:r>
      <w:r w:rsidR="001B7D22">
        <w:t>The Lourdes of Wales</w:t>
      </w:r>
      <w:r w:rsidR="008F55DF">
        <w:t>’</w:t>
      </w:r>
      <w:r w:rsidR="001B7D22">
        <w:t xml:space="preserve"> has been argued as inaccurate as the Holywell </w:t>
      </w:r>
      <w:r w:rsidR="00757968">
        <w:t>s</w:t>
      </w:r>
      <w:r w:rsidR="001B7D22">
        <w:t xml:space="preserve">hrine kept its individuality and holiness for centuries before the establishment of the French place </w:t>
      </w:r>
    </w:p>
    <w:p w14:paraId="63B78581" w14:textId="218761F1" w:rsidR="001B7D22" w:rsidRDefault="001B7D22" w:rsidP="001B7D22">
      <w:pPr>
        <w:pStyle w:val="Body"/>
        <w:spacing w:line="360" w:lineRule="auto"/>
      </w:pPr>
      <w:r>
        <w:t xml:space="preserve">of sanctity in the latter part of the </w:t>
      </w:r>
      <w:r w:rsidR="009C2862">
        <w:t>n</w:t>
      </w:r>
      <w:r>
        <w:t xml:space="preserve">ineteenth Century. </w:t>
      </w:r>
      <w:r>
        <w:rPr>
          <w:rStyle w:val="FootnoteReference"/>
        </w:rPr>
        <w:footnoteReference w:id="2"/>
      </w:r>
      <w:r>
        <w:t xml:space="preserve">  </w:t>
      </w:r>
    </w:p>
    <w:p w14:paraId="33DFAE46" w14:textId="5273C15B" w:rsidR="00647C25" w:rsidRDefault="00647C25">
      <w:pPr>
        <w:pStyle w:val="Body"/>
        <w:spacing w:line="360" w:lineRule="auto"/>
      </w:pPr>
    </w:p>
    <w:p w14:paraId="4166E42B" w14:textId="7CB3D6C6" w:rsidR="004B2EC6" w:rsidRDefault="00AE6C0F">
      <w:pPr>
        <w:pStyle w:val="Body"/>
        <w:spacing w:line="360" w:lineRule="auto"/>
      </w:pPr>
      <w:r>
        <w:t xml:space="preserve">The flourishing of the </w:t>
      </w:r>
      <w:r w:rsidR="009C2862">
        <w:t>c</w:t>
      </w:r>
      <w:r>
        <w:t xml:space="preserve">ult of the seventh century St. Winefride (Gwenfrewi in Welsh) is largely due to the success of Prior Robert whose creation in Shrewsbury Abbey of the Shrine containing Winefride’s remains was an important focus together with the Well at Holywell and her graveyard at Gwytherin.  Her cult was recognised formally in the fourteenth century by her feast day being included within the Canterbury </w:t>
      </w:r>
      <w:r w:rsidR="00C44392">
        <w:t>a</w:t>
      </w:r>
      <w:r>
        <w:t>rchiepiscopate.</w:t>
      </w:r>
      <w:r w:rsidR="00C824F6">
        <w:rPr>
          <w:rStyle w:val="FootnoteReference"/>
        </w:rPr>
        <w:footnoteReference w:id="3"/>
      </w:r>
    </w:p>
    <w:p w14:paraId="4166E42C" w14:textId="3EE75220" w:rsidR="004B2EC6" w:rsidRDefault="00AE6C0F">
      <w:pPr>
        <w:pStyle w:val="Body"/>
        <w:spacing w:line="360" w:lineRule="auto"/>
      </w:pPr>
      <w:r>
        <w:t xml:space="preserve">                             </w:t>
      </w:r>
    </w:p>
    <w:p w14:paraId="4166E42D" w14:textId="6DD58F4F" w:rsidR="004B2EC6" w:rsidRDefault="00AE6C0F">
      <w:pPr>
        <w:pStyle w:val="Body"/>
        <w:spacing w:line="360" w:lineRule="auto"/>
      </w:pPr>
      <w:r>
        <w:t>The prestige of Winifred is</w:t>
      </w:r>
      <w:r w:rsidR="007A6D17">
        <w:t xml:space="preserve"> especially</w:t>
      </w:r>
      <w:r>
        <w:t xml:space="preserve"> </w:t>
      </w:r>
      <w:r w:rsidR="007E6592">
        <w:t>af</w:t>
      </w:r>
      <w:r>
        <w:t xml:space="preserve">firmed by </w:t>
      </w:r>
      <w:r w:rsidR="006A35A2">
        <w:t xml:space="preserve">Prior Robert’s </w:t>
      </w:r>
      <w:r w:rsidR="00540E21">
        <w:t xml:space="preserve">Life of St. </w:t>
      </w:r>
      <w:r w:rsidR="000811AD">
        <w:t>Winefride</w:t>
      </w:r>
      <w:r w:rsidR="00272180">
        <w:t xml:space="preserve"> </w:t>
      </w:r>
      <w:r w:rsidR="000811AD">
        <w:t>(translated</w:t>
      </w:r>
      <w:r>
        <w:t xml:space="preserve"> by Ronald Pepin,)</w:t>
      </w:r>
      <w:r w:rsidR="00543EF2">
        <w:t xml:space="preserve"> </w:t>
      </w:r>
      <w:r w:rsidR="004627B4">
        <w:t>and</w:t>
      </w:r>
      <w:r>
        <w:t xml:space="preserve"> was written by him in approximately 1140.</w:t>
      </w:r>
      <w:r w:rsidR="002D50FF">
        <w:t xml:space="preserve"> </w:t>
      </w:r>
      <w:r w:rsidR="00C2315F">
        <w:t>Within the Welsh Vitae</w:t>
      </w:r>
      <w:r w:rsidR="00356837">
        <w:t>, Robert’s account</w:t>
      </w:r>
      <w:r w:rsidR="00BD43F5">
        <w:t xml:space="preserve"> is </w:t>
      </w:r>
      <w:r w:rsidR="00AF2B70">
        <w:t>remarkable</w:t>
      </w:r>
      <w:r w:rsidR="00BD43F5">
        <w:t xml:space="preserve"> in that he</w:t>
      </w:r>
      <w:r w:rsidR="00A1567E">
        <w:t xml:space="preserve"> embodies himself within the </w:t>
      </w:r>
      <w:r w:rsidR="000B3FA4">
        <w:t>narrative.</w:t>
      </w:r>
      <w:r w:rsidR="009C6C3D">
        <w:rPr>
          <w:rStyle w:val="FootnoteReference"/>
        </w:rPr>
        <w:footnoteReference w:id="4"/>
      </w:r>
      <w:r w:rsidR="000B3FA4">
        <w:t xml:space="preserve">  </w:t>
      </w:r>
      <w:r w:rsidR="00331E37">
        <w:t>A</w:t>
      </w:r>
      <w:r w:rsidR="002D50FF">
        <w:t>n</w:t>
      </w:r>
      <w:r>
        <w:t>other shorter account is the Anonymous Life (Vita S. Wenefrede).  The story of Winefride visiting Rome</w:t>
      </w:r>
      <w:r w:rsidR="002078A9">
        <w:t xml:space="preserve"> and </w:t>
      </w:r>
      <w:r w:rsidR="00AB27EC">
        <w:t xml:space="preserve">also </w:t>
      </w:r>
      <w:r w:rsidR="002078A9">
        <w:t>the</w:t>
      </w:r>
      <w:r w:rsidR="004F7A7E">
        <w:t xml:space="preserve"> Synod </w:t>
      </w:r>
      <w:r w:rsidR="002D3F26">
        <w:t>visitation, in</w:t>
      </w:r>
      <w:r>
        <w:t xml:space="preserve"> the Anonymous version, was left out by Robert on the lack </w:t>
      </w:r>
      <w:r w:rsidR="00AD3E7A">
        <w:t>of trustworthy</w:t>
      </w:r>
      <w:r w:rsidR="009E00F4">
        <w:t xml:space="preserve"> </w:t>
      </w:r>
      <w:r>
        <w:t>evidence</w:t>
      </w:r>
      <w:r w:rsidR="009E00F4">
        <w:t>.</w:t>
      </w:r>
      <w:r>
        <w:t xml:space="preserve"> Whilst the authenticity regarding the date and authorship of his Vita has been established, academic doubts have been expressed both with the accuracy of </w:t>
      </w:r>
      <w:r w:rsidR="000406D4">
        <w:t>Robert’s account</w:t>
      </w:r>
      <w:r>
        <w:t xml:space="preserve"> together with precision regarding the date of the Anonymous Life and how far the two accounts relate to each other. </w:t>
      </w:r>
      <w:r w:rsidR="006B2F76">
        <w:rPr>
          <w:rStyle w:val="FootnoteReference"/>
        </w:rPr>
        <w:footnoteReference w:id="5"/>
      </w:r>
      <w:r>
        <w:t xml:space="preserve">           </w:t>
      </w:r>
    </w:p>
    <w:p w14:paraId="636BF2DE" w14:textId="77777777" w:rsidR="00384926" w:rsidRDefault="00384926">
      <w:pPr>
        <w:pStyle w:val="Body"/>
        <w:spacing w:line="360" w:lineRule="auto"/>
      </w:pPr>
    </w:p>
    <w:p w14:paraId="4166E42E" w14:textId="0F554AEA" w:rsidR="004B2EC6" w:rsidRDefault="00AE6C0F">
      <w:pPr>
        <w:pStyle w:val="Body"/>
        <w:spacing w:line="360" w:lineRule="auto"/>
      </w:pPr>
      <w:r>
        <w:t xml:space="preserve">The Vita et translatio S. </w:t>
      </w:r>
      <w:r w:rsidR="000406D4">
        <w:t>Winefredae was</w:t>
      </w:r>
      <w:r>
        <w:t xml:space="preserve"> composed </w:t>
      </w:r>
      <w:r w:rsidR="00FF4B8E">
        <w:t>by Robert</w:t>
      </w:r>
      <w:r>
        <w:t xml:space="preserve"> following the healing of a fellow monk at her Well. Robert recounted how St. Beuno was guided by God to become associated with </w:t>
      </w:r>
      <w:r>
        <w:lastRenderedPageBreak/>
        <w:t xml:space="preserve">Winefride as her teacher and counsellor. </w:t>
      </w:r>
      <w:r w:rsidR="00883F8E">
        <w:rPr>
          <w:rStyle w:val="FootnoteReference"/>
        </w:rPr>
        <w:footnoteReference w:id="6"/>
      </w:r>
      <w:r>
        <w:t xml:space="preserve">  Whilst </w:t>
      </w:r>
      <w:r w:rsidR="002971DE">
        <w:t>once</w:t>
      </w:r>
      <w:r>
        <w:t xml:space="preserve"> alone, Prince </w:t>
      </w:r>
      <w:r w:rsidR="00791ABF">
        <w:t>Caradog lustfully</w:t>
      </w:r>
      <w:r w:rsidR="00287F92">
        <w:t xml:space="preserve"> drew</w:t>
      </w:r>
      <w:r w:rsidR="00FC0C0B">
        <w:t xml:space="preserve"> close to </w:t>
      </w:r>
      <w:r>
        <w:t>her</w:t>
      </w:r>
      <w:r w:rsidR="002A064E">
        <w:t xml:space="preserve">. In revenge for </w:t>
      </w:r>
      <w:r w:rsidR="006347F9">
        <w:t xml:space="preserve">her failure to submit to him </w:t>
      </w:r>
      <w:r w:rsidR="00C56D50">
        <w:t>he decapitated</w:t>
      </w:r>
      <w:r w:rsidR="00912DC7">
        <w:t xml:space="preserve"> </w:t>
      </w:r>
      <w:r>
        <w:t xml:space="preserve">her head which rolled into the place of worship. Beuno’s later confrontation with </w:t>
      </w:r>
      <w:r w:rsidR="00C0132E">
        <w:t>Caradog</w:t>
      </w:r>
      <w:r w:rsidR="00FB5FB0">
        <w:t xml:space="preserve"> outside the church </w:t>
      </w:r>
      <w:r w:rsidR="0007247A">
        <w:t>resulted in his death and melting away</w:t>
      </w:r>
      <w:r w:rsidR="007F0F72">
        <w:t>. W</w:t>
      </w:r>
      <w:r w:rsidR="00FF7FF6">
        <w:t>inefride was res</w:t>
      </w:r>
      <w:r w:rsidR="00F52404">
        <w:t>u</w:t>
      </w:r>
      <w:r w:rsidR="00FF7FF6">
        <w:t>rrected</w:t>
      </w:r>
      <w:r w:rsidR="00D62AFD">
        <w:t xml:space="preserve"> a</w:t>
      </w:r>
      <w:r>
        <w:t>nd thereafter had the evidence on her neck of a narrow white scar as remi</w:t>
      </w:r>
      <w:r w:rsidR="00F378C2">
        <w:t>n</w:t>
      </w:r>
      <w:r>
        <w:t xml:space="preserve">der of her martyrdom. </w:t>
      </w:r>
      <w:r w:rsidR="00985CA2">
        <w:rPr>
          <w:rStyle w:val="FootnoteReference"/>
        </w:rPr>
        <w:footnoteReference w:id="7"/>
      </w:r>
      <w:r>
        <w:t xml:space="preserve">       </w:t>
      </w:r>
    </w:p>
    <w:p w14:paraId="2B89C1D9" w14:textId="77777777" w:rsidR="009723C5" w:rsidRDefault="00042B48">
      <w:pPr>
        <w:pStyle w:val="Body"/>
        <w:spacing w:line="360" w:lineRule="auto"/>
      </w:pPr>
      <w:r>
        <w:t>Afterwards</w:t>
      </w:r>
      <w:r w:rsidR="00E62252">
        <w:t xml:space="preserve"> </w:t>
      </w:r>
      <w:r w:rsidR="00AE6C0F">
        <w:t xml:space="preserve">she formed a religious community herself as the head. In that position she proved herself as an exemplar of strong spiritual leadership for seven years. Towards the end of that period and Beuno having died, she was spiritually guided to seek advice from various local holy men. </w:t>
      </w:r>
      <w:r w:rsidR="00536E90">
        <w:rPr>
          <w:rStyle w:val="FootnoteReference"/>
        </w:rPr>
        <w:footnoteReference w:id="8"/>
      </w:r>
      <w:r w:rsidR="00AE6C0F">
        <w:t xml:space="preserve">  Anamchara or soul friend phenomena is a feature of early Celtic Christian culture.  It exists in other Christian traditions especially the Staretz culture of the Orthodox Church and was also a feature of the Desert Fathers. </w:t>
      </w:r>
    </w:p>
    <w:p w14:paraId="2A3EC59A" w14:textId="77777777" w:rsidR="00584AAA" w:rsidRDefault="00584AAA">
      <w:pPr>
        <w:pStyle w:val="Body"/>
        <w:spacing w:line="360" w:lineRule="auto"/>
      </w:pPr>
    </w:p>
    <w:p w14:paraId="4166E430" w14:textId="5EDE6ABC" w:rsidR="004B2EC6" w:rsidRDefault="00AE6C0F">
      <w:pPr>
        <w:pStyle w:val="Body"/>
        <w:spacing w:line="360" w:lineRule="auto"/>
      </w:pPr>
      <w:r>
        <w:t xml:space="preserve">St Brigit is said to have remarked that anyone without a soul friend is like a body without a head. </w:t>
      </w:r>
      <w:r w:rsidR="005173A7">
        <w:rPr>
          <w:rStyle w:val="FootnoteReference"/>
        </w:rPr>
        <w:footnoteReference w:id="9"/>
      </w:r>
      <w:r>
        <w:t xml:space="preserve">   </w:t>
      </w:r>
      <w:r w:rsidR="0067716C">
        <w:t xml:space="preserve">As a consequence of this </w:t>
      </w:r>
      <w:r w:rsidR="006578B5">
        <w:t>counselling, Winefride</w:t>
      </w:r>
      <w:r>
        <w:t xml:space="preserve"> felt drawn to move to a convent close by, later becoming the Superior. There she remained until her death on the 2nd or 3rd November. Her cemetery attracted many followers, but a greater number of miracles occurred </w:t>
      </w:r>
      <w:r w:rsidR="00ED6F2B">
        <w:t>at the</w:t>
      </w:r>
      <w:r>
        <w:t xml:space="preserve"> </w:t>
      </w:r>
      <w:r w:rsidR="006578B5">
        <w:t>Holywell</w:t>
      </w:r>
      <w:r>
        <w:t xml:space="preserve"> </w:t>
      </w:r>
      <w:r w:rsidR="00156D84">
        <w:t>s</w:t>
      </w:r>
      <w:r>
        <w:t>pring. The brothers of Shrewsbury Abbey eventually persuaded locals to agree for her remains to be translated to the Abbey aided by a corrupt payment of money.</w:t>
      </w:r>
      <w:r w:rsidR="00174820">
        <w:rPr>
          <w:rStyle w:val="FootnoteReference"/>
        </w:rPr>
        <w:footnoteReference w:id="10"/>
      </w:r>
      <w:r w:rsidR="006338EC">
        <w:t xml:space="preserve"> </w:t>
      </w:r>
      <w:r w:rsidR="005D0E2A">
        <w:t xml:space="preserve"> A</w:t>
      </w:r>
      <w:r w:rsidR="006338EC">
        <w:t xml:space="preserve"> </w:t>
      </w:r>
      <w:r w:rsidR="00DA069E">
        <w:t xml:space="preserve"> full account of the removal of Winefride</w:t>
      </w:r>
      <w:r w:rsidR="00100CB6">
        <w:t xml:space="preserve">’s remains </w:t>
      </w:r>
      <w:r w:rsidR="007E1A8C">
        <w:t xml:space="preserve">are contributed by </w:t>
      </w:r>
      <w:r w:rsidR="00E2530B">
        <w:t>Prior Robert</w:t>
      </w:r>
      <w:r w:rsidR="004C4959">
        <w:t xml:space="preserve"> in his Vita</w:t>
      </w:r>
      <w:r w:rsidR="00DE5652">
        <w:t>.</w:t>
      </w:r>
    </w:p>
    <w:p w14:paraId="4166E431" w14:textId="79BDFE44" w:rsidR="004B2EC6" w:rsidRDefault="00AE6C0F">
      <w:pPr>
        <w:pStyle w:val="Body"/>
        <w:spacing w:line="360" w:lineRule="auto"/>
      </w:pPr>
      <w:r>
        <w:t xml:space="preserve">          </w:t>
      </w:r>
    </w:p>
    <w:p w14:paraId="4166E432" w14:textId="3151900C" w:rsidR="004B2EC6" w:rsidRDefault="00565FF0">
      <w:pPr>
        <w:pStyle w:val="Body"/>
        <w:spacing w:line="360" w:lineRule="auto"/>
      </w:pPr>
      <w:bookmarkStart w:id="0" w:name="InHerReviewInTheJournalOfEccesiasticalHi"/>
      <w:r>
        <w:t>I</w:t>
      </w:r>
      <w:r w:rsidR="004A2BE3">
        <w:t>n</w:t>
      </w:r>
      <w:r>
        <w:t xml:space="preserve"> anal</w:t>
      </w:r>
      <w:r w:rsidR="006A2861">
        <w:t>ysing the motifs</w:t>
      </w:r>
      <w:r w:rsidR="001F3273">
        <w:t xml:space="preserve"> in </w:t>
      </w:r>
      <w:r w:rsidR="00B15773">
        <w:t>Robert’s</w:t>
      </w:r>
      <w:r w:rsidR="007D3EB9">
        <w:t xml:space="preserve"> account and their relevance</w:t>
      </w:r>
      <w:r w:rsidR="001314F1">
        <w:t xml:space="preserve"> to other genres,</w:t>
      </w:r>
      <w:r w:rsidR="00AD28D9">
        <w:t xml:space="preserve"> not</w:t>
      </w:r>
      <w:r w:rsidR="00452F94">
        <w:t xml:space="preserve">ice should </w:t>
      </w:r>
      <w:r w:rsidR="00324B4B">
        <w:t>be taken of</w:t>
      </w:r>
      <w:r w:rsidR="00675D79">
        <w:t xml:space="preserve"> academics</w:t>
      </w:r>
      <w:r w:rsidR="00B57FD2">
        <w:t xml:space="preserve"> of other disciplines</w:t>
      </w:r>
      <w:r w:rsidR="00077EB1">
        <w:t xml:space="preserve"> </w:t>
      </w:r>
      <w:r w:rsidR="001D402C">
        <w:t xml:space="preserve">in the </w:t>
      </w:r>
      <w:r w:rsidR="00D03E2A">
        <w:t>field. I</w:t>
      </w:r>
      <w:r>
        <w:t>n The Journal of Eccesiastical History, the commentator R. Sharpe elucidates in her review of Ellisa Henken’s book ‘Traditions of the Welsh Saints’ that the folklorist and the hagiographer have very similar but not identical roles. Whilst the latter concentrates on hard evidence from</w:t>
      </w:r>
      <w:r w:rsidR="00DD5FE0">
        <w:t xml:space="preserve"> </w:t>
      </w:r>
      <w:r w:rsidR="006338EC">
        <w:t>periods</w:t>
      </w:r>
      <w:r>
        <w:t xml:space="preserve">, the former focusses on contemporary accounts of popular superstitions relating to saints which seek to explain their existence in the minds of people today. Henken considers Welsh hagiographical manuscripts </w:t>
      </w:r>
      <w:r w:rsidR="00FF4B8E">
        <w:t>to represent</w:t>
      </w:r>
      <w:r>
        <w:t xml:space="preserve"> the influence of populism rather than the exactitude of more formal institutional religious concepts. </w:t>
      </w:r>
      <w:r w:rsidR="005924D4">
        <w:rPr>
          <w:rStyle w:val="FootnoteReference"/>
        </w:rPr>
        <w:footnoteReference w:id="11"/>
      </w:r>
      <w:r>
        <w:t xml:space="preserve"> </w:t>
      </w:r>
      <w:bookmarkEnd w:id="0"/>
      <w:r>
        <w:t xml:space="preserve">It is worth </w:t>
      </w:r>
      <w:r w:rsidR="004415A5">
        <w:t>noting that</w:t>
      </w:r>
      <w:r>
        <w:t xml:space="preserve"> the established religious concepts of which Henken refers come from an image of an institutional church far removed from the looser character of Welsh Christian communities present </w:t>
      </w:r>
      <w:r>
        <w:lastRenderedPageBreak/>
        <w:t>during the life</w:t>
      </w:r>
      <w:r w:rsidR="0016733A">
        <w:t>time</w:t>
      </w:r>
      <w:r>
        <w:t xml:space="preserve"> of Winefride. </w:t>
      </w:r>
      <w:r w:rsidR="0039028F">
        <w:t>The saint</w:t>
      </w:r>
      <w:r>
        <w:t xml:space="preserve"> would not have recognised the term ‘Celtic Church’ for it did not exist as such and it is interesting that such churches today who claim a continuum with the age of the saints in Wales operate institutionally in a way vastly different from the simplicity which characterised Christian life in her day. </w:t>
      </w:r>
    </w:p>
    <w:p w14:paraId="4166E433" w14:textId="77777777" w:rsidR="004B2EC6" w:rsidRDefault="004B2EC6">
      <w:pPr>
        <w:pStyle w:val="Body"/>
        <w:spacing w:line="360" w:lineRule="auto"/>
      </w:pPr>
    </w:p>
    <w:p w14:paraId="156F6711" w14:textId="77777777" w:rsidR="00802933" w:rsidRDefault="00AE6C0F">
      <w:pPr>
        <w:pStyle w:val="Body"/>
        <w:spacing w:line="360" w:lineRule="auto"/>
      </w:pPr>
      <w:r>
        <w:t xml:space="preserve">In researching </w:t>
      </w:r>
      <w:r w:rsidR="00212896">
        <w:t xml:space="preserve">the </w:t>
      </w:r>
      <w:r>
        <w:t xml:space="preserve">motifs, one could argue the paternalism of the period prevents gaining a more holistic view of Welsh female saints. </w:t>
      </w:r>
      <w:r w:rsidR="00FD28E3">
        <w:t>Th</w:t>
      </w:r>
      <w:r>
        <w:t xml:space="preserve">eir strength of character is not always applauded in the sources. Their fame is often largely predicated by one aspect of their lives, the ability to preserve sexual purity which is </w:t>
      </w:r>
      <w:r w:rsidR="00FD28E3">
        <w:t xml:space="preserve">also </w:t>
      </w:r>
      <w:r>
        <w:t xml:space="preserve">an aspect of Robert’s </w:t>
      </w:r>
      <w:r w:rsidR="00314B89">
        <w:t>Vita.</w:t>
      </w:r>
      <w:r w:rsidR="009D35BA">
        <w:t xml:space="preserve"> </w:t>
      </w:r>
    </w:p>
    <w:p w14:paraId="7B90C169" w14:textId="4C8495B0" w:rsidR="005A4D12" w:rsidRDefault="00314B89">
      <w:pPr>
        <w:pStyle w:val="Body"/>
        <w:spacing w:line="360" w:lineRule="auto"/>
      </w:pPr>
      <w:r>
        <w:t>When</w:t>
      </w:r>
      <w:r w:rsidR="00AE6C0F">
        <w:t xml:space="preserve"> we consider female feminine sanctity in the wider context than that of the Vitae, Jane Cartwright notes the diminished record of female references within Medieval Welsh literature which would be a valuable source of male hagiographical foci.  </w:t>
      </w:r>
      <w:r w:rsidR="009D3D1A">
        <w:t>Winefride and</w:t>
      </w:r>
      <w:r w:rsidR="00AE6C0F">
        <w:t xml:space="preserve"> Melangell are distinctive in being the only Welsh female saints for whom examples of prose in these literature fields are extant</w:t>
      </w:r>
      <w:r w:rsidR="00A812CD">
        <w:t>.</w:t>
      </w:r>
      <w:r w:rsidR="00A276F9">
        <w:rPr>
          <w:rStyle w:val="FootnoteReference"/>
        </w:rPr>
        <w:footnoteReference w:id="12"/>
      </w:r>
      <w:r w:rsidR="00AE6C0F">
        <w:t xml:space="preserve">  Cartwright raises the prejudices sometimes shown towards female saints on the basis of their gender. She </w:t>
      </w:r>
      <w:r w:rsidR="004D2EF4">
        <w:t>challenges the</w:t>
      </w:r>
      <w:r w:rsidR="007C5DAE">
        <w:t xml:space="preserve"> scholarly</w:t>
      </w:r>
      <w:r w:rsidR="00AE6C0F">
        <w:t xml:space="preserve"> </w:t>
      </w:r>
      <w:r w:rsidR="00234CE4">
        <w:t>consensus of</w:t>
      </w:r>
      <w:r w:rsidR="00AE6C0F">
        <w:t xml:space="preserve"> some</w:t>
      </w:r>
      <w:r w:rsidR="002C4EE4">
        <w:t xml:space="preserve"> which </w:t>
      </w:r>
      <w:r w:rsidR="00847029">
        <w:t>suggests that</w:t>
      </w:r>
      <w:r w:rsidR="00AE6C0F">
        <w:t xml:space="preserve"> male saint’s Lives are built on the assumption of fundamental historical reality </w:t>
      </w:r>
      <w:r w:rsidR="00B768A1">
        <w:t>whilst sometimes</w:t>
      </w:r>
      <w:r w:rsidR="00AE6C0F">
        <w:t xml:space="preserve"> castigating the legends of female saints as</w:t>
      </w:r>
      <w:r w:rsidR="009543A7">
        <w:t xml:space="preserve"> being</w:t>
      </w:r>
      <w:r w:rsidR="00AE6C0F">
        <w:t xml:space="preserve"> of no value whatsoever.</w:t>
      </w:r>
      <w:r w:rsidR="00132CDE">
        <w:rPr>
          <w:rStyle w:val="FootnoteReference"/>
        </w:rPr>
        <w:footnoteReference w:id="13"/>
      </w:r>
      <w:r w:rsidR="00AE6C0F">
        <w:t xml:space="preserve"> These approaches </w:t>
      </w:r>
      <w:r w:rsidR="001D5BD6">
        <w:t>have implictions</w:t>
      </w:r>
      <w:r w:rsidR="00AE6C0F">
        <w:t xml:space="preserve"> when one researches motifs in Prior Robert’s Life of St. Winefride</w:t>
      </w:r>
      <w:r w:rsidR="0029657D">
        <w:t>.</w:t>
      </w:r>
    </w:p>
    <w:p w14:paraId="5C5780BF" w14:textId="77777777" w:rsidR="00550F81" w:rsidRDefault="00550F81">
      <w:pPr>
        <w:pStyle w:val="Body"/>
        <w:spacing w:line="360" w:lineRule="auto"/>
      </w:pPr>
    </w:p>
    <w:p w14:paraId="4166E438" w14:textId="008BD77F" w:rsidR="004B2EC6" w:rsidRDefault="00AE6C0F">
      <w:pPr>
        <w:pStyle w:val="Body"/>
        <w:spacing w:line="360" w:lineRule="auto"/>
      </w:pPr>
      <w:r>
        <w:t xml:space="preserve">In researching motifs </w:t>
      </w:r>
      <w:r w:rsidR="0018215F">
        <w:t>found in</w:t>
      </w:r>
      <w:r w:rsidR="00861002">
        <w:t xml:space="preserve"> Robert’s account and </w:t>
      </w:r>
      <w:r w:rsidR="0018215F">
        <w:t>other</w:t>
      </w:r>
      <w:r>
        <w:t xml:space="preserve"> </w:t>
      </w:r>
      <w:r w:rsidR="00620302">
        <w:t xml:space="preserve">Lives of the </w:t>
      </w:r>
      <w:r>
        <w:t xml:space="preserve">Welsh saints, a picture </w:t>
      </w:r>
      <w:r w:rsidR="00FF082D">
        <w:t>of</w:t>
      </w:r>
      <w:r>
        <w:t xml:space="preserve"> differing statuses </w:t>
      </w:r>
      <w:r w:rsidR="000406D4">
        <w:t>emerges</w:t>
      </w:r>
      <w:r>
        <w:t xml:space="preserve">. Some follow the </w:t>
      </w:r>
      <w:r w:rsidR="002469AF">
        <w:t>typical repeating</w:t>
      </w:r>
      <w:r>
        <w:t xml:space="preserve"> pattern whilst others appear in a more limited way. Certain motifs appear to be designed to support a theological or sociological perspective prevalent in the medieval period. Some are clearly politically motivated and allied to a national or </w:t>
      </w:r>
      <w:r w:rsidR="008350B2">
        <w:t xml:space="preserve">regional </w:t>
      </w:r>
      <w:r w:rsidR="009D44AF">
        <w:t>Welsh</w:t>
      </w:r>
      <w:r w:rsidR="0098147B">
        <w:t xml:space="preserve"> </w:t>
      </w:r>
      <w:r w:rsidR="008350B2">
        <w:t>cause</w:t>
      </w:r>
      <w:r>
        <w:t xml:space="preserve">. The </w:t>
      </w:r>
      <w:r w:rsidR="00912F3C">
        <w:t>stark</w:t>
      </w:r>
      <w:r w:rsidR="00A82DD4">
        <w:t xml:space="preserve"> </w:t>
      </w:r>
      <w:r>
        <w:t xml:space="preserve">unequal status of men and women in medieval society is reflected in the Vitae. </w:t>
      </w:r>
      <w:r w:rsidR="00355DB7">
        <w:t>Typically,</w:t>
      </w:r>
      <w:r>
        <w:t xml:space="preserve"> the model male saint was a strong hero exercising power whilst the female equivalent was the guardian of chastity and domesticity, many whose candidature for sainthood being proved by her rejection of male sexual advances. Other motifs are the result of the growth of cults with their economic benefits which would be stimulated by publicising a saint’s connection with a shrine or religious house. This reached an industrial scale in the medieval period with much rivalry</w:t>
      </w:r>
      <w:r w:rsidR="00B7553D">
        <w:t xml:space="preserve"> resulting.</w:t>
      </w:r>
      <w:r>
        <w:t xml:space="preserve"> No doubt this was </w:t>
      </w:r>
      <w:r w:rsidR="00407081">
        <w:t>Robert’s</w:t>
      </w:r>
      <w:r>
        <w:t xml:space="preserve"> motivation in bringing Winefride’s relics to Shrewsbury Abbey.  The following are the principal motifs </w:t>
      </w:r>
      <w:r w:rsidR="00BE297F">
        <w:t>researched for</w:t>
      </w:r>
      <w:r>
        <w:t xml:space="preserve"> this essay and found in Prior Robert’s Life of St. Winefride.</w:t>
      </w:r>
    </w:p>
    <w:p w14:paraId="4A1B394A" w14:textId="77777777" w:rsidR="00F849E3" w:rsidRDefault="00F849E3">
      <w:pPr>
        <w:pStyle w:val="Body"/>
        <w:spacing w:line="360" w:lineRule="auto"/>
      </w:pPr>
    </w:p>
    <w:p w14:paraId="24FF09FB" w14:textId="77777777" w:rsidR="00F849E3" w:rsidRDefault="00AE6C0F">
      <w:pPr>
        <w:pStyle w:val="Body"/>
        <w:spacing w:line="360" w:lineRule="auto"/>
        <w:rPr>
          <w:b/>
          <w:bCs/>
        </w:rPr>
      </w:pPr>
      <w:r>
        <w:rPr>
          <w:b/>
          <w:bCs/>
        </w:rPr>
        <w:t xml:space="preserve">Virginity </w:t>
      </w:r>
    </w:p>
    <w:p w14:paraId="4166E43C" w14:textId="0A20BCFE" w:rsidR="004B2EC6" w:rsidRPr="006D1F57" w:rsidRDefault="00AE6C0F">
      <w:pPr>
        <w:pStyle w:val="Body"/>
        <w:spacing w:line="360" w:lineRule="auto"/>
        <w:rPr>
          <w:b/>
          <w:bCs/>
        </w:rPr>
      </w:pPr>
      <w:r>
        <w:lastRenderedPageBreak/>
        <w:t xml:space="preserve">Of greater priority to pleasing her parents by consenting to marriage with its expectation of grandchildren, was that of Winefride presenting herself to Christ, her virginity intact. </w:t>
      </w:r>
      <w:r w:rsidR="002469AF">
        <w:rPr>
          <w:rStyle w:val="FootnoteReference"/>
        </w:rPr>
        <w:footnoteReference w:id="14"/>
      </w:r>
      <w:r>
        <w:t xml:space="preserve">  The focus on physical purity as a consequence of the love which Winefride expresses for Jesus permeates her Vita as expressed by Prior Robert. ‘Joined in matrimony to the son of the eternal king and judge of all men, I can accept no other’. ‘Neither your terrors nor enticements nor promises nor threats can tear me away from the sweetness of that love to whose embraces I am already bound and to whose devotion I am joined’. </w:t>
      </w:r>
      <w:r w:rsidR="002349A8">
        <w:rPr>
          <w:rStyle w:val="FootnoteReference"/>
        </w:rPr>
        <w:footnoteReference w:id="15"/>
      </w:r>
      <w:r>
        <w:t xml:space="preserve">  </w:t>
      </w:r>
      <w:r w:rsidR="00D43FB8">
        <w:t>Many</w:t>
      </w:r>
      <w:r>
        <w:t xml:space="preserve"> female saints in European hagiography survive intact from the sexual menacing of male attackers. This is important since virginity is essential for the bestowal of sainthood on females hence the crucial importance of the unsuccessful menacing of Winefride by Caradog. </w:t>
      </w:r>
      <w:r w:rsidR="002F2023">
        <w:rPr>
          <w:rStyle w:val="FootnoteReference"/>
        </w:rPr>
        <w:footnoteReference w:id="16"/>
      </w:r>
      <w:r>
        <w:t xml:space="preserve"> </w:t>
      </w:r>
    </w:p>
    <w:p w14:paraId="4166E43D" w14:textId="77777777" w:rsidR="004B2EC6" w:rsidRDefault="00AE6C0F">
      <w:pPr>
        <w:pStyle w:val="Body"/>
        <w:spacing w:line="360" w:lineRule="auto"/>
      </w:pPr>
      <w:r>
        <w:t xml:space="preserve">  </w:t>
      </w:r>
    </w:p>
    <w:p w14:paraId="4166E43F" w14:textId="5FA50883" w:rsidR="004B2EC6" w:rsidRDefault="00AE6C0F">
      <w:pPr>
        <w:pStyle w:val="Body"/>
        <w:spacing w:line="360" w:lineRule="auto"/>
      </w:pPr>
      <w:r>
        <w:t xml:space="preserve">The connection of a holy life with physical virginity and the chaste life over an evil one also coloured </w:t>
      </w:r>
      <w:r w:rsidR="006D1F57">
        <w:t>the texture</w:t>
      </w:r>
      <w:r>
        <w:t xml:space="preserve"> of the cult of The Blessed Virgin Mary. </w:t>
      </w:r>
      <w:r w:rsidR="00EF7CB3">
        <w:t>Robert</w:t>
      </w:r>
      <w:r w:rsidR="00F138D0">
        <w:t xml:space="preserve">’s Vita </w:t>
      </w:r>
      <w:r w:rsidR="002B0593">
        <w:t>of S</w:t>
      </w:r>
      <w:r w:rsidR="00E72905">
        <w:t xml:space="preserve">t Winefride </w:t>
      </w:r>
      <w:r w:rsidR="009D1DAC">
        <w:t>therefore re</w:t>
      </w:r>
      <w:r w:rsidR="000D2551">
        <w:t>plicates</w:t>
      </w:r>
      <w:r w:rsidR="009D1DAC">
        <w:t xml:space="preserve"> the virginal purity</w:t>
      </w:r>
      <w:r w:rsidR="007C6F0F">
        <w:t xml:space="preserve"> </w:t>
      </w:r>
      <w:r w:rsidR="00FD7F92">
        <w:t>of Mary</w:t>
      </w:r>
      <w:r w:rsidR="002E2D61">
        <w:t xml:space="preserve"> herself</w:t>
      </w:r>
      <w:r w:rsidR="00566A36">
        <w:t>. Christian</w:t>
      </w:r>
      <w:r>
        <w:t xml:space="preserve"> chastity is basic to the understanding of Mary as Theotokos (Mother of God). It is significant that the first example of a prayer to the Virgin Mary noted by St. Gregory Nazianzen (d. 390) is to aid a virgin in danger of being despoiled. The cult of Mary is fundamentally bound up with Christian principles about fleshly purity and their particular link with women. </w:t>
      </w:r>
      <w:r w:rsidR="00C050D9">
        <w:rPr>
          <w:rStyle w:val="FootnoteReference"/>
        </w:rPr>
        <w:footnoteReference w:id="17"/>
      </w:r>
      <w:r>
        <w:t xml:space="preserve"> </w:t>
      </w:r>
      <w:r w:rsidR="005E420C">
        <w:t xml:space="preserve"> Catholicism</w:t>
      </w:r>
      <w:r>
        <w:t xml:space="preserve"> in its calendar of saints canonically continues to acknowledge females who choose the same</w:t>
      </w:r>
      <w:r w:rsidR="00646434">
        <w:t xml:space="preserve"> </w:t>
      </w:r>
      <w:r w:rsidR="00FF4B8E">
        <w:t>virginal vocation</w:t>
      </w:r>
      <w:r>
        <w:t xml:space="preserve"> as Winefride. Within the Vitae </w:t>
      </w:r>
      <w:r w:rsidR="0077187A">
        <w:t>however</w:t>
      </w:r>
      <w:r w:rsidR="007024BB">
        <w:t xml:space="preserve"> </w:t>
      </w:r>
      <w:r>
        <w:t>there are examples of female saints whose submission to sexual intercourse resulted in the birth of a strong male saint. For this the Catholic Church has sometimes made the exception. The Italian female Mario Goretti is the patron saint of rape victims for her death through fighting against her ordeal.</w:t>
      </w:r>
      <w:r w:rsidR="008331AA">
        <w:rPr>
          <w:rStyle w:val="FootnoteReference"/>
        </w:rPr>
        <w:footnoteReference w:id="18"/>
      </w:r>
      <w:r w:rsidR="008331AA">
        <w:t xml:space="preserve"> </w:t>
      </w:r>
    </w:p>
    <w:p w14:paraId="4166E440" w14:textId="77777777" w:rsidR="004B2EC6" w:rsidRDefault="004B2EC6">
      <w:pPr>
        <w:pStyle w:val="Body"/>
        <w:spacing w:line="360" w:lineRule="auto"/>
      </w:pPr>
    </w:p>
    <w:p w14:paraId="4166E441" w14:textId="7335DEA6" w:rsidR="004B2EC6" w:rsidRDefault="00AE6C0F">
      <w:pPr>
        <w:pStyle w:val="Body"/>
        <w:spacing w:line="360" w:lineRule="auto"/>
      </w:pPr>
      <w:r>
        <w:t xml:space="preserve">Whilst </w:t>
      </w:r>
      <w:r w:rsidR="00B55F0C">
        <w:t>St. Non</w:t>
      </w:r>
      <w:r>
        <w:t xml:space="preserve"> the mother of St. David is exceptional in being a raped female saint, the </w:t>
      </w:r>
      <w:r w:rsidR="00596C20">
        <w:t>phenomenon</w:t>
      </w:r>
      <w:r>
        <w:t xml:space="preserve"> of a sexually threatened virgin is a well known characteristic in hagiography.                                 The prize of preserved virginity and being married to Christ, her body kept pure for Him, is a ‘</w:t>
      </w:r>
      <w:r w:rsidR="00596C20">
        <w:t>prerequisite</w:t>
      </w:r>
      <w:r>
        <w:t xml:space="preserve">’ for the cult of veneration of a female saint. St. Winefride in </w:t>
      </w:r>
      <w:r w:rsidR="006B7D71">
        <w:t>her Middle</w:t>
      </w:r>
      <w:r>
        <w:t xml:space="preserve"> Welsh Life after being threatened with decapitation by </w:t>
      </w:r>
      <w:r w:rsidR="006B7D71">
        <w:t>Caradog,</w:t>
      </w:r>
      <w:r>
        <w:t xml:space="preserve"> positively decides martyrdom is the greater spiritual priority than despoiling her body.  </w:t>
      </w:r>
      <w:r w:rsidR="00E07D9D">
        <w:t>Consequently</w:t>
      </w:r>
      <w:r w:rsidR="006B7D71">
        <w:t>,</w:t>
      </w:r>
      <w:r>
        <w:t xml:space="preserve"> she is brought to life again by her uncle St. Beuno and </w:t>
      </w:r>
      <w:r w:rsidR="00E07D9D">
        <w:t>later</w:t>
      </w:r>
      <w:r>
        <w:t xml:space="preserve"> becomes the Head of a female Religious Community in Gwytherin. </w:t>
      </w:r>
      <w:r w:rsidR="009E3999">
        <w:rPr>
          <w:rStyle w:val="FootnoteReference"/>
        </w:rPr>
        <w:footnoteReference w:id="19"/>
      </w:r>
      <w:r>
        <w:t xml:space="preserve"> </w:t>
      </w:r>
      <w:r w:rsidR="00B5659A">
        <w:t>The</w:t>
      </w:r>
      <w:r>
        <w:t xml:space="preserve"> </w:t>
      </w:r>
      <w:r>
        <w:lastRenderedPageBreak/>
        <w:t>Historia focusses on the wrath of God descending upon anyone sexually despoil</w:t>
      </w:r>
      <w:r w:rsidR="00096313">
        <w:t>ing</w:t>
      </w:r>
      <w:r>
        <w:t xml:space="preserve"> a </w:t>
      </w:r>
      <w:r w:rsidR="004958A3">
        <w:t>v</w:t>
      </w:r>
      <w:r>
        <w:t>irgin who has consecrated her life to Chris</w:t>
      </w:r>
      <w:r w:rsidR="00B252C3">
        <w:t>t as was the case with Caradog</w:t>
      </w:r>
      <w:r>
        <w:t>.</w:t>
      </w:r>
      <w:r w:rsidR="00BB41EE">
        <w:rPr>
          <w:rStyle w:val="FootnoteReference"/>
        </w:rPr>
        <w:footnoteReference w:id="20"/>
      </w:r>
      <w:r w:rsidR="00800960">
        <w:t xml:space="preserve">  </w:t>
      </w:r>
    </w:p>
    <w:p w14:paraId="4166E442" w14:textId="77777777" w:rsidR="004B2EC6" w:rsidRDefault="004B2EC6">
      <w:pPr>
        <w:pStyle w:val="Body"/>
        <w:spacing w:line="360" w:lineRule="auto"/>
      </w:pPr>
    </w:p>
    <w:p w14:paraId="4166E443" w14:textId="43D7513F" w:rsidR="004B2EC6" w:rsidRDefault="00AE6C0F">
      <w:pPr>
        <w:pStyle w:val="Body"/>
        <w:spacing w:line="360" w:lineRule="auto"/>
      </w:pPr>
      <w:r>
        <w:t xml:space="preserve">The sudden absorption of bodies into the earth has its parallels in other Vitae such as those of Cadog and Illtud. They report Illtud’s reconversion to Christianity after the experience of him seeing the miraculous act of Cadog forcing the ground to </w:t>
      </w:r>
      <w:r w:rsidR="00B520C5">
        <w:t>open</w:t>
      </w:r>
      <w:r>
        <w:t xml:space="preserve"> and swallow a hunting party after their peremptory </w:t>
      </w:r>
      <w:r w:rsidR="00B520C5">
        <w:t>behavio</w:t>
      </w:r>
      <w:r w:rsidR="008C346F">
        <w:t>u</w:t>
      </w:r>
      <w:r w:rsidR="00B520C5">
        <w:t>r</w:t>
      </w:r>
      <w:r w:rsidR="00885164">
        <w:t>.</w:t>
      </w:r>
      <w:r>
        <w:t xml:space="preserve"> </w:t>
      </w:r>
      <w:r w:rsidR="0085232B">
        <w:rPr>
          <w:rStyle w:val="FootnoteReference"/>
        </w:rPr>
        <w:footnoteReference w:id="21"/>
      </w:r>
      <w:r>
        <w:t xml:space="preserve"> </w:t>
      </w:r>
      <w:r w:rsidR="00800960">
        <w:t xml:space="preserve"> </w:t>
      </w:r>
      <w:r>
        <w:t xml:space="preserve">The Welsh Life St Winefride records St. Padarn </w:t>
      </w:r>
      <w:r w:rsidR="00800960">
        <w:t>as having</w:t>
      </w:r>
      <w:r>
        <w:t xml:space="preserve"> caused the ground to swallow up Arthur up to his neck until he shows sorrow following an aggressive argument.</w:t>
      </w:r>
      <w:r w:rsidR="00630E1E">
        <w:rPr>
          <w:rStyle w:val="FootnoteReference"/>
        </w:rPr>
        <w:footnoteReference w:id="22"/>
      </w:r>
      <w:r>
        <w:t xml:space="preserve">  In the Hebrew Scriptures Moses is recorded as causing the ground to swallow up Koran, Dathan, and Abram and their </w:t>
      </w:r>
      <w:r w:rsidR="009314DE">
        <w:t>followers (</w:t>
      </w:r>
      <w:r w:rsidR="008F7E01">
        <w:t>Num</w:t>
      </w:r>
      <w:r w:rsidR="00077E41">
        <w:t>.16</w:t>
      </w:r>
      <w:r w:rsidR="00204622">
        <w:t>:31-35)</w:t>
      </w:r>
      <w:r w:rsidR="009314DE">
        <w:t>.</w:t>
      </w:r>
      <w:r>
        <w:t xml:space="preserve">                        </w:t>
      </w:r>
    </w:p>
    <w:p w14:paraId="4166E444" w14:textId="77777777" w:rsidR="004B2EC6" w:rsidRDefault="004B2EC6">
      <w:pPr>
        <w:pStyle w:val="Body"/>
        <w:spacing w:line="360" w:lineRule="auto"/>
      </w:pPr>
    </w:p>
    <w:p w14:paraId="4166E445" w14:textId="77777777" w:rsidR="004B2EC6" w:rsidRDefault="00AE6C0F">
      <w:pPr>
        <w:pStyle w:val="Body"/>
        <w:spacing w:line="360" w:lineRule="auto"/>
        <w:rPr>
          <w:b/>
          <w:bCs/>
        </w:rPr>
      </w:pPr>
      <w:r>
        <w:rPr>
          <w:b/>
          <w:bCs/>
        </w:rPr>
        <w:t xml:space="preserve">Beheading </w:t>
      </w:r>
    </w:p>
    <w:p w14:paraId="4166E446" w14:textId="6CC8D402" w:rsidR="004B2EC6" w:rsidRDefault="00AE6C0F">
      <w:pPr>
        <w:pStyle w:val="Body"/>
        <w:spacing w:line="360" w:lineRule="auto"/>
      </w:pPr>
      <w:r>
        <w:t>Robert</w:t>
      </w:r>
      <w:r w:rsidR="004924F9">
        <w:t xml:space="preserve">’s </w:t>
      </w:r>
      <w:r w:rsidR="008E74A2">
        <w:t>Vita</w:t>
      </w:r>
      <w:r w:rsidR="00181637">
        <w:t xml:space="preserve"> </w:t>
      </w:r>
      <w:r>
        <w:t xml:space="preserve">records the decollation </w:t>
      </w:r>
      <w:r w:rsidR="006F7213">
        <w:t>taking place</w:t>
      </w:r>
      <w:r>
        <w:t xml:space="preserve"> near the church which being in an area on a slope</w:t>
      </w:r>
      <w:r w:rsidR="005B672E">
        <w:t>,</w:t>
      </w:r>
      <w:r>
        <w:t xml:space="preserve"> caused her head to roll into the building away from the rest of her body which remained where she had stumbled during the assault. Meanwhile the distress of the congregation caused the interruption of Beuno in the celebration of Mass. He realised the cause of the noise and saw the perpetrator before him outside the door. Having approached him with the head of Winefride in his hands, he cursed Caradog who dramatically melted into the hole which had been created. Before continuing with </w:t>
      </w:r>
      <w:r w:rsidR="006834EA">
        <w:t>Mass, Bueno</w:t>
      </w:r>
      <w:r>
        <w:t xml:space="preserve"> covered Winefride with his garment having placed her head near the rest of her body. At the end of </w:t>
      </w:r>
      <w:r w:rsidR="00214EDE">
        <w:t>worship,</w:t>
      </w:r>
      <w:r>
        <w:t xml:space="preserve"> he returned and led prayers with the congregation for the restoration to life of Winefride. At the response “Amen” Winefride stood up </w:t>
      </w:r>
      <w:r w:rsidR="00214EDE">
        <w:t>and filling</w:t>
      </w:r>
      <w:r>
        <w:t xml:space="preserve"> the onlookers with joyful amazement, almost casually clearing her countenance of debris and perspiration. </w:t>
      </w:r>
      <w:r w:rsidR="00BD6DB5">
        <w:rPr>
          <w:rStyle w:val="FootnoteReference"/>
        </w:rPr>
        <w:footnoteReference w:id="23"/>
      </w:r>
      <w:r>
        <w:t xml:space="preserve"> </w:t>
      </w:r>
    </w:p>
    <w:p w14:paraId="4166E448" w14:textId="240916D8" w:rsidR="004B2EC6" w:rsidRDefault="00AE6C0F">
      <w:pPr>
        <w:pStyle w:val="Body"/>
        <w:spacing w:line="360" w:lineRule="auto"/>
      </w:pPr>
      <w:r>
        <w:t>Th</w:t>
      </w:r>
      <w:r w:rsidR="00395522">
        <w:t>is</w:t>
      </w:r>
      <w:r>
        <w:t xml:space="preserve"> central dramatic act of the </w:t>
      </w:r>
      <w:r w:rsidR="006F7213">
        <w:t>legend appears</w:t>
      </w:r>
      <w:r>
        <w:t xml:space="preserve"> in slightly different versions in the two Lives. The Anonymous Life describes the act just outside the</w:t>
      </w:r>
      <w:r w:rsidR="00A01037">
        <w:t xml:space="preserve"> church</w:t>
      </w:r>
      <w:r>
        <w:t xml:space="preserve"> with Winefride about to enter for protection</w:t>
      </w:r>
      <w:r w:rsidR="00ED29B6">
        <w:t>,</w:t>
      </w:r>
      <w:r w:rsidR="00AB6DDD">
        <w:t xml:space="preserve"> </w:t>
      </w:r>
      <w:r w:rsidR="000018F3">
        <w:t>h</w:t>
      </w:r>
      <w:r w:rsidR="00AB6DDD">
        <w:t>er</w:t>
      </w:r>
      <w:r>
        <w:t xml:space="preserve"> body remaining outside but her head tumbling over the threshold by the force of the blow. </w:t>
      </w:r>
      <w:r w:rsidR="00B13B99">
        <w:rPr>
          <w:rStyle w:val="FootnoteReference"/>
        </w:rPr>
        <w:footnoteReference w:id="24"/>
      </w:r>
      <w:r>
        <w:t xml:space="preserve">  Robert’s account is graphic. </w:t>
      </w:r>
      <w:r w:rsidR="00A76487">
        <w:t>I</w:t>
      </w:r>
      <w:r w:rsidR="00811323">
        <w:t xml:space="preserve">t is this </w:t>
      </w:r>
      <w:r>
        <w:t xml:space="preserve">story which has been the inspiration for much veneration of the cult of St. Winefride and caused many people from kings to commoners to make their pilgrimage to the Shrine over the centuries. It has not been without its </w:t>
      </w:r>
      <w:r w:rsidR="002D3380">
        <w:t>sceptics</w:t>
      </w:r>
      <w:r w:rsidR="00C302AE">
        <w:t xml:space="preserve"> </w:t>
      </w:r>
      <w:r>
        <w:t>however. Baring Gould and Fisher in particular cast doubt on the efficacy of the story offering a more mundane version of the interaction between Winefride and Carado</w:t>
      </w:r>
      <w:r w:rsidR="00645645">
        <w:t>g,</w:t>
      </w:r>
      <w:r>
        <w:t xml:space="preserve"> </w:t>
      </w:r>
      <w:r w:rsidR="004A533C">
        <w:rPr>
          <w:rStyle w:val="FootnoteReference"/>
        </w:rPr>
        <w:footnoteReference w:id="25"/>
      </w:r>
      <w:r w:rsidR="00A26969">
        <w:t xml:space="preserve">  </w:t>
      </w:r>
      <w:r>
        <w:t xml:space="preserve">Kathleen Evans also </w:t>
      </w:r>
      <w:r>
        <w:lastRenderedPageBreak/>
        <w:t xml:space="preserve">dismisses the miraculous nature of the </w:t>
      </w:r>
      <w:r w:rsidR="00C4447E">
        <w:t xml:space="preserve">incident. </w:t>
      </w:r>
      <w:r w:rsidR="00C4447E">
        <w:rPr>
          <w:rStyle w:val="FootnoteReference"/>
        </w:rPr>
        <w:footnoteReference w:id="26"/>
      </w:r>
      <w:r>
        <w:t xml:space="preserve">  As would be expected the position taken by Henken is that the story is predicated by the false concept of male superiority and the credentials for female sainthood dwelling in her ability to preserve virginity.</w:t>
      </w:r>
      <w:r w:rsidR="009B72B9">
        <w:rPr>
          <w:rStyle w:val="FootnoteReference"/>
        </w:rPr>
        <w:footnoteReference w:id="27"/>
      </w:r>
      <w:r>
        <w:t xml:space="preserve"> </w:t>
      </w:r>
    </w:p>
    <w:p w14:paraId="4166E449" w14:textId="77777777" w:rsidR="004B2EC6" w:rsidRDefault="004B2EC6">
      <w:pPr>
        <w:pStyle w:val="Body"/>
        <w:spacing w:line="360" w:lineRule="auto"/>
      </w:pPr>
    </w:p>
    <w:p w14:paraId="4166E44A" w14:textId="77777777" w:rsidR="004B2EC6" w:rsidRDefault="00AE6C0F">
      <w:pPr>
        <w:pStyle w:val="Body"/>
        <w:spacing w:line="360" w:lineRule="auto"/>
      </w:pPr>
      <w:r>
        <w:t xml:space="preserve">St. Beuno’s act of carrying the head of Winefride to confront Caradog is significant in that </w:t>
      </w:r>
    </w:p>
    <w:p w14:paraId="4166E44B" w14:textId="26432F3D" w:rsidR="004B2EC6" w:rsidRDefault="00AE6C0F">
      <w:pPr>
        <w:pStyle w:val="Body"/>
        <w:spacing w:line="360" w:lineRule="auto"/>
      </w:pPr>
      <w:r>
        <w:t xml:space="preserve">amongst primitive motifs, that of the human head is </w:t>
      </w:r>
      <w:r w:rsidR="00D47234">
        <w:t xml:space="preserve">an </w:t>
      </w:r>
      <w:r w:rsidR="00A26969">
        <w:t>important</w:t>
      </w:r>
      <w:r>
        <w:t xml:space="preserve"> </w:t>
      </w:r>
      <w:r w:rsidR="00E30C51">
        <w:t>feature.</w:t>
      </w:r>
      <w:r>
        <w:t xml:space="preserve"> In Beuno’s Life, the three cases of decollation by Beuno may point to him </w:t>
      </w:r>
      <w:r w:rsidR="00C302AE">
        <w:t>vanquishing</w:t>
      </w:r>
      <w:r>
        <w:t xml:space="preserve"> Caradog and </w:t>
      </w:r>
      <w:r w:rsidR="006F7213">
        <w:t xml:space="preserve">saving </w:t>
      </w:r>
      <w:r w:rsidR="002F3AA7">
        <w:t>Winefride from</w:t>
      </w:r>
      <w:r w:rsidR="00B0515D">
        <w:t xml:space="preserve"> </w:t>
      </w:r>
      <w:r w:rsidR="00202748">
        <w:t>enemy forces</w:t>
      </w:r>
      <w:r w:rsidR="00A84E5F">
        <w:t>.</w:t>
      </w:r>
      <w:r w:rsidR="00B0515D">
        <w:t xml:space="preserve">  </w:t>
      </w:r>
      <w:r w:rsidR="00905ADD">
        <w:t>S</w:t>
      </w:r>
      <w:r w:rsidR="00202748">
        <w:t>ince the</w:t>
      </w:r>
      <w:r w:rsidR="00955EB2">
        <w:t xml:space="preserve"> </w:t>
      </w:r>
      <w:r w:rsidR="00905ADD">
        <w:t xml:space="preserve">human head in ancient Celtic </w:t>
      </w:r>
      <w:r w:rsidR="00812E1E">
        <w:t xml:space="preserve">religion was considered to be a worthy </w:t>
      </w:r>
      <w:r>
        <w:t xml:space="preserve">trophy, it was thought to contain supernatural power, so a beheading was highly </w:t>
      </w:r>
      <w:r w:rsidR="00A36E01">
        <w:t>significant</w:t>
      </w:r>
      <w:r w:rsidR="008560E0">
        <w:t xml:space="preserve"> </w:t>
      </w:r>
      <w:r w:rsidR="00007CC7">
        <w:rPr>
          <w:rStyle w:val="FootnoteReference"/>
        </w:rPr>
        <w:footnoteReference w:id="28"/>
      </w:r>
      <w:r>
        <w:t xml:space="preserve">  Dorothy Ann Bray notes the early </w:t>
      </w:r>
      <w:r w:rsidR="00A36E01">
        <w:t>Celtic</w:t>
      </w:r>
      <w:r>
        <w:t xml:space="preserve"> motifs of beheading including Adomnan bringing back to life by the replacement of the head of the Queen of Tara who was discovered beheaded in a war zone. Greater significance</w:t>
      </w:r>
      <w:r w:rsidR="00294806">
        <w:t xml:space="preserve"> though</w:t>
      </w:r>
      <w:r>
        <w:t xml:space="preserve"> is where the death and resurrection motif occurs within the Christian context. It features in several Vitae including that of the Life of St. Mochoemog . </w:t>
      </w:r>
      <w:r w:rsidR="00CE5F4F">
        <w:rPr>
          <w:rStyle w:val="FootnoteReference"/>
        </w:rPr>
        <w:footnoteReference w:id="29"/>
      </w:r>
      <w:r>
        <w:t xml:space="preserve">  </w:t>
      </w:r>
    </w:p>
    <w:p w14:paraId="4CD08C8C" w14:textId="77777777" w:rsidR="00AB4781" w:rsidRDefault="00AB4781" w:rsidP="000E41A1">
      <w:pPr>
        <w:pStyle w:val="Body"/>
        <w:spacing w:line="480" w:lineRule="auto"/>
        <w:rPr>
          <w:b/>
          <w:bCs/>
        </w:rPr>
      </w:pPr>
    </w:p>
    <w:p w14:paraId="54AF11D7" w14:textId="5E646701" w:rsidR="00B953E2" w:rsidRDefault="00AE6C0F" w:rsidP="000E41A1">
      <w:pPr>
        <w:pStyle w:val="Body"/>
        <w:spacing w:line="480" w:lineRule="auto"/>
        <w:rPr>
          <w:b/>
          <w:bCs/>
        </w:rPr>
      </w:pPr>
      <w:r>
        <w:rPr>
          <w:b/>
          <w:bCs/>
        </w:rPr>
        <w:t>Springs</w:t>
      </w:r>
    </w:p>
    <w:p w14:paraId="4166E450" w14:textId="0CC3C2F5" w:rsidR="004B2EC6" w:rsidRPr="00AB4781" w:rsidRDefault="00AE6C0F" w:rsidP="00AB4781">
      <w:pPr>
        <w:pStyle w:val="Body"/>
        <w:spacing w:line="480" w:lineRule="auto"/>
        <w:rPr>
          <w:b/>
          <w:bCs/>
        </w:rPr>
      </w:pPr>
      <w:r>
        <w:t xml:space="preserve">Prior Robert emphasised the significance of the appearance of the Spring following the </w:t>
      </w:r>
      <w:r w:rsidR="00104C50">
        <w:t>beheading spurting</w:t>
      </w:r>
      <w:r>
        <w:t xml:space="preserve"> forth in an area originally known as Dry Vale.</w:t>
      </w:r>
      <w:r w:rsidR="00917620">
        <w:rPr>
          <w:rStyle w:val="FootnoteReference"/>
        </w:rPr>
        <w:footnoteReference w:id="30"/>
      </w:r>
      <w:r>
        <w:t xml:space="preserve">  This miracle gave the area its new name, Holywell with its Welsh version Trefynnon </w:t>
      </w:r>
      <w:r w:rsidR="00104C50">
        <w:t>(the</w:t>
      </w:r>
      <w:r>
        <w:t xml:space="preserve"> town of the </w:t>
      </w:r>
      <w:r w:rsidR="002F3AA7">
        <w:t>Fountain) it</w:t>
      </w:r>
      <w:r>
        <w:t xml:space="preserve"> is worth noting however that a number of natural Springs occur in the Holywell area owing to the rocky type of subterranean character of the earth. Saith Ffynnon Farm (S</w:t>
      </w:r>
      <w:r w:rsidR="00E8251F">
        <w:t>even</w:t>
      </w:r>
      <w:r w:rsidR="008F5D5D">
        <w:t xml:space="preserve"> </w:t>
      </w:r>
      <w:r>
        <w:t xml:space="preserve">Wells </w:t>
      </w:r>
      <w:r w:rsidR="004B5EAB">
        <w:t>Farm) a</w:t>
      </w:r>
      <w:r>
        <w:t xml:space="preserve"> few miles from Holywell is in an area where the territory consists of subterranean ingredients enabling many springs to appear.</w:t>
      </w:r>
      <w:r w:rsidR="00411ECA">
        <w:rPr>
          <w:rStyle w:val="FootnoteReference"/>
        </w:rPr>
        <w:footnoteReference w:id="31"/>
      </w:r>
      <w:r>
        <w:t xml:space="preserve">  The so called St. David’s Well two miles from Holywell is another Well commissioned as a site  associated with two Celtic saints which bears no credibility since there is no evidence in the Lives </w:t>
      </w:r>
      <w:r>
        <w:lastRenderedPageBreak/>
        <w:t xml:space="preserve">of St. David and St. Bueno </w:t>
      </w:r>
      <w:r w:rsidR="00562295">
        <w:t>of them</w:t>
      </w:r>
      <w:r w:rsidR="0069432D">
        <w:t xml:space="preserve"> </w:t>
      </w:r>
      <w:r>
        <w:t>ever meeting in Holywell.</w:t>
      </w:r>
      <w:r w:rsidR="00B32C47">
        <w:rPr>
          <w:rStyle w:val="FootnoteReference"/>
        </w:rPr>
        <w:footnoteReference w:id="32"/>
      </w:r>
      <w:r>
        <w:t xml:space="preserve">  </w:t>
      </w:r>
      <w:r w:rsidR="00A33489">
        <w:t>W</w:t>
      </w:r>
      <w:r>
        <w:t xml:space="preserve">ithin the parish of Holywell is the recently restored St Bueno’s Well adjacent to St. </w:t>
      </w:r>
      <w:r w:rsidR="001E57D2">
        <w:t>Win</w:t>
      </w:r>
      <w:r w:rsidR="00DF4A20">
        <w:t>efride’s</w:t>
      </w:r>
      <w:r>
        <w:t xml:space="preserve"> Well. </w:t>
      </w:r>
      <w:r w:rsidR="00BC10FF">
        <w:rPr>
          <w:rStyle w:val="FootnoteReference"/>
        </w:rPr>
        <w:footnoteReference w:id="33"/>
      </w:r>
      <w:r>
        <w:t xml:space="preserve"> </w:t>
      </w:r>
      <w:r w:rsidR="00A07AF9">
        <w:t xml:space="preserve"> </w:t>
      </w:r>
      <w:r>
        <w:t>There is also a Spring in the garden of the former Holywell Vicarage. The Holywell Shrine is not the only example of a spring appearing linked to the physical presence of St Winefride</w:t>
      </w:r>
      <w:r w:rsidR="00CF5597">
        <w:t>.</w:t>
      </w:r>
      <w:r w:rsidR="00A47A8C">
        <w:t xml:space="preserve"> </w:t>
      </w:r>
      <w:r>
        <w:t xml:space="preserve">The Landmark Trust owns St. Winifride’s Well at Woolston where it is claimed the saint’s remains stopped over during her translation from Gwytherin to Shrewsbury in 1138 resulting in a miraculous </w:t>
      </w:r>
      <w:r w:rsidR="00CE7DC8">
        <w:t>s</w:t>
      </w:r>
      <w:r>
        <w:t xml:space="preserve">pring at the site. </w:t>
      </w:r>
      <w:r w:rsidR="0030343D">
        <w:rPr>
          <w:rStyle w:val="FootnoteReference"/>
        </w:rPr>
        <w:footnoteReference w:id="34"/>
      </w:r>
      <w:r>
        <w:t xml:space="preserve"> </w:t>
      </w:r>
    </w:p>
    <w:p w14:paraId="4166E451" w14:textId="77777777" w:rsidR="004B2EC6" w:rsidRDefault="004B2EC6">
      <w:pPr>
        <w:pStyle w:val="Body"/>
        <w:spacing w:line="360" w:lineRule="auto"/>
      </w:pPr>
    </w:p>
    <w:p w14:paraId="4166E452" w14:textId="5126D2EB" w:rsidR="004B2EC6" w:rsidRDefault="00AE6C0F">
      <w:pPr>
        <w:pStyle w:val="Body"/>
        <w:spacing w:line="360" w:lineRule="auto"/>
      </w:pPr>
      <w:r>
        <w:t xml:space="preserve">There are many examples of miraculous springs appearing at Celtic sites especially at decisive points. One such example is noted by Henken who cites the spring appearing at the baptism of St. David. </w:t>
      </w:r>
      <w:r w:rsidR="00DD37B6">
        <w:rPr>
          <w:rStyle w:val="FootnoteReference"/>
        </w:rPr>
        <w:footnoteReference w:id="35"/>
      </w:r>
      <w:r w:rsidR="006A102D">
        <w:t xml:space="preserve"> </w:t>
      </w:r>
    </w:p>
    <w:p w14:paraId="4166E453" w14:textId="77777777" w:rsidR="004B2EC6" w:rsidRDefault="004B2EC6">
      <w:pPr>
        <w:pStyle w:val="Body"/>
        <w:spacing w:line="360" w:lineRule="auto"/>
      </w:pPr>
    </w:p>
    <w:p w14:paraId="4166E454" w14:textId="254654EE" w:rsidR="004B2EC6" w:rsidRDefault="00AE6C0F">
      <w:pPr>
        <w:pStyle w:val="Body"/>
        <w:spacing w:line="360" w:lineRule="auto"/>
      </w:pPr>
      <w:r>
        <w:t xml:space="preserve">Although there is an undoubted sense of the numinous at the many Celtic associated springs and pools, one could argue that an open mind is needed when visiting these sites since the sanctity one senses at them could emanate from the veneration of the many Christian pilgrims down the centuries. It is possible the power of their prayers </w:t>
      </w:r>
      <w:r w:rsidR="00104C50">
        <w:t>has</w:t>
      </w:r>
      <w:r>
        <w:t xml:space="preserve"> invested these places with their spiritual charisma rather than the actuality of the sacred events of the past the site proclaims. This could also suggest the </w:t>
      </w:r>
      <w:r w:rsidR="001317B4">
        <w:t>s</w:t>
      </w:r>
      <w:r>
        <w:t>pring motif may be associated with the pre Christian Celtic focus on the power of the underworld with a subsequent Christian interpretation being placed upon it.</w:t>
      </w:r>
    </w:p>
    <w:p w14:paraId="4166E455" w14:textId="77777777" w:rsidR="004B2EC6" w:rsidRDefault="004B2EC6">
      <w:pPr>
        <w:pStyle w:val="Body"/>
        <w:spacing w:line="360" w:lineRule="auto"/>
      </w:pPr>
    </w:p>
    <w:p w14:paraId="4166E456" w14:textId="77777777" w:rsidR="004B2EC6" w:rsidRDefault="00AE6C0F">
      <w:pPr>
        <w:pStyle w:val="Body"/>
        <w:spacing w:line="360" w:lineRule="auto"/>
      </w:pPr>
      <w:r>
        <w:t xml:space="preserve"> In the words of Mara Freeman Archdruidess of the Druid Clan of Dana and honoured Bard.</w:t>
      </w:r>
    </w:p>
    <w:p w14:paraId="4166E457" w14:textId="77777777" w:rsidR="004B2EC6" w:rsidRDefault="004B2EC6">
      <w:pPr>
        <w:pStyle w:val="Body"/>
        <w:spacing w:line="360" w:lineRule="auto"/>
      </w:pPr>
    </w:p>
    <w:p w14:paraId="4166E458" w14:textId="27DE978A" w:rsidR="004B2EC6" w:rsidRDefault="00AE6C0F" w:rsidP="00F400AD">
      <w:pPr>
        <w:pStyle w:val="Body"/>
        <w:spacing w:line="360" w:lineRule="auto"/>
        <w:ind w:left="851"/>
      </w:pPr>
      <w:r>
        <w:t>’The Welsh</w:t>
      </w:r>
      <w:r w:rsidR="001903D5">
        <w:t xml:space="preserve"> seem</w:t>
      </w:r>
      <w:r>
        <w:t xml:space="preserve"> to have viewed the lakes and waterways as portals to an underworld where feminine presences dwelt. A spring gushing up from within the earth would have been viewed long before the arrival of the Christians as a place of tremendous power. </w:t>
      </w:r>
      <w:r w:rsidR="00322E5E">
        <w:t>Likely</w:t>
      </w:r>
      <w:r>
        <w:t>, ceremonies would have been performed there to connect with the deep feminine essence of the world</w:t>
      </w:r>
      <w:r w:rsidR="00C126E9">
        <w:t>.</w:t>
      </w:r>
      <w:r w:rsidR="00C126E9">
        <w:rPr>
          <w:rStyle w:val="FootnoteReference"/>
        </w:rPr>
        <w:footnoteReference w:id="36"/>
      </w:r>
      <w:r>
        <w:t xml:space="preserve">           </w:t>
      </w:r>
    </w:p>
    <w:p w14:paraId="4166E459" w14:textId="77777777" w:rsidR="004B2EC6" w:rsidRDefault="004B2EC6">
      <w:pPr>
        <w:pStyle w:val="Body"/>
        <w:spacing w:line="360" w:lineRule="auto"/>
      </w:pPr>
    </w:p>
    <w:p w14:paraId="4166E45A" w14:textId="53C4D471" w:rsidR="004B2EC6" w:rsidRDefault="00AE6C0F">
      <w:pPr>
        <w:pStyle w:val="Body"/>
        <w:spacing w:line="360" w:lineRule="auto"/>
      </w:pPr>
      <w:r>
        <w:t xml:space="preserve">The Historia focusses on the wrath of God descending upon anyone sexually despoiling a Virgin who has consecrated her life to Christ. Therefore in the Vita Sancte </w:t>
      </w:r>
      <w:r w:rsidR="00F80E3A">
        <w:t>Winefride, it</w:t>
      </w:r>
      <w:r w:rsidR="00136859">
        <w:t xml:space="preserve"> was </w:t>
      </w:r>
      <w:r w:rsidR="0076433A">
        <w:t>D</w:t>
      </w:r>
      <w:r w:rsidR="009A6558">
        <w:t xml:space="preserve">ivine </w:t>
      </w:r>
      <w:r w:rsidR="00B26C80">
        <w:t xml:space="preserve">anger </w:t>
      </w:r>
      <w:r w:rsidR="00B26C80">
        <w:lastRenderedPageBreak/>
        <w:t>which</w:t>
      </w:r>
      <w:r w:rsidR="00637815">
        <w:t xml:space="preserve"> caused </w:t>
      </w:r>
      <w:r>
        <w:t>Bueno’s</w:t>
      </w:r>
      <w:r w:rsidR="00D20A3A">
        <w:t xml:space="preserve"> </w:t>
      </w:r>
      <w:r>
        <w:t xml:space="preserve">damnation </w:t>
      </w:r>
      <w:r w:rsidR="0054591E">
        <w:t>resulting</w:t>
      </w:r>
      <w:r w:rsidR="00D872B6">
        <w:t xml:space="preserve"> in</w:t>
      </w:r>
      <w:r w:rsidR="0076069E">
        <w:t xml:space="preserve"> </w:t>
      </w:r>
      <w:r>
        <w:t xml:space="preserve">her assailant’s sudden </w:t>
      </w:r>
      <w:r w:rsidR="00DF012E">
        <w:t>death, melting</w:t>
      </w:r>
      <w:r w:rsidR="00E27261">
        <w:t xml:space="preserve"> </w:t>
      </w:r>
      <w:r>
        <w:t>and disintegrat</w:t>
      </w:r>
      <w:r w:rsidR="00E27261">
        <w:t>ion</w:t>
      </w:r>
      <w:r w:rsidR="00A93B7D">
        <w:t>.</w:t>
      </w:r>
      <w:r>
        <w:t xml:space="preserve"> </w:t>
      </w:r>
      <w:r w:rsidR="00A97713">
        <w:rPr>
          <w:rStyle w:val="FootnoteReference"/>
        </w:rPr>
        <w:footnoteReference w:id="37"/>
      </w:r>
      <w:r w:rsidR="00D91EEE">
        <w:t xml:space="preserve"> </w:t>
      </w:r>
    </w:p>
    <w:p w14:paraId="4166E45B" w14:textId="77777777" w:rsidR="004B2EC6" w:rsidRDefault="004B2EC6">
      <w:pPr>
        <w:pStyle w:val="Body"/>
        <w:spacing w:line="360" w:lineRule="auto"/>
      </w:pPr>
    </w:p>
    <w:p w14:paraId="4166E45C" w14:textId="291B1495" w:rsidR="004B2EC6" w:rsidRDefault="00AE6C0F">
      <w:pPr>
        <w:pStyle w:val="Body"/>
        <w:spacing w:line="360" w:lineRule="auto"/>
      </w:pPr>
      <w:r>
        <w:t xml:space="preserve"> As is typical in the Vitae of male saints, power </w:t>
      </w:r>
      <w:r w:rsidR="00017C37">
        <w:t>characterised saintliness</w:t>
      </w:r>
      <w:r w:rsidR="00A4572D">
        <w:t xml:space="preserve"> </w:t>
      </w:r>
      <w:r w:rsidR="00E3029C">
        <w:t>as</w:t>
      </w:r>
      <w:r>
        <w:t xml:space="preserve"> in the Life of St. Bueno (Buchedd Bueno</w:t>
      </w:r>
      <w:r w:rsidR="00F80E3A">
        <w:t>). The</w:t>
      </w:r>
      <w:r>
        <w:t xml:space="preserve"> cursing of Winefride’s assailant and the ability to bring her back to life following her decollation typified this authority. These two cases </w:t>
      </w:r>
      <w:r w:rsidR="003471D8">
        <w:t>related to</w:t>
      </w:r>
      <w:r>
        <w:t xml:space="preserve"> two Christian motifs, the calling upon </w:t>
      </w:r>
      <w:r>
        <w:rPr>
          <w:b/>
          <w:bCs/>
        </w:rPr>
        <w:t>God’s authority</w:t>
      </w:r>
      <w:r>
        <w:t xml:space="preserve"> and the </w:t>
      </w:r>
      <w:r>
        <w:rPr>
          <w:b/>
          <w:bCs/>
        </w:rPr>
        <w:t>Eucharistic</w:t>
      </w:r>
      <w:r>
        <w:t xml:space="preserve"> </w:t>
      </w:r>
      <w:r>
        <w:rPr>
          <w:b/>
          <w:bCs/>
        </w:rPr>
        <w:t>Celebration</w:t>
      </w:r>
      <w:r>
        <w:t xml:space="preserve">. It is yet to be verified whether aspects of Bueno’s acts stem from a pre Christian primitive tradition. </w:t>
      </w:r>
      <w:r w:rsidR="00017C37">
        <w:t xml:space="preserve"> Also,</w:t>
      </w:r>
      <w:r>
        <w:t xml:space="preserve"> whether such elements were influential at the time of writing of Buchedd Bueno it is impossible to ascertain, but conjecture may point towards them being already part of Welsh hagiography. </w:t>
      </w:r>
      <w:r w:rsidR="007E4456">
        <w:rPr>
          <w:rStyle w:val="FootnoteReference"/>
        </w:rPr>
        <w:footnoteReference w:id="38"/>
      </w:r>
    </w:p>
    <w:p w14:paraId="4166E45D" w14:textId="77777777" w:rsidR="004B2EC6" w:rsidRDefault="004B2EC6">
      <w:pPr>
        <w:pStyle w:val="Body"/>
        <w:spacing w:line="360" w:lineRule="auto"/>
      </w:pPr>
    </w:p>
    <w:p w14:paraId="4166E45E" w14:textId="3EB14E6C" w:rsidR="004B2EC6" w:rsidRDefault="00AE6C0F">
      <w:pPr>
        <w:pStyle w:val="Body"/>
        <w:spacing w:line="360" w:lineRule="auto"/>
      </w:pPr>
      <w:r>
        <w:t xml:space="preserve">One could argue that the male control of the Vitae prevents us having a more balanced view of the figure of St. Winefride and the other Welsh female saints.  Robert’s Vita, as is the case with other female Vitaes, is predicated by her life as seen through the male lens. Potentially such an information treasury of Welsh female saintliness may have been lost both by the </w:t>
      </w:r>
      <w:r w:rsidR="001F452E">
        <w:t xml:space="preserve">sexist </w:t>
      </w:r>
      <w:r>
        <w:t xml:space="preserve">approach of Prior Robert and the other authors of saints Vitae. </w:t>
      </w:r>
      <w:r w:rsidR="00104C50">
        <w:t>Therefore,</w:t>
      </w:r>
      <w:r w:rsidR="00690CB9">
        <w:t xml:space="preserve"> the</w:t>
      </w:r>
      <w:r>
        <w:t xml:space="preserve"> importance of Welsh </w:t>
      </w:r>
      <w:r w:rsidR="00322E5E">
        <w:t>poetry,</w:t>
      </w:r>
      <w:r>
        <w:t xml:space="preserve"> which will be returned to later, is for hagiographic researchers </w:t>
      </w:r>
      <w:r w:rsidR="00690CB9">
        <w:t xml:space="preserve">another </w:t>
      </w:r>
      <w:r>
        <w:t xml:space="preserve">insightful </w:t>
      </w:r>
      <w:r w:rsidR="009B1245">
        <w:t xml:space="preserve">reference </w:t>
      </w:r>
      <w:r>
        <w:t>stream.</w:t>
      </w:r>
    </w:p>
    <w:p w14:paraId="4166E45F" w14:textId="77777777" w:rsidR="004B2EC6" w:rsidRDefault="004B2EC6">
      <w:pPr>
        <w:pStyle w:val="Body"/>
        <w:spacing w:line="360" w:lineRule="auto"/>
      </w:pPr>
    </w:p>
    <w:p w14:paraId="4166E460" w14:textId="511EA463" w:rsidR="004B2EC6" w:rsidRDefault="00AE6C0F">
      <w:pPr>
        <w:pStyle w:val="Body"/>
        <w:spacing w:line="360" w:lineRule="auto"/>
      </w:pPr>
      <w:r>
        <w:t xml:space="preserve">The role of female Welsh saints has been disparaged by </w:t>
      </w:r>
      <w:r w:rsidR="004976B4">
        <w:t>an</w:t>
      </w:r>
      <w:r w:rsidR="00BD34A4">
        <w:t xml:space="preserve"> </w:t>
      </w:r>
      <w:r>
        <w:t>antiquated male attitude</w:t>
      </w:r>
      <w:r w:rsidR="00BD34A4">
        <w:t>.</w:t>
      </w:r>
      <w:r>
        <w:t xml:space="preserve"> Th</w:t>
      </w:r>
      <w:r w:rsidR="00975C17">
        <w:t>is</w:t>
      </w:r>
      <w:r>
        <w:t xml:space="preserve"> lack of acknowledgement of the limited </w:t>
      </w:r>
      <w:r w:rsidR="00017C37">
        <w:t>sources has</w:t>
      </w:r>
      <w:r>
        <w:t xml:space="preserve"> had a negative effect on </w:t>
      </w:r>
      <w:r w:rsidR="00DD46DF">
        <w:t xml:space="preserve">the </w:t>
      </w:r>
      <w:r>
        <w:t xml:space="preserve">female contribution in the Celtic period. There is a considerable </w:t>
      </w:r>
      <w:r w:rsidR="00200589">
        <w:t xml:space="preserve">discrepancy </w:t>
      </w:r>
      <w:r w:rsidR="009F4A01">
        <w:t>for</w:t>
      </w:r>
      <w:r w:rsidR="004976B4">
        <w:t xml:space="preserve"> </w:t>
      </w:r>
      <w:r w:rsidR="00F80E3A">
        <w:t>example between</w:t>
      </w:r>
      <w:r>
        <w:t xml:space="preserve"> the Welsh Vitae of male and </w:t>
      </w:r>
      <w:r w:rsidR="00B06036">
        <w:t>female</w:t>
      </w:r>
      <w:r>
        <w:t xml:space="preserve"> narratives</w:t>
      </w:r>
      <w:r w:rsidR="00841564">
        <w:t xml:space="preserve"> with the state of virginity </w:t>
      </w:r>
      <w:r w:rsidR="006E39FD">
        <w:t>being the</w:t>
      </w:r>
      <w:r w:rsidR="00841564">
        <w:t xml:space="preserve"> marked difference</w:t>
      </w:r>
      <w:r w:rsidR="006E39FD">
        <w:t>.</w:t>
      </w:r>
      <w:r>
        <w:t xml:space="preserve">  Cartwright notes Henken’s observation that most Welsh male saints demonstrate their greatness by the pattern of a non religious heroic leader who is renowned for his scholarship and in the tradition of monastic episcopy.  For female </w:t>
      </w:r>
      <w:r w:rsidR="00AA17B6">
        <w:t>saints the</w:t>
      </w:r>
      <w:r>
        <w:t xml:space="preserve"> priority of virginity is essential. Their Lives are </w:t>
      </w:r>
      <w:r w:rsidR="00465445">
        <w:t>normally formulated</w:t>
      </w:r>
      <w:r>
        <w:t xml:space="preserve"> at the beginning of sexual </w:t>
      </w:r>
      <w:r w:rsidR="00104C50">
        <w:t>maturity,</w:t>
      </w:r>
      <w:r>
        <w:t xml:space="preserve"> and this influences the narratives contained in their stories. </w:t>
      </w:r>
      <w:r w:rsidR="00366BE6">
        <w:rPr>
          <w:rStyle w:val="FootnoteReference"/>
        </w:rPr>
        <w:footnoteReference w:id="39"/>
      </w:r>
      <w:r w:rsidR="00366BE6">
        <w:t xml:space="preserve">   </w:t>
      </w:r>
      <w:r>
        <w:t xml:space="preserve">Cartwright reminds us of Bloch’s comment ‘the only good virgin - that </w:t>
      </w:r>
      <w:r w:rsidR="000A12A2">
        <w:t>is,</w:t>
      </w:r>
      <w:r>
        <w:t xml:space="preserve"> the only true virgin-is a dead virgin’. </w:t>
      </w:r>
      <w:r w:rsidR="00A32F6F">
        <w:rPr>
          <w:rStyle w:val="FootnoteReference"/>
        </w:rPr>
        <w:footnoteReference w:id="40"/>
      </w:r>
      <w:r>
        <w:t xml:space="preserve">   </w:t>
      </w:r>
      <w:r w:rsidR="0073486B">
        <w:t>S</w:t>
      </w:r>
      <w:r>
        <w:t xml:space="preserve">he also argues that the female </w:t>
      </w:r>
      <w:r w:rsidR="0073486B">
        <w:t>s</w:t>
      </w:r>
      <w:r>
        <w:t>aint positively receives extreme physical abuse as it represents the higher spiritual status released from earthly sensations.</w:t>
      </w:r>
      <w:r w:rsidR="00A90A54" w:rsidRPr="00A90A54">
        <w:rPr>
          <w:rStyle w:val="FootnoteReference"/>
        </w:rPr>
        <w:t xml:space="preserve"> </w:t>
      </w:r>
      <w:r w:rsidR="00A90A54">
        <w:rPr>
          <w:rStyle w:val="FootnoteReference"/>
        </w:rPr>
        <w:footnoteReference w:id="41"/>
      </w:r>
      <w:r>
        <w:t xml:space="preserve"> </w:t>
      </w:r>
    </w:p>
    <w:p w14:paraId="4166E461" w14:textId="77777777" w:rsidR="004B2EC6" w:rsidRDefault="004B2EC6">
      <w:pPr>
        <w:pStyle w:val="Body"/>
        <w:spacing w:line="360" w:lineRule="auto"/>
      </w:pPr>
    </w:p>
    <w:p w14:paraId="4166E462" w14:textId="310F49E2" w:rsidR="004B2EC6" w:rsidRDefault="00AE6C0F">
      <w:pPr>
        <w:pStyle w:val="Body"/>
        <w:spacing w:line="360" w:lineRule="auto"/>
      </w:pPr>
      <w:r>
        <w:lastRenderedPageBreak/>
        <w:t xml:space="preserve">In the Vita of </w:t>
      </w:r>
      <w:r w:rsidR="00465445">
        <w:t>St. David,</w:t>
      </w:r>
      <w:r>
        <w:t xml:space="preserve"> </w:t>
      </w:r>
      <w:r w:rsidR="00AD13F1">
        <w:t>a spring</w:t>
      </w:r>
      <w:r w:rsidR="008717D6">
        <w:t xml:space="preserve"> appeared causing man</w:t>
      </w:r>
      <w:r w:rsidR="00CA3AF9">
        <w:t>y healing miracles when</w:t>
      </w:r>
      <w:r w:rsidR="00F816A6">
        <w:t xml:space="preserve"> </w:t>
      </w:r>
      <w:r>
        <w:t xml:space="preserve">the virgin Dunod is decapitated by her </w:t>
      </w:r>
      <w:r w:rsidR="00671FB5">
        <w:t>stepmother</w:t>
      </w:r>
      <w:r>
        <w:t xml:space="preserve"> Satrapa. . </w:t>
      </w:r>
      <w:r w:rsidR="00225D5C">
        <w:rPr>
          <w:rStyle w:val="FootnoteReference"/>
        </w:rPr>
        <w:footnoteReference w:id="42"/>
      </w:r>
      <w:r>
        <w:t xml:space="preserve">                      </w:t>
      </w:r>
    </w:p>
    <w:p w14:paraId="4166E464" w14:textId="77777777" w:rsidR="004B2EC6" w:rsidRDefault="004B2EC6">
      <w:pPr>
        <w:pStyle w:val="Body"/>
        <w:spacing w:line="360" w:lineRule="auto"/>
      </w:pPr>
    </w:p>
    <w:p w14:paraId="4166E465" w14:textId="77777777" w:rsidR="004B2EC6" w:rsidRDefault="00AE6C0F">
      <w:pPr>
        <w:pStyle w:val="Body"/>
        <w:spacing w:line="360" w:lineRule="auto"/>
        <w:rPr>
          <w:b/>
          <w:bCs/>
        </w:rPr>
      </w:pPr>
      <w:r>
        <w:rPr>
          <w:b/>
          <w:bCs/>
        </w:rPr>
        <w:t>Blood</w:t>
      </w:r>
      <w:r>
        <w:t xml:space="preserve"> </w:t>
      </w:r>
      <w:r>
        <w:rPr>
          <w:b/>
          <w:bCs/>
        </w:rPr>
        <w:t>and</w:t>
      </w:r>
      <w:r>
        <w:t xml:space="preserve"> </w:t>
      </w:r>
      <w:r>
        <w:rPr>
          <w:b/>
          <w:bCs/>
        </w:rPr>
        <w:t xml:space="preserve">water </w:t>
      </w:r>
    </w:p>
    <w:p w14:paraId="4166E466" w14:textId="047C1060" w:rsidR="004B2EC6" w:rsidRDefault="00AE6C0F">
      <w:pPr>
        <w:pStyle w:val="Body"/>
        <w:spacing w:line="360" w:lineRule="auto"/>
      </w:pPr>
      <w:r>
        <w:t>The mingling of blood with water is a recurring theme within Prior Robert’s Vita. Both motifs have a marked biblical reference in both</w:t>
      </w:r>
      <w:r w:rsidR="00707071">
        <w:t xml:space="preserve"> </w:t>
      </w:r>
      <w:r>
        <w:t xml:space="preserve">Testaments </w:t>
      </w:r>
      <w:r w:rsidR="00AA7DAD">
        <w:t>(Ex.</w:t>
      </w:r>
      <w:r w:rsidR="001B6FD3">
        <w:t xml:space="preserve"> 4:9</w:t>
      </w:r>
      <w:r w:rsidR="00255BA2">
        <w:t>) and</w:t>
      </w:r>
      <w:r w:rsidR="00017C37">
        <w:t xml:space="preserve"> (</w:t>
      </w:r>
      <w:r w:rsidR="00AE400D">
        <w:t>Ex 7:19)</w:t>
      </w:r>
      <w:r w:rsidR="00F22EA2">
        <w:t>.</w:t>
      </w:r>
      <w:r w:rsidR="00255BA2">
        <w:t xml:space="preserve"> </w:t>
      </w:r>
      <w:r>
        <w:t xml:space="preserve"> It is however within the New Testament that the sacramental nature of both blood and water are made manifest</w:t>
      </w:r>
      <w:r w:rsidR="00A648E9">
        <w:t xml:space="preserve">. </w:t>
      </w:r>
      <w:r>
        <w:t>(</w:t>
      </w:r>
      <w:r w:rsidR="00ED6560">
        <w:t>Jn 19</w:t>
      </w:r>
      <w:r w:rsidR="00E70A5E">
        <w:t>:34-</w:t>
      </w:r>
      <w:r w:rsidR="00ED6560">
        <w:t>35)</w:t>
      </w:r>
      <w:r w:rsidR="00707071">
        <w:t>.</w:t>
      </w:r>
      <w:r>
        <w:t xml:space="preserve"> </w:t>
      </w:r>
    </w:p>
    <w:p w14:paraId="4166E467" w14:textId="77777777" w:rsidR="004B2EC6" w:rsidRDefault="004B2EC6">
      <w:pPr>
        <w:pStyle w:val="Body"/>
        <w:spacing w:line="360" w:lineRule="auto"/>
      </w:pPr>
    </w:p>
    <w:p w14:paraId="4166E469" w14:textId="25C132E8" w:rsidR="004B2EC6" w:rsidRDefault="00AE6C0F">
      <w:pPr>
        <w:pStyle w:val="Body"/>
        <w:spacing w:line="360" w:lineRule="auto"/>
      </w:pPr>
      <w:r>
        <w:t xml:space="preserve">The two Dominical sacraments </w:t>
      </w:r>
      <w:r w:rsidR="00735BCC">
        <w:t>of Baptism</w:t>
      </w:r>
      <w:r>
        <w:t xml:space="preserve"> and Holy Communion are suggested by the blood of Winefride’s martyrdom with its </w:t>
      </w:r>
      <w:r w:rsidR="003C760E">
        <w:t>s</w:t>
      </w:r>
      <w:r>
        <w:t>pring of healing water. The turning of water into wine also appears in the Life of Cuthbert.</w:t>
      </w:r>
      <w:r w:rsidR="00E70A5E">
        <w:rPr>
          <w:rStyle w:val="FootnoteReference"/>
        </w:rPr>
        <w:footnoteReference w:id="43"/>
      </w:r>
      <w:r>
        <w:t xml:space="preserve">  Winefride’s sacrifice of death and resurrection was therefore lauded as an Easter commemoration with the two elements of water and wine connected with the Mass. The Well was venerated not so much for her death but its message of renewal and healing. </w:t>
      </w:r>
      <w:r w:rsidR="00880542">
        <w:rPr>
          <w:rStyle w:val="FootnoteReference"/>
        </w:rPr>
        <w:footnoteReference w:id="44"/>
      </w:r>
      <w:r>
        <w:t xml:space="preserve"> </w:t>
      </w:r>
    </w:p>
    <w:p w14:paraId="4166E46A" w14:textId="77777777" w:rsidR="004B2EC6" w:rsidRDefault="004B2EC6">
      <w:pPr>
        <w:pStyle w:val="Body"/>
        <w:spacing w:line="360" w:lineRule="auto"/>
      </w:pPr>
    </w:p>
    <w:p w14:paraId="4166E46B" w14:textId="58504F0A" w:rsidR="004B2EC6" w:rsidRDefault="00AE6C0F">
      <w:pPr>
        <w:pStyle w:val="Body"/>
        <w:spacing w:line="360" w:lineRule="auto"/>
      </w:pPr>
      <w:r>
        <w:t xml:space="preserve">St. Winefride’s Well and its motifs were lauded by poets who cherished the geographical nature of the hillside surrounding the Well with its reminder of Calvary and the sacrifice made there by Jesus. Sion ap Hywel typified this approach in his ‘Awdl to Winefride and to her well, 1512’. </w:t>
      </w:r>
      <w:r w:rsidR="00976705">
        <w:t xml:space="preserve"> </w:t>
      </w:r>
      <w:r>
        <w:t>His reference to the breast of Jesus may be juxtaposed with the popular image during his lifetime of the ‘Pelican in her Piety</w:t>
      </w:r>
      <w:r w:rsidR="008B7A50">
        <w:t>’ highlighting</w:t>
      </w:r>
      <w:r>
        <w:t xml:space="preserve"> the shedding of blood in sacrifice. ‘Gwenfrewi, Duw fry, gwaed y fron, mor debyg ‘Dyw’r aber i’r Ffynnon; A gwaed </w:t>
      </w:r>
      <w:r w:rsidR="000370D7">
        <w:t>rhudd yw</w:t>
      </w:r>
      <w:r>
        <w:t xml:space="preserve"> godre hon, Gweryd ar y maen geirwon. (lines 1 - 4) ‘God above, the breast’s blood how similar</w:t>
      </w:r>
      <w:r w:rsidR="003E7C4D">
        <w:t xml:space="preserve"> </w:t>
      </w:r>
      <w:r>
        <w:t xml:space="preserve">is its flow to this well;/with its red blood bottom/ and moss on rough stones.’ Another famous contemporary poet Tudur </w:t>
      </w:r>
      <w:r w:rsidR="00104C50">
        <w:t>Aled in</w:t>
      </w:r>
      <w:r>
        <w:t xml:space="preserve"> his poetry characterised the sacrifice of Winefride with that of Jesus at Golgotha.</w:t>
      </w:r>
      <w:r w:rsidR="00877AAB">
        <w:rPr>
          <w:rStyle w:val="FootnoteReference"/>
        </w:rPr>
        <w:footnoteReference w:id="45"/>
      </w:r>
      <w:r>
        <w:t xml:space="preserve">  </w:t>
      </w:r>
    </w:p>
    <w:p w14:paraId="4166E46C" w14:textId="77777777" w:rsidR="004B2EC6" w:rsidRDefault="004B2EC6">
      <w:pPr>
        <w:pStyle w:val="Body"/>
        <w:spacing w:line="360" w:lineRule="auto"/>
      </w:pPr>
    </w:p>
    <w:p w14:paraId="4166E46D" w14:textId="2D5CF136" w:rsidR="004B2EC6" w:rsidRDefault="00AE6C0F">
      <w:pPr>
        <w:pStyle w:val="Body"/>
        <w:spacing w:line="360" w:lineRule="auto"/>
      </w:pPr>
      <w:r>
        <w:t xml:space="preserve">The Welsh Life of St. David refers to a fountain with healing capabilities appearing after beheading of a virgin </w:t>
      </w:r>
      <w:r w:rsidR="0003281A">
        <w:t xml:space="preserve">ie </w:t>
      </w:r>
      <w:r>
        <w:t xml:space="preserve">Winefride in the Life </w:t>
      </w:r>
      <w:r w:rsidR="00AA7DAD">
        <w:t>of Bueno</w:t>
      </w:r>
      <w:r>
        <w:t>.</w:t>
      </w:r>
      <w:r w:rsidR="00006257">
        <w:t xml:space="preserve"> </w:t>
      </w:r>
      <w:r w:rsidR="00006257">
        <w:rPr>
          <w:rStyle w:val="FootnoteReference"/>
        </w:rPr>
        <w:footnoteReference w:id="46"/>
      </w:r>
    </w:p>
    <w:p w14:paraId="4166E46E" w14:textId="77777777" w:rsidR="004B2EC6" w:rsidRDefault="004B2EC6">
      <w:pPr>
        <w:pStyle w:val="Body"/>
        <w:spacing w:line="360" w:lineRule="auto"/>
      </w:pPr>
    </w:p>
    <w:p w14:paraId="4166E46F" w14:textId="4D8C58F2" w:rsidR="004B2EC6" w:rsidRDefault="00AE6C0F">
      <w:pPr>
        <w:pStyle w:val="Body"/>
        <w:spacing w:line="360" w:lineRule="auto"/>
      </w:pPr>
      <w:r>
        <w:t xml:space="preserve">The narratives of water changed into wine all have a New Testament reference. </w:t>
      </w:r>
      <w:r w:rsidR="000A5818">
        <w:t>(Jn.</w:t>
      </w:r>
      <w:r w:rsidR="00872E06">
        <w:t xml:space="preserve"> </w:t>
      </w:r>
      <w:r w:rsidR="000962AA">
        <w:t xml:space="preserve"> </w:t>
      </w:r>
      <w:r w:rsidR="000A5818">
        <w:t>2</w:t>
      </w:r>
      <w:r>
        <w:t xml:space="preserve"> </w:t>
      </w:r>
      <w:r w:rsidR="000962AA">
        <w:t>:2-11).</w:t>
      </w:r>
      <w:r>
        <w:t xml:space="preserve">           In the Life of St Sezni, it is striking that both the incident in his Life and the changing of water into wine by Jesus at the wedding in Cana of Galilee, the new wine is commended in both cases as quality wine and shared convivially with others.</w:t>
      </w:r>
      <w:r w:rsidR="00A559FA">
        <w:rPr>
          <w:rStyle w:val="FootnoteReference"/>
        </w:rPr>
        <w:footnoteReference w:id="47"/>
      </w:r>
      <w:r>
        <w:t xml:space="preserve"> </w:t>
      </w:r>
      <w:r w:rsidR="00CC6149">
        <w:t xml:space="preserve"> </w:t>
      </w:r>
      <w:r>
        <w:t xml:space="preserve">It is noteworthy that Sezni was providing </w:t>
      </w:r>
      <w:r>
        <w:lastRenderedPageBreak/>
        <w:t xml:space="preserve">hospitality to St. Patrick.  This theme of quality </w:t>
      </w:r>
      <w:r w:rsidR="00104C50">
        <w:t>wine shared</w:t>
      </w:r>
      <w:r>
        <w:t xml:space="preserve"> with </w:t>
      </w:r>
      <w:r w:rsidR="008B7A50">
        <w:t>others occurs</w:t>
      </w:r>
      <w:r>
        <w:t xml:space="preserve"> in the Life of Ciaran which has him </w:t>
      </w:r>
      <w:r w:rsidR="00A559FA">
        <w:t>sanctifying a</w:t>
      </w:r>
      <w:r>
        <w:t xml:space="preserve"> full water </w:t>
      </w:r>
      <w:r w:rsidR="00AA7DAD">
        <w:t xml:space="preserve">container </w:t>
      </w:r>
      <w:r w:rsidR="00CC6149">
        <w:t>which transforms</w:t>
      </w:r>
      <w:r>
        <w:t xml:space="preserve"> into quality wine for sharing within the monastic community of monks. </w:t>
      </w:r>
      <w:r w:rsidR="00E91A78">
        <w:rPr>
          <w:rStyle w:val="FootnoteReference"/>
        </w:rPr>
        <w:footnoteReference w:id="48"/>
      </w:r>
      <w:r>
        <w:t xml:space="preserve">  St. Brigit built up a similar reputation of hospitality to guests. Kathleen Hughes claims this was common practice for a saint wishing to build up a distinction in this </w:t>
      </w:r>
      <w:r w:rsidR="0095207B">
        <w:t>way.</w:t>
      </w:r>
      <w:r w:rsidR="0095207B">
        <w:rPr>
          <w:rStyle w:val="FootnoteReference"/>
        </w:rPr>
        <w:footnoteReference w:id="49"/>
      </w:r>
    </w:p>
    <w:p w14:paraId="4166E470" w14:textId="77777777" w:rsidR="004B2EC6" w:rsidRDefault="004B2EC6">
      <w:pPr>
        <w:pStyle w:val="Body"/>
        <w:spacing w:line="360" w:lineRule="auto"/>
      </w:pPr>
    </w:p>
    <w:p w14:paraId="4166E471" w14:textId="3D3A5138" w:rsidR="004B2EC6" w:rsidRDefault="00AE6C0F">
      <w:pPr>
        <w:pStyle w:val="Body"/>
        <w:spacing w:line="360" w:lineRule="auto"/>
        <w:rPr>
          <w:b/>
          <w:bCs/>
        </w:rPr>
      </w:pPr>
      <w:r>
        <w:rPr>
          <w:b/>
          <w:bCs/>
        </w:rPr>
        <w:t>Stones</w:t>
      </w:r>
    </w:p>
    <w:p w14:paraId="4166E472" w14:textId="0B9D045D" w:rsidR="004B2EC6" w:rsidRDefault="00AE6C0F">
      <w:pPr>
        <w:pStyle w:val="Body"/>
        <w:spacing w:line="360" w:lineRule="auto"/>
      </w:pPr>
      <w:r>
        <w:t xml:space="preserve">The stones </w:t>
      </w:r>
      <w:r w:rsidR="001D2B5A">
        <w:t xml:space="preserve">in </w:t>
      </w:r>
      <w:r w:rsidR="00300D0F">
        <w:t>St. Winefride</w:t>
      </w:r>
      <w:r w:rsidR="00185D19">
        <w:t xml:space="preserve">’s </w:t>
      </w:r>
      <w:r>
        <w:t xml:space="preserve">Well, splashed with </w:t>
      </w:r>
      <w:r w:rsidR="00185D19">
        <w:t>her</w:t>
      </w:r>
      <w:r>
        <w:t xml:space="preserve"> blood, were treated as relics of her martyrdom and interpreted in this way by Robert’s Vita. They </w:t>
      </w:r>
      <w:r w:rsidR="00FE1AD8">
        <w:t>were confirmed</w:t>
      </w:r>
      <w:r>
        <w:t xml:space="preserve"> as such by Beuno standing on </w:t>
      </w:r>
      <w:r w:rsidR="009778AC">
        <w:t>t</w:t>
      </w:r>
      <w:r>
        <w:t xml:space="preserve">he one called St. Beuno’s </w:t>
      </w:r>
      <w:r w:rsidR="00AA7DAD">
        <w:t>stone (</w:t>
      </w:r>
      <w:r w:rsidR="00CC02A6">
        <w:t>still visible today</w:t>
      </w:r>
      <w:r w:rsidR="00C52A92">
        <w:t>)</w:t>
      </w:r>
      <w:r w:rsidR="006236A3">
        <w:t>. He</w:t>
      </w:r>
      <w:r w:rsidR="00C52A92">
        <w:t xml:space="preserve"> </w:t>
      </w:r>
      <w:r>
        <w:t>assur</w:t>
      </w:r>
      <w:r w:rsidR="00593B20">
        <w:t>ed</w:t>
      </w:r>
      <w:r>
        <w:t xml:space="preserve"> her that </w:t>
      </w:r>
      <w:r w:rsidR="006B2694">
        <w:t>the stones</w:t>
      </w:r>
      <w:r w:rsidR="00F00E4B">
        <w:t xml:space="preserve"> </w:t>
      </w:r>
      <w:r>
        <w:t>would serve as a holy token to all visiting her Well</w:t>
      </w:r>
      <w:r w:rsidR="001B3C56">
        <w:t>,</w:t>
      </w:r>
      <w:r>
        <w:t xml:space="preserve"> keeping alive Winefride’s martyrdom</w:t>
      </w:r>
      <w:r w:rsidR="0098519C">
        <w:t>.</w:t>
      </w:r>
      <w:r w:rsidR="00642460">
        <w:rPr>
          <w:rStyle w:val="FootnoteReference"/>
        </w:rPr>
        <w:footnoteReference w:id="50"/>
      </w:r>
      <w:r>
        <w:t xml:space="preserve"> </w:t>
      </w:r>
      <w:r w:rsidR="00E14CD7">
        <w:t xml:space="preserve"> </w:t>
      </w:r>
      <w:r>
        <w:t xml:space="preserve">Their importance </w:t>
      </w:r>
      <w:r w:rsidR="00FE1AD8">
        <w:t>is</w:t>
      </w:r>
      <w:r>
        <w:t xml:space="preserve"> emphasised by Bueno assuring Winefride that this was the first of three Divine gifts; that the</w:t>
      </w:r>
      <w:r w:rsidR="0016420C">
        <w:t xml:space="preserve"> stone</w:t>
      </w:r>
      <w:r w:rsidR="009B7329">
        <w:t>’s</w:t>
      </w:r>
      <w:r>
        <w:t xml:space="preserve"> blood stained character would be a permanent memorial. </w:t>
      </w:r>
    </w:p>
    <w:p w14:paraId="4166E473" w14:textId="77777777" w:rsidR="004B2EC6" w:rsidRDefault="004B2EC6">
      <w:pPr>
        <w:pStyle w:val="Body"/>
        <w:spacing w:line="360" w:lineRule="auto"/>
      </w:pPr>
    </w:p>
    <w:p w14:paraId="4166E474" w14:textId="2769E932" w:rsidR="004B2EC6" w:rsidRDefault="00AE6C0F">
      <w:pPr>
        <w:pStyle w:val="Body"/>
        <w:spacing w:line="360" w:lineRule="auto"/>
      </w:pPr>
      <w:r>
        <w:t xml:space="preserve">The second gift being the assurance that petitioners </w:t>
      </w:r>
      <w:r w:rsidR="00FE1AD8">
        <w:t>to Winefride</w:t>
      </w:r>
      <w:r>
        <w:t xml:space="preserve"> would be eventually healed and the third an </w:t>
      </w:r>
      <w:r w:rsidR="00104C50">
        <w:t>annual gift</w:t>
      </w:r>
      <w:r>
        <w:t xml:space="preserve"> of a chasuble made by Winefride when placed upon Bueno’s stone would be transported</w:t>
      </w:r>
      <w:r w:rsidR="0006589B">
        <w:t xml:space="preserve"> in a </w:t>
      </w:r>
      <w:r>
        <w:t xml:space="preserve"> dry </w:t>
      </w:r>
      <w:r w:rsidR="0006589B">
        <w:t xml:space="preserve">state </w:t>
      </w:r>
      <w:r>
        <w:t xml:space="preserve">over the sea to be received by the saint in his new abode. </w:t>
      </w:r>
      <w:r w:rsidR="00712B4E">
        <w:rPr>
          <w:rStyle w:val="FootnoteReference"/>
        </w:rPr>
        <w:footnoteReference w:id="51"/>
      </w:r>
      <w:r>
        <w:t xml:space="preserve"> </w:t>
      </w:r>
    </w:p>
    <w:p w14:paraId="0933CF3A" w14:textId="77777777" w:rsidR="008A4597" w:rsidRDefault="008A4597">
      <w:pPr>
        <w:pStyle w:val="Body"/>
        <w:spacing w:line="360" w:lineRule="auto"/>
      </w:pPr>
    </w:p>
    <w:p w14:paraId="4166E478" w14:textId="79E960CF" w:rsidR="004B2EC6" w:rsidRDefault="00104C50">
      <w:pPr>
        <w:pStyle w:val="Body"/>
        <w:spacing w:line="360" w:lineRule="auto"/>
      </w:pPr>
      <w:r>
        <w:t>Elsewhere stones</w:t>
      </w:r>
      <w:r w:rsidR="00AE6C0F">
        <w:t xml:space="preserve"> play a significant role in the Lives of the Saints. According to the Latin Lives, at the time of St. David’s impregnation, two large stones manifested </w:t>
      </w:r>
      <w:r w:rsidR="009274C7">
        <w:t>themselves as</w:t>
      </w:r>
      <w:r w:rsidR="00AE6C0F">
        <w:t xml:space="preserve"> a vehicle to protect his mother from prying eyes and to emphasise the fame of her future child. At </w:t>
      </w:r>
      <w:r w:rsidR="00EB48A9">
        <w:t>birth</w:t>
      </w:r>
      <w:r w:rsidR="00AE6C0F">
        <w:t xml:space="preserve">, David’s mother bore down upon a stone leaving the impression of her hand upon it which was afterwards utilised in the establishment of a church building erected </w:t>
      </w:r>
      <w:r w:rsidR="00EB48A9">
        <w:t>in</w:t>
      </w:r>
      <w:r w:rsidR="00AE6C0F">
        <w:t xml:space="preserve"> that setting. </w:t>
      </w:r>
      <w:r w:rsidR="00331380">
        <w:rPr>
          <w:rStyle w:val="FootnoteReference"/>
        </w:rPr>
        <w:footnoteReference w:id="52"/>
      </w:r>
    </w:p>
    <w:p w14:paraId="4166E479" w14:textId="77777777" w:rsidR="004B2EC6" w:rsidRDefault="004B2EC6">
      <w:pPr>
        <w:pStyle w:val="Body"/>
        <w:spacing w:line="360" w:lineRule="auto"/>
      </w:pPr>
    </w:p>
    <w:p w14:paraId="4166E47D" w14:textId="250CD8A3" w:rsidR="004B2EC6" w:rsidRDefault="00AE6C0F">
      <w:pPr>
        <w:pStyle w:val="Body"/>
        <w:spacing w:line="360" w:lineRule="auto"/>
      </w:pPr>
      <w:r>
        <w:t xml:space="preserve">People sometimes explain away unusual features </w:t>
      </w:r>
      <w:r w:rsidR="00FF10F1">
        <w:t>of</w:t>
      </w:r>
      <w:r>
        <w:t xml:space="preserve"> the land with saints according </w:t>
      </w:r>
      <w:r w:rsidR="00AA7DAD">
        <w:t>to Henken</w:t>
      </w:r>
      <w:r>
        <w:t>. Maen Cetti, a stone in Gower</w:t>
      </w:r>
      <w:r w:rsidR="00715CD7">
        <w:t>,</w:t>
      </w:r>
      <w:r>
        <w:t xml:space="preserve"> by tradition</w:t>
      </w:r>
      <w:r w:rsidR="00F638AF">
        <w:t xml:space="preserve"> </w:t>
      </w:r>
      <w:r>
        <w:t xml:space="preserve">was broken into two by St. David as evidence that it was considered unholy. </w:t>
      </w:r>
      <w:r w:rsidR="001C6BE4">
        <w:rPr>
          <w:rStyle w:val="FootnoteReference"/>
        </w:rPr>
        <w:footnoteReference w:id="53"/>
      </w:r>
      <w:r>
        <w:t xml:space="preserve">  Maen Bueno near Berriew is traditionally the </w:t>
      </w:r>
      <w:r w:rsidR="00AA7DAD">
        <w:t>saint’s</w:t>
      </w:r>
      <w:r>
        <w:t xml:space="preserve"> original pulpit upon which is a cross which is believed to have </w:t>
      </w:r>
      <w:r w:rsidR="00FF10F1">
        <w:t>been carved</w:t>
      </w:r>
      <w:r>
        <w:t xml:space="preserve"> by him. </w:t>
      </w:r>
      <w:r w:rsidR="00840A76">
        <w:rPr>
          <w:rStyle w:val="FootnoteReference"/>
        </w:rPr>
        <w:footnoteReference w:id="54"/>
      </w:r>
      <w:r>
        <w:t xml:space="preserve"> One of the two Celtic crosses at Llanbadarn Parish Church is said to have been split from the other when they were originally complete as </w:t>
      </w:r>
      <w:r w:rsidR="00FF10F1">
        <w:t>a threshing</w:t>
      </w:r>
      <w:r>
        <w:t xml:space="preserve"> tool. Samson in a fit of temper forcefully projected the two sections in the </w:t>
      </w:r>
      <w:r>
        <w:lastRenderedPageBreak/>
        <w:t xml:space="preserve">direction of the church. This act of a </w:t>
      </w:r>
      <w:r w:rsidR="000F362C">
        <w:t>stone being</w:t>
      </w:r>
      <w:r w:rsidR="00AB060B">
        <w:t xml:space="preserve"> </w:t>
      </w:r>
      <w:r>
        <w:t xml:space="preserve">thrown by a strong man is often </w:t>
      </w:r>
      <w:r w:rsidR="00FF10F1">
        <w:t>used as</w:t>
      </w:r>
      <w:r>
        <w:t xml:space="preserve"> a motif to explain its presence. </w:t>
      </w:r>
      <w:r w:rsidR="00871823">
        <w:rPr>
          <w:rStyle w:val="FootnoteReference"/>
        </w:rPr>
        <w:footnoteReference w:id="55"/>
      </w:r>
      <w:r w:rsidR="00E2277D">
        <w:t xml:space="preserve">  </w:t>
      </w:r>
      <w:r>
        <w:t>Moses is recorded as striking a rock enabling a supply of water for the Hebrews.</w:t>
      </w:r>
      <w:r w:rsidR="00A77693">
        <w:t xml:space="preserve"> </w:t>
      </w:r>
      <w:r>
        <w:t>(</w:t>
      </w:r>
      <w:r w:rsidR="007B28A3">
        <w:t>J</w:t>
      </w:r>
      <w:r w:rsidR="005C6E59">
        <w:t xml:space="preserve">osh. </w:t>
      </w:r>
      <w:r w:rsidR="001D2168">
        <w:t xml:space="preserve">20:11). </w:t>
      </w:r>
      <w:r>
        <w:t>God makes water flow from a rock to refresh the Israelites. (</w:t>
      </w:r>
      <w:r w:rsidR="00A77693">
        <w:t>D</w:t>
      </w:r>
      <w:r w:rsidR="00E87AF3">
        <w:t>eut. 8:15).</w:t>
      </w:r>
      <w:r>
        <w:t xml:space="preserve"> Stones</w:t>
      </w:r>
      <w:r w:rsidR="004D7E7E">
        <w:t xml:space="preserve"> also</w:t>
      </w:r>
      <w:r>
        <w:t xml:space="preserve"> play an important part in the story of </w:t>
      </w:r>
      <w:r w:rsidR="000F362C">
        <w:t>Christ especially</w:t>
      </w:r>
      <w:r>
        <w:t xml:space="preserve"> in the time of fasting in the wilderness and the discovery by the women of His Resurrection</w:t>
      </w:r>
      <w:r w:rsidR="002D0324">
        <w:t xml:space="preserve"> </w:t>
      </w:r>
      <w:r>
        <w:t>(</w:t>
      </w:r>
      <w:r w:rsidR="00273FB0">
        <w:t>Lk 4</w:t>
      </w:r>
      <w:r w:rsidR="00E454FE">
        <w:t>:3 and Mk</w:t>
      </w:r>
      <w:r w:rsidR="00BA4C58">
        <w:t xml:space="preserve">. </w:t>
      </w:r>
      <w:r w:rsidR="00C4504D">
        <w:t>16:3-4</w:t>
      </w:r>
      <w:r w:rsidR="00E454FE">
        <w:t>)</w:t>
      </w:r>
      <w:r>
        <w:t>.</w:t>
      </w:r>
    </w:p>
    <w:p w14:paraId="4166E47E" w14:textId="77777777" w:rsidR="004B2EC6" w:rsidRDefault="004B2EC6">
      <w:pPr>
        <w:pStyle w:val="Body"/>
        <w:spacing w:line="360" w:lineRule="auto"/>
      </w:pPr>
    </w:p>
    <w:p w14:paraId="6288C8B3" w14:textId="77777777" w:rsidR="009976B4" w:rsidRDefault="00AE6C0F">
      <w:pPr>
        <w:pStyle w:val="Body"/>
        <w:spacing w:line="360" w:lineRule="auto"/>
        <w:rPr>
          <w:b/>
          <w:bCs/>
        </w:rPr>
      </w:pPr>
      <w:r>
        <w:t xml:space="preserve"> </w:t>
      </w:r>
      <w:r>
        <w:rPr>
          <w:b/>
          <w:bCs/>
        </w:rPr>
        <w:t>Milk</w:t>
      </w:r>
    </w:p>
    <w:p w14:paraId="4166E480" w14:textId="3DA18586" w:rsidR="004B2EC6" w:rsidRPr="00382AD9" w:rsidRDefault="00AE6C0F">
      <w:pPr>
        <w:pStyle w:val="Body"/>
        <w:spacing w:line="360" w:lineRule="auto"/>
        <w:rPr>
          <w:b/>
          <w:bCs/>
        </w:rPr>
      </w:pPr>
      <w:r>
        <w:t>Prior Robert’s account of the origins of the Spring bursting forth with water where the decapitated head of St. Winifred landed was stated factually if briefly.</w:t>
      </w:r>
      <w:r w:rsidR="00144013">
        <w:rPr>
          <w:rStyle w:val="FootnoteReference"/>
        </w:rPr>
        <w:footnoteReference w:id="56"/>
      </w:r>
      <w:r>
        <w:t xml:space="preserve"> The account </w:t>
      </w:r>
      <w:r w:rsidR="00C26E23">
        <w:t>in the</w:t>
      </w:r>
      <w:r>
        <w:t xml:space="preserve"> </w:t>
      </w:r>
      <w:r w:rsidR="00FF10F1">
        <w:t>Anonymous</w:t>
      </w:r>
      <w:r>
        <w:t xml:space="preserve"> Life differs to that of Robert’s in that at another later time the Spring flowed not with water but milk. In </w:t>
      </w:r>
      <w:r w:rsidR="00BB05D9">
        <w:t>rendering the</w:t>
      </w:r>
      <w:r>
        <w:t xml:space="preserve"> </w:t>
      </w:r>
      <w:r w:rsidR="00FF10F1">
        <w:t>Anonymous</w:t>
      </w:r>
      <w:r>
        <w:t xml:space="preserve"> Life with political significance reference is made to the driving out of the Normans from North Wales and the implication that the flowing milk was a celebration of that victory. The </w:t>
      </w:r>
      <w:r w:rsidR="007440CF">
        <w:t>s</w:t>
      </w:r>
      <w:r>
        <w:t xml:space="preserve">pring is </w:t>
      </w:r>
      <w:r w:rsidR="00BB05D9">
        <w:t>described as</w:t>
      </w:r>
      <w:r>
        <w:t xml:space="preserve"> flowing in this way for three days; a wondrous priest filled a container which he reverently kept. Upon returning to collect some more, the ‘liquid’ had diluted which continued for three days until the water returned to its original </w:t>
      </w:r>
      <w:r w:rsidR="00A31F6D">
        <w:t>colour.</w:t>
      </w:r>
      <w:r w:rsidR="00BA6BA5">
        <w:rPr>
          <w:rStyle w:val="FootnoteReference"/>
        </w:rPr>
        <w:footnoteReference w:id="57"/>
      </w:r>
      <w:r w:rsidR="00A71784">
        <w:t xml:space="preserve"> </w:t>
      </w:r>
    </w:p>
    <w:p w14:paraId="4166E481" w14:textId="77777777" w:rsidR="004B2EC6" w:rsidRDefault="004B2EC6">
      <w:pPr>
        <w:pStyle w:val="Body"/>
        <w:spacing w:line="360" w:lineRule="auto"/>
      </w:pPr>
    </w:p>
    <w:p w14:paraId="652EC442" w14:textId="6B2317B2" w:rsidR="00726D07" w:rsidRDefault="00726D07" w:rsidP="00726D07">
      <w:pPr>
        <w:pStyle w:val="Body"/>
        <w:spacing w:line="360" w:lineRule="auto"/>
      </w:pPr>
      <w:r>
        <w:t xml:space="preserve">Milk or wine motifs occur elsewhere. Ffynnon eglur, ‘a clear fountain’Giraldus (Opera iii.390) mentions the spurting forth of a spring in St. David’s and in his travelogue, he also speaks of two significant tales; first during the episcopy of David 11, the River Alun flowed with wine and also the Pistildewi (St David’s tap), a spring occasionally flowed with milk in the Life of Teilo). </w:t>
      </w:r>
      <w:r>
        <w:rPr>
          <w:rStyle w:val="FootnoteReference"/>
        </w:rPr>
        <w:footnoteReference w:id="58"/>
      </w:r>
      <w:r>
        <w:t xml:space="preserve"> The Vitae records many events where the saint knocking on the ground with his crozier creates a spring often metamorphosing into milk or wine. In the Life of Brynach he brings forth wine from the rapids Caman. Also, water transforms into wine following the benediction by Columb Cille.</w:t>
      </w:r>
      <w:r w:rsidR="00E267AD">
        <w:rPr>
          <w:rStyle w:val="FootnoteReference"/>
        </w:rPr>
        <w:footnoteReference w:id="59"/>
      </w:r>
      <w:r>
        <w:t xml:space="preserve"> </w:t>
      </w:r>
    </w:p>
    <w:p w14:paraId="79A5B572" w14:textId="77777777" w:rsidR="00726D07" w:rsidRDefault="00726D07">
      <w:pPr>
        <w:pStyle w:val="Body"/>
        <w:spacing w:line="360" w:lineRule="auto"/>
      </w:pPr>
    </w:p>
    <w:p w14:paraId="4166E482" w14:textId="29E0CA05" w:rsidR="004B2EC6" w:rsidRDefault="00AE6C0F">
      <w:pPr>
        <w:pStyle w:val="Body"/>
        <w:spacing w:line="360" w:lineRule="auto"/>
      </w:pPr>
      <w:r>
        <w:t>Milk is portrayed biblically in a positive light indicating a benign protective response from God</w:t>
      </w:r>
      <w:r w:rsidR="001661D2">
        <w:t xml:space="preserve"> </w:t>
      </w:r>
      <w:r w:rsidR="006D1E6A">
        <w:t>(</w:t>
      </w:r>
      <w:r w:rsidR="005B4E92">
        <w:t>Josh. 5:6</w:t>
      </w:r>
      <w:r w:rsidR="00576254">
        <w:t xml:space="preserve"> and </w:t>
      </w:r>
      <w:r w:rsidR="00791ED3">
        <w:t>1 Co</w:t>
      </w:r>
      <w:r w:rsidR="00B52E7C">
        <w:t>r.</w:t>
      </w:r>
      <w:r w:rsidR="00791ED3">
        <w:t xml:space="preserve"> 3:2</w:t>
      </w:r>
      <w:r w:rsidR="005B4E92">
        <w:t>)</w:t>
      </w:r>
      <w:r w:rsidR="00A60179">
        <w:t>.</w:t>
      </w:r>
      <w:r w:rsidR="006D1E6A">
        <w:t xml:space="preserve"> </w:t>
      </w:r>
    </w:p>
    <w:p w14:paraId="09BB84AC" w14:textId="77777777" w:rsidR="004F59E2" w:rsidRDefault="004F59E2">
      <w:pPr>
        <w:pStyle w:val="Body"/>
        <w:spacing w:line="360" w:lineRule="auto"/>
      </w:pPr>
    </w:p>
    <w:p w14:paraId="1C19659C" w14:textId="77777777" w:rsidR="00382AD9" w:rsidRDefault="006C3A07">
      <w:pPr>
        <w:pStyle w:val="Body"/>
        <w:spacing w:line="360" w:lineRule="auto"/>
        <w:rPr>
          <w:b/>
          <w:bCs/>
        </w:rPr>
      </w:pPr>
      <w:r>
        <w:rPr>
          <w:b/>
          <w:bCs/>
        </w:rPr>
        <w:t>Pilgrimage</w:t>
      </w:r>
    </w:p>
    <w:p w14:paraId="77914D13" w14:textId="4FAE3D85" w:rsidR="00250A5C" w:rsidRPr="00EF4864" w:rsidRDefault="00D27D6B">
      <w:pPr>
        <w:pStyle w:val="Body"/>
        <w:spacing w:line="360" w:lineRule="auto"/>
      </w:pPr>
      <w:r>
        <w:t>Pilgrimage is more than</w:t>
      </w:r>
      <w:r w:rsidR="00633A09">
        <w:t xml:space="preserve"> a physical activity</w:t>
      </w:r>
      <w:r w:rsidR="008A2D4C">
        <w:t>.</w:t>
      </w:r>
      <w:r w:rsidR="00804C10">
        <w:t xml:space="preserve"> It is both an outward</w:t>
      </w:r>
      <w:r w:rsidR="00ED65A9">
        <w:t xml:space="preserve"> and inward journey</w:t>
      </w:r>
      <w:r w:rsidR="008B2A7B">
        <w:t xml:space="preserve"> as the pilgrim</w:t>
      </w:r>
      <w:r w:rsidR="00CA59E1">
        <w:t xml:space="preserve">    </w:t>
      </w:r>
      <w:r w:rsidR="008B2A7B">
        <w:t>becomes aware of</w:t>
      </w:r>
      <w:r w:rsidR="00CB73D7">
        <w:t xml:space="preserve"> the guidance of the Spirit</w:t>
      </w:r>
      <w:r w:rsidR="00664786">
        <w:t xml:space="preserve"> as new</w:t>
      </w:r>
      <w:r w:rsidR="002D1F37">
        <w:t xml:space="preserve"> </w:t>
      </w:r>
      <w:r w:rsidR="00104C50">
        <w:t>spiritual vision</w:t>
      </w:r>
      <w:r w:rsidR="00664786">
        <w:t xml:space="preserve"> emerges</w:t>
      </w:r>
      <w:r w:rsidR="003A1344">
        <w:t xml:space="preserve"> and faith </w:t>
      </w:r>
      <w:r w:rsidR="00FF7064">
        <w:t xml:space="preserve">deepens.  </w:t>
      </w:r>
      <w:r w:rsidR="004D29A8">
        <w:t xml:space="preserve">                        </w:t>
      </w:r>
      <w:r w:rsidR="007743B0">
        <w:t xml:space="preserve">   </w:t>
      </w:r>
      <w:r w:rsidR="00C36F9A">
        <w:t>St Winefride experienced this</w:t>
      </w:r>
      <w:r w:rsidR="00097F73">
        <w:t xml:space="preserve"> sense of </w:t>
      </w:r>
      <w:r w:rsidR="000170F4">
        <w:t>a holy journey</w:t>
      </w:r>
      <w:r w:rsidR="00D503DA">
        <w:t xml:space="preserve"> as recorded in Robert</w:t>
      </w:r>
      <w:r w:rsidR="00185F6F">
        <w:t>’s Vita.</w:t>
      </w:r>
      <w:r w:rsidR="00CB05EC">
        <w:rPr>
          <w:rStyle w:val="FootnoteReference"/>
        </w:rPr>
        <w:footnoteReference w:id="60"/>
      </w:r>
      <w:r w:rsidR="00E16B7C">
        <w:t xml:space="preserve"> </w:t>
      </w:r>
      <w:r w:rsidR="00763896">
        <w:t xml:space="preserve"> </w:t>
      </w:r>
      <w:r w:rsidR="0019589A">
        <w:t>Th</w:t>
      </w:r>
      <w:r w:rsidR="00EF32EF">
        <w:t>is motif</w:t>
      </w:r>
      <w:r w:rsidR="00FB4EAF">
        <w:t xml:space="preserve"> </w:t>
      </w:r>
      <w:r w:rsidR="0004348F">
        <w:lastRenderedPageBreak/>
        <w:t xml:space="preserve">has been a </w:t>
      </w:r>
      <w:r w:rsidR="00162F26">
        <w:t>recurring pattern</w:t>
      </w:r>
      <w:r w:rsidR="00AF2A72">
        <w:t xml:space="preserve"> </w:t>
      </w:r>
      <w:r w:rsidR="00C35EB1">
        <w:t>at St.</w:t>
      </w:r>
      <w:r w:rsidR="00581BDA">
        <w:t xml:space="preserve"> Winefride’s </w:t>
      </w:r>
      <w:r w:rsidR="00D73729">
        <w:t>W</w:t>
      </w:r>
      <w:r w:rsidR="00581BDA">
        <w:t>ell since</w:t>
      </w:r>
      <w:r w:rsidR="00740641">
        <w:rPr>
          <w:rStyle w:val="FootnoteReference"/>
        </w:rPr>
        <w:footnoteReference w:id="61"/>
      </w:r>
      <w:r w:rsidR="00BF065E">
        <w:t xml:space="preserve"> her martyrdom</w:t>
      </w:r>
      <w:r w:rsidR="009050CF">
        <w:t>,</w:t>
      </w:r>
      <w:r w:rsidR="00C24587">
        <w:t xml:space="preserve"> associated with the </w:t>
      </w:r>
      <w:r w:rsidR="000B65BB">
        <w:t xml:space="preserve">healing </w:t>
      </w:r>
      <w:r w:rsidR="00B71752">
        <w:t>element</w:t>
      </w:r>
      <w:r w:rsidR="00AD1C7F">
        <w:t xml:space="preserve">s </w:t>
      </w:r>
      <w:r w:rsidR="00C24587">
        <w:t>of the waters</w:t>
      </w:r>
      <w:r w:rsidR="00E71272">
        <w:t xml:space="preserve">. </w:t>
      </w:r>
      <w:r w:rsidR="00B34F92">
        <w:t>Arguably</w:t>
      </w:r>
      <w:r w:rsidR="00326E41">
        <w:t xml:space="preserve"> </w:t>
      </w:r>
      <w:r w:rsidR="008B791B">
        <w:t xml:space="preserve">the medieval </w:t>
      </w:r>
      <w:r w:rsidR="00C562E0">
        <w:t>c</w:t>
      </w:r>
      <w:r w:rsidR="003211AD">
        <w:t xml:space="preserve">hurch </w:t>
      </w:r>
      <w:r w:rsidR="00E938FA">
        <w:t>denigrated</w:t>
      </w:r>
      <w:r w:rsidR="00317781">
        <w:t xml:space="preserve"> pilgrimages by institutionalizing </w:t>
      </w:r>
      <w:r w:rsidR="00C949F6">
        <w:t xml:space="preserve">them </w:t>
      </w:r>
      <w:r w:rsidR="00D11B27">
        <w:t>and</w:t>
      </w:r>
      <w:r w:rsidR="00277749">
        <w:t xml:space="preserve"> </w:t>
      </w:r>
      <w:r w:rsidR="00B71651">
        <w:t xml:space="preserve">linking </w:t>
      </w:r>
      <w:r w:rsidR="00C949F6">
        <w:t xml:space="preserve">with </w:t>
      </w:r>
      <w:r w:rsidR="007E77B5">
        <w:t>the</w:t>
      </w:r>
      <w:r w:rsidR="002401A8">
        <w:t xml:space="preserve"> </w:t>
      </w:r>
      <w:r w:rsidR="00B30998">
        <w:t>T</w:t>
      </w:r>
      <w:r w:rsidR="00E32184">
        <w:t>rea</w:t>
      </w:r>
      <w:r w:rsidR="006A5A62">
        <w:t>sury</w:t>
      </w:r>
      <w:r w:rsidR="003C1EF6">
        <w:t xml:space="preserve"> of </w:t>
      </w:r>
      <w:r w:rsidR="004F3CDD">
        <w:t>M</w:t>
      </w:r>
      <w:r w:rsidR="002401A8">
        <w:t xml:space="preserve">erit. </w:t>
      </w:r>
      <w:r w:rsidR="00E53608">
        <w:t>A classic</w:t>
      </w:r>
      <w:r w:rsidR="002D2393">
        <w:t xml:space="preserve"> case</w:t>
      </w:r>
      <w:r w:rsidR="00E53608">
        <w:t xml:space="preserve"> was</w:t>
      </w:r>
      <w:r w:rsidR="00E32184">
        <w:t xml:space="preserve"> three </w:t>
      </w:r>
      <w:r w:rsidR="00495A03">
        <w:t xml:space="preserve">pilgrimages to St. David’s </w:t>
      </w:r>
      <w:r w:rsidR="003F3559">
        <w:t>being deemed equal as one to</w:t>
      </w:r>
      <w:r w:rsidR="000F5FC5">
        <w:t xml:space="preserve"> </w:t>
      </w:r>
      <w:r w:rsidR="007D5974">
        <w:t>Rome. Richard</w:t>
      </w:r>
      <w:r w:rsidR="002301EA">
        <w:t xml:space="preserve"> 11, Henry 1</w:t>
      </w:r>
      <w:r w:rsidR="000C45BE">
        <w:t>V, Henry</w:t>
      </w:r>
      <w:r w:rsidR="00886589">
        <w:t xml:space="preserve"> </w:t>
      </w:r>
      <w:r w:rsidR="00D719D0">
        <w:t>V</w:t>
      </w:r>
      <w:r w:rsidR="00A2731F">
        <w:t xml:space="preserve"> and </w:t>
      </w:r>
      <w:r w:rsidR="006B2A3C">
        <w:t>E</w:t>
      </w:r>
      <w:r w:rsidR="00977993">
        <w:t>d</w:t>
      </w:r>
      <w:r w:rsidR="006B2A3C">
        <w:t>ward 1V</w:t>
      </w:r>
      <w:r w:rsidR="00261C94">
        <w:t xml:space="preserve"> all held Winefride in great esteem and </w:t>
      </w:r>
      <w:r w:rsidR="00613956">
        <w:t>went on pilgrimage</w:t>
      </w:r>
      <w:r w:rsidR="00261C94">
        <w:t xml:space="preserve"> to Ho</w:t>
      </w:r>
      <w:r w:rsidR="007568F7">
        <w:t>lywell.</w:t>
      </w:r>
      <w:r w:rsidR="009A2AD7">
        <w:t xml:space="preserve"> </w:t>
      </w:r>
      <w:r w:rsidR="00A74D0E">
        <w:rPr>
          <w:rStyle w:val="FootnoteReference"/>
        </w:rPr>
        <w:footnoteReference w:id="62"/>
      </w:r>
      <w:r w:rsidR="009A2AD7">
        <w:t xml:space="preserve"> </w:t>
      </w:r>
      <w:r w:rsidR="00C9635A">
        <w:t>James</w:t>
      </w:r>
      <w:r w:rsidR="0042214F">
        <w:t xml:space="preserve"> 11 came on pi</w:t>
      </w:r>
      <w:r w:rsidR="00A81A86">
        <w:t>lgrimage with the intention of praying f</w:t>
      </w:r>
      <w:r w:rsidR="002C1112">
        <w:t>or an heir.</w:t>
      </w:r>
      <w:r w:rsidR="00A77A45">
        <w:rPr>
          <w:rStyle w:val="FootnoteReference"/>
        </w:rPr>
        <w:footnoteReference w:id="63"/>
      </w:r>
      <w:r w:rsidR="00A77A45">
        <w:t xml:space="preserve">  </w:t>
      </w:r>
      <w:r w:rsidR="00E72CF9">
        <w:t>Pil</w:t>
      </w:r>
      <w:r w:rsidR="007715CE">
        <w:t>grimages in their original</w:t>
      </w:r>
      <w:r w:rsidR="002263DA">
        <w:t xml:space="preserve"> spiritually</w:t>
      </w:r>
      <w:r w:rsidR="00782D94">
        <w:t xml:space="preserve"> radical form are again becomi</w:t>
      </w:r>
      <w:r w:rsidR="00F61AC8">
        <w:t>ng more appealing</w:t>
      </w:r>
      <w:r w:rsidR="009C34ED">
        <w:t>.</w:t>
      </w:r>
      <w:r w:rsidR="009A2AD7">
        <w:t xml:space="preserve">   </w:t>
      </w:r>
      <w:r w:rsidR="00546FA3">
        <w:t xml:space="preserve">      </w:t>
      </w:r>
      <w:r w:rsidR="0004348F">
        <w:t xml:space="preserve">               </w:t>
      </w:r>
    </w:p>
    <w:p w14:paraId="589054D7" w14:textId="77777777" w:rsidR="000E6CBF" w:rsidRDefault="000E6CBF">
      <w:pPr>
        <w:pStyle w:val="Body"/>
        <w:spacing w:line="360" w:lineRule="auto"/>
        <w:rPr>
          <w:b/>
          <w:bCs/>
        </w:rPr>
      </w:pPr>
    </w:p>
    <w:p w14:paraId="6CA4626C" w14:textId="77777777" w:rsidR="002514DD" w:rsidRDefault="00AE6C0F">
      <w:pPr>
        <w:pStyle w:val="Body"/>
        <w:spacing w:line="360" w:lineRule="auto"/>
        <w:rPr>
          <w:b/>
          <w:bCs/>
        </w:rPr>
      </w:pPr>
      <w:r>
        <w:rPr>
          <w:b/>
          <w:bCs/>
        </w:rPr>
        <w:t>Healing</w:t>
      </w:r>
    </w:p>
    <w:p w14:paraId="4166E485" w14:textId="356D39CD" w:rsidR="004B2EC6" w:rsidRPr="00382AD9" w:rsidRDefault="00AE6C0F">
      <w:pPr>
        <w:pStyle w:val="Body"/>
        <w:spacing w:line="360" w:lineRule="auto"/>
        <w:rPr>
          <w:b/>
          <w:bCs/>
        </w:rPr>
      </w:pPr>
      <w:r>
        <w:t>The ability to heal was considered the principal characteristic of a saint</w:t>
      </w:r>
      <w:r w:rsidR="008D5C5F">
        <w:t>.</w:t>
      </w:r>
      <w:r w:rsidR="0079676D">
        <w:t xml:space="preserve"> The </w:t>
      </w:r>
      <w:r>
        <w:t xml:space="preserve">ability to access the spiritual world was the reason so many </w:t>
      </w:r>
      <w:r w:rsidR="001C52E1">
        <w:t>relied upon</w:t>
      </w:r>
      <w:r>
        <w:t xml:space="preserve"> the saint for assistance. The phenomenon of a saint being </w:t>
      </w:r>
      <w:r w:rsidR="001C52E1">
        <w:t>capable</w:t>
      </w:r>
      <w:r>
        <w:t xml:space="preserve"> of utilising the power of the </w:t>
      </w:r>
      <w:r w:rsidR="00AA7DAD">
        <w:t>hidden to</w:t>
      </w:r>
      <w:r>
        <w:t xml:space="preserve"> combat negative physical or mental ailments was an assurance of the </w:t>
      </w:r>
      <w:r w:rsidR="00E91240">
        <w:t>saint’s vision</w:t>
      </w:r>
      <w:r>
        <w:t xml:space="preserve"> and spiritual authority. Henken posits a continuum with the pagan </w:t>
      </w:r>
      <w:r w:rsidR="001C52E1">
        <w:t>Celtic tradition</w:t>
      </w:r>
      <w:r>
        <w:t xml:space="preserve"> save that it was upon their intimate spiritual contact with the Christian God that the saints relied. </w:t>
      </w:r>
      <w:r w:rsidR="00B52E7C">
        <w:rPr>
          <w:rStyle w:val="FootnoteReference"/>
        </w:rPr>
        <w:footnoteReference w:id="64"/>
      </w:r>
      <w:r>
        <w:t xml:space="preserve"> </w:t>
      </w:r>
    </w:p>
    <w:p w14:paraId="4166E486" w14:textId="77777777" w:rsidR="004B2EC6" w:rsidRDefault="004B2EC6">
      <w:pPr>
        <w:pStyle w:val="Body"/>
        <w:spacing w:line="360" w:lineRule="auto"/>
      </w:pPr>
    </w:p>
    <w:p w14:paraId="4166E488" w14:textId="66D58E72" w:rsidR="004B2EC6" w:rsidRDefault="00AE6C0F">
      <w:pPr>
        <w:pStyle w:val="Body"/>
        <w:spacing w:line="360" w:lineRule="auto"/>
      </w:pPr>
      <w:r>
        <w:t>The focus on the miracles appears in both Robert’s Life and the Anonymous Life where in the latter case they take up a larger section.  The volume of these miracle stories in the two Lives are unparalleled in Welsh hagiography states Fiona Winward.   The Anonymous Life reflects the miracles to the politically volatile relationships between the Welsh and the Normans.</w:t>
      </w:r>
      <w:r w:rsidR="002215C2">
        <w:t xml:space="preserve"> </w:t>
      </w:r>
      <w:r w:rsidR="002215C2">
        <w:rPr>
          <w:rStyle w:val="FootnoteReference"/>
        </w:rPr>
        <w:footnoteReference w:id="65"/>
      </w:r>
      <w:r w:rsidR="002215C2">
        <w:t xml:space="preserve"> </w:t>
      </w:r>
      <w:r w:rsidR="00C359D1">
        <w:t>The</w:t>
      </w:r>
      <w:r>
        <w:t xml:space="preserve"> healing motif was of paramount </w:t>
      </w:r>
      <w:r w:rsidR="00A52D6C">
        <w:t>importance in</w:t>
      </w:r>
      <w:r>
        <w:t xml:space="preserve"> Prior Robert’s Life of St.Winefride It is hinted </w:t>
      </w:r>
      <w:r w:rsidR="005000EE">
        <w:t xml:space="preserve">at </w:t>
      </w:r>
      <w:r>
        <w:t xml:space="preserve">in Robert’s account of the close relationship between Winefride and Bueno as Henken highlights. </w:t>
      </w:r>
    </w:p>
    <w:p w14:paraId="4166E489" w14:textId="77777777" w:rsidR="004B2EC6" w:rsidRDefault="004B2EC6">
      <w:pPr>
        <w:pStyle w:val="Body"/>
        <w:spacing w:line="360" w:lineRule="auto"/>
      </w:pPr>
    </w:p>
    <w:p w14:paraId="4166E48B" w14:textId="0EB7BEDA" w:rsidR="004B2EC6" w:rsidRDefault="00AE6C0F">
      <w:pPr>
        <w:pStyle w:val="Body"/>
        <w:spacing w:line="360" w:lineRule="auto"/>
      </w:pPr>
      <w:r>
        <w:t xml:space="preserve">Robert records the miracle of a young man being cured of his physical </w:t>
      </w:r>
      <w:r w:rsidR="001C52E1">
        <w:t>ailments occurring</w:t>
      </w:r>
      <w:r>
        <w:t xml:space="preserve"> when </w:t>
      </w:r>
      <w:r w:rsidR="006E3DB9">
        <w:t>the</w:t>
      </w:r>
      <w:r>
        <w:t xml:space="preserve"> remains of Winefride arrived at Shrewsbury and galvanised popular acclaim for her translation. </w:t>
      </w:r>
      <w:r w:rsidR="00E27ABC">
        <w:rPr>
          <w:rStyle w:val="FootnoteReference"/>
        </w:rPr>
        <w:footnoteReference w:id="66"/>
      </w:r>
      <w:r w:rsidR="00F9432D">
        <w:t xml:space="preserve"> </w:t>
      </w:r>
      <w:r>
        <w:t xml:space="preserve"> Cartwright in her article in The Welsh Versions of the life of Gwenfrewy however raises </w:t>
      </w:r>
      <w:r w:rsidR="00C618B4">
        <w:t xml:space="preserve">the </w:t>
      </w:r>
      <w:r w:rsidR="0045129C">
        <w:t>problematic question</w:t>
      </w:r>
      <w:r>
        <w:t xml:space="preserve"> of why Robert decided to omit the miracles which took place at Shrewsbury if </w:t>
      </w:r>
      <w:r>
        <w:lastRenderedPageBreak/>
        <w:t>his intention in the translation of her relics was to intensify the prestige of his Abbey Shrine. That he had insufficient time to do so is considered on the supposition he wrote his Vita immediately after the trans</w:t>
      </w:r>
      <w:r w:rsidR="00014836">
        <w:t>lation</w:t>
      </w:r>
      <w:r>
        <w:t xml:space="preserve">. </w:t>
      </w:r>
      <w:r w:rsidR="002D0E3B">
        <w:rPr>
          <w:rStyle w:val="FootnoteReference"/>
        </w:rPr>
        <w:footnoteReference w:id="67"/>
      </w:r>
      <w:r>
        <w:t xml:space="preserve"> </w:t>
      </w:r>
    </w:p>
    <w:p w14:paraId="4166E48C" w14:textId="77777777" w:rsidR="004B2EC6" w:rsidRDefault="004B2EC6">
      <w:pPr>
        <w:pStyle w:val="Body"/>
        <w:spacing w:line="360" w:lineRule="auto"/>
      </w:pPr>
    </w:p>
    <w:p w14:paraId="4166E48D" w14:textId="65A7CAAF" w:rsidR="004B2EC6" w:rsidRDefault="00AE6C0F">
      <w:pPr>
        <w:pStyle w:val="Body"/>
        <w:spacing w:line="360" w:lineRule="auto"/>
      </w:pPr>
      <w:r>
        <w:t xml:space="preserve">Both Prior Robert and the Anonymous Vita refer to a sweet smelling moss which is attached to the stones within the Well; </w:t>
      </w:r>
      <w:r w:rsidR="00F70FD3">
        <w:rPr>
          <w:rStyle w:val="FootnoteReference"/>
        </w:rPr>
        <w:footnoteReference w:id="68"/>
      </w:r>
      <w:r>
        <w:t xml:space="preserve"> </w:t>
      </w:r>
      <w:r w:rsidR="00981014">
        <w:t>and</w:t>
      </w:r>
      <w:r>
        <w:t xml:space="preserve"> the Anonymous </w:t>
      </w:r>
      <w:r w:rsidR="00C23093">
        <w:t>version added</w:t>
      </w:r>
      <w:r>
        <w:t xml:space="preserve"> to Robert’s account by revealing the Moss was used as a medium of </w:t>
      </w:r>
      <w:r w:rsidR="000F362C">
        <w:t>healing.</w:t>
      </w:r>
      <w:r w:rsidR="009A4089">
        <w:rPr>
          <w:rStyle w:val="FootnoteReference"/>
        </w:rPr>
        <w:footnoteReference w:id="69"/>
      </w:r>
      <w:r w:rsidR="003E3C83">
        <w:t xml:space="preserve">  </w:t>
      </w:r>
      <w:r>
        <w:t>The custom of pilgrims on departure taking with them the moss and artistically creating a  ‘garland’ to present to those unable  themselves</w:t>
      </w:r>
      <w:r w:rsidR="00344687">
        <w:t xml:space="preserve"> to</w:t>
      </w:r>
      <w:r>
        <w:t xml:space="preserve"> make the pilgrimage is omitted in both Lives. It is clear however that this practice was valued by the recipients for hundreds of years. Of the two species of moss in the waters, Byssus jolithus created the red marks on the stones and Jungermannia aspenioides produced the sweet smelling perfume. Referred to as St. Winifred’s hair, it’s value as a </w:t>
      </w:r>
      <w:r w:rsidR="00981014">
        <w:t>medical appliance</w:t>
      </w:r>
      <w:r>
        <w:t xml:space="preserve"> was created after being dried and dampened by the water of the Well. It was claimed that Sister Mary Ann Wood, a Franciscan nun, in 1809 was cured of her damaged arm by this method of treatment. </w:t>
      </w:r>
      <w:r w:rsidR="000A550C">
        <w:rPr>
          <w:rStyle w:val="FootnoteReference"/>
        </w:rPr>
        <w:footnoteReference w:id="70"/>
      </w:r>
    </w:p>
    <w:p w14:paraId="4166E48E" w14:textId="77777777" w:rsidR="004B2EC6" w:rsidRDefault="004B2EC6">
      <w:pPr>
        <w:pStyle w:val="Body"/>
        <w:spacing w:line="360" w:lineRule="auto"/>
      </w:pPr>
    </w:p>
    <w:p w14:paraId="3A7DA5D6" w14:textId="4EBE6535" w:rsidR="00597415" w:rsidRDefault="00AE6C0F" w:rsidP="00597415">
      <w:pPr>
        <w:pStyle w:val="Body"/>
        <w:spacing w:line="360" w:lineRule="auto"/>
      </w:pPr>
      <w:r>
        <w:t xml:space="preserve">It was later claimed in the 18th Century that healing in this way was fallacious both by the Bishop of St. Asaph of the time and an eminent Prussian expert on mineral Wells Diederick Wessel Linden, M.D. He proclaimed it was helpful mineral ingredients in the water rather than a spiritual reason </w:t>
      </w:r>
      <w:r w:rsidR="001B2B79">
        <w:t>that</w:t>
      </w:r>
      <w:r>
        <w:t xml:space="preserve"> could explain the healing phenomena. He dismissed the spiritual name for the moss as vulgar. </w:t>
      </w:r>
      <w:r w:rsidR="001B2B79">
        <w:rPr>
          <w:rStyle w:val="FootnoteReference"/>
        </w:rPr>
        <w:footnoteReference w:id="71"/>
      </w:r>
      <w:r>
        <w:t xml:space="preserve"> The experience of the Protestant John Mawdsley who visited the Well in 1845 in his </w:t>
      </w:r>
      <w:r w:rsidR="00C64148">
        <w:t>book The</w:t>
      </w:r>
      <w:r>
        <w:t xml:space="preserve"> Legend of St. Winifred is particularly scathing about the integrity of belief in the healing powers of the Spring. </w:t>
      </w:r>
      <w:r w:rsidR="00C64148">
        <w:rPr>
          <w:rStyle w:val="FootnoteReference"/>
        </w:rPr>
        <w:footnoteReference w:id="72"/>
      </w:r>
      <w:r>
        <w:t xml:space="preserve"> </w:t>
      </w:r>
      <w:r w:rsidR="007115BD">
        <w:t>In the sixteenth century</w:t>
      </w:r>
      <w:r w:rsidR="0056515D">
        <w:t xml:space="preserve"> a Jesuit priest was healed of a cancerous mout</w:t>
      </w:r>
      <w:r w:rsidR="00574690">
        <w:t xml:space="preserve">h condition </w:t>
      </w:r>
      <w:r w:rsidR="00830AE9">
        <w:t>.</w:t>
      </w:r>
      <w:r w:rsidR="00574690">
        <w:t>by placing one of the blooded</w:t>
      </w:r>
      <w:r w:rsidR="00830AE9">
        <w:t xml:space="preserve"> stones in his mouth.</w:t>
      </w:r>
      <w:r w:rsidR="00166F6C">
        <w:rPr>
          <w:rStyle w:val="FootnoteReference"/>
        </w:rPr>
        <w:footnoteReference w:id="73"/>
      </w:r>
    </w:p>
    <w:p w14:paraId="4166E48F" w14:textId="014FE2F4" w:rsidR="004B2EC6" w:rsidRDefault="004B2EC6">
      <w:pPr>
        <w:pStyle w:val="Body"/>
        <w:spacing w:line="360" w:lineRule="auto"/>
      </w:pPr>
    </w:p>
    <w:p w14:paraId="4166E490" w14:textId="68A2A45F" w:rsidR="004B2EC6" w:rsidRDefault="00AE6C0F">
      <w:pPr>
        <w:pStyle w:val="Body"/>
        <w:spacing w:line="360" w:lineRule="auto"/>
      </w:pPr>
      <w:r>
        <w:t xml:space="preserve">Very creditably Fr. Thomas Swift SJ the Roman Catholic Parish Priest in Holywell in 1887 and the editor of a Life of St. Winefride based on the publication of the Acta Sanctae Wenefrede, Virginis </w:t>
      </w:r>
      <w:r>
        <w:lastRenderedPageBreak/>
        <w:t xml:space="preserve">by the Bollandist Fathers, S.J. at the beginning of the Twentieth Century offers to withhold any comments he may have until his readers have had the opportunity to verify the truth for themselves. </w:t>
      </w:r>
      <w:r w:rsidR="00C108DC">
        <w:rPr>
          <w:rStyle w:val="FootnoteReference"/>
        </w:rPr>
        <w:footnoteReference w:id="74"/>
      </w:r>
      <w:r>
        <w:t xml:space="preserve"> </w:t>
      </w:r>
    </w:p>
    <w:p w14:paraId="4166E491" w14:textId="77777777" w:rsidR="004B2EC6" w:rsidRDefault="004B2EC6">
      <w:pPr>
        <w:pStyle w:val="Body"/>
        <w:spacing w:line="360" w:lineRule="auto"/>
      </w:pPr>
    </w:p>
    <w:p w14:paraId="4166E492" w14:textId="3113B662" w:rsidR="004B2EC6" w:rsidRDefault="00AE6C0F">
      <w:pPr>
        <w:pStyle w:val="Body"/>
        <w:spacing w:line="360" w:lineRule="auto"/>
      </w:pPr>
      <w:r>
        <w:t xml:space="preserve">Records of many healings at the Well were routinely kept since the Twelfth Century Vitaes of St. Winefride particularly by the Jesuits who became the custodians of the Shrine in 1590. With the gradual capacity of people being able to read and write, they themselves were able to provide testimony. Their publicity helped to increase the popularity of the Well as a healing sanctuary. </w:t>
      </w:r>
    </w:p>
    <w:p w14:paraId="4166E493" w14:textId="77777777" w:rsidR="004B2EC6" w:rsidRDefault="004B2EC6">
      <w:pPr>
        <w:pStyle w:val="Body"/>
        <w:spacing w:line="360" w:lineRule="auto"/>
      </w:pPr>
    </w:p>
    <w:p w14:paraId="4166E494" w14:textId="6A384FCF" w:rsidR="004B2EC6" w:rsidRDefault="00AE6C0F">
      <w:pPr>
        <w:pStyle w:val="Body"/>
        <w:spacing w:line="360" w:lineRule="auto"/>
      </w:pPr>
      <w:r>
        <w:t xml:space="preserve">Since the pilgrimage tradition to the Well is </w:t>
      </w:r>
      <w:r w:rsidR="00AE4D8A">
        <w:t>continuing</w:t>
      </w:r>
      <w:r>
        <w:t xml:space="preserve">, it is evident that people today are convinced of the water’s healing efficacy </w:t>
      </w:r>
      <w:r w:rsidR="004A5979">
        <w:t>despite</w:t>
      </w:r>
      <w:r>
        <w:t xml:space="preserve"> the original source of the Spring </w:t>
      </w:r>
      <w:r w:rsidR="002F2C58">
        <w:t>havi</w:t>
      </w:r>
      <w:r w:rsidR="00B50C01">
        <w:t xml:space="preserve">ng been </w:t>
      </w:r>
      <w:r>
        <w:t>being diverted owing to a mining accident in 1917.</w:t>
      </w:r>
    </w:p>
    <w:p w14:paraId="4166E495" w14:textId="77777777" w:rsidR="004B2EC6" w:rsidRDefault="004B2EC6">
      <w:pPr>
        <w:pStyle w:val="Body"/>
        <w:spacing w:line="360" w:lineRule="auto"/>
      </w:pPr>
    </w:p>
    <w:p w14:paraId="4166E496" w14:textId="1EABB237" w:rsidR="004B2EC6" w:rsidRDefault="00AE6C0F">
      <w:pPr>
        <w:pStyle w:val="Body"/>
        <w:spacing w:line="360" w:lineRule="auto"/>
      </w:pPr>
      <w:r>
        <w:t xml:space="preserve">The cult of St. Winefride has aroused much bitter controversy in the post Reformation years particularly between Anglicans and Roman Catholics regarding the proprietal rights </w:t>
      </w:r>
      <w:r w:rsidR="001116E4">
        <w:t>concerning the</w:t>
      </w:r>
      <w:r>
        <w:t xml:space="preserve"> Well. Ecumenical relationships between the two churches have improved considerably since then. Diocesan bishops of the two churches have recently signed a formal agreement committing themselves to supporting an ecumenical centre in the Anglican Church adjacent to St. Winefride’s Well. In it will be opportunities for accessing healing through nursing and holistic methods together with social opportunities.</w:t>
      </w:r>
      <w:r w:rsidR="00470789">
        <w:t xml:space="preserve"> </w:t>
      </w:r>
      <w:r w:rsidR="001F0FAF">
        <w:rPr>
          <w:rStyle w:val="FootnoteReference"/>
        </w:rPr>
        <w:footnoteReference w:id="75"/>
      </w:r>
      <w:r w:rsidR="00470789">
        <w:t xml:space="preserve"> </w:t>
      </w:r>
    </w:p>
    <w:p w14:paraId="4166E497" w14:textId="77777777" w:rsidR="004B2EC6" w:rsidRDefault="004B2EC6">
      <w:pPr>
        <w:pStyle w:val="Body"/>
        <w:spacing w:line="360" w:lineRule="auto"/>
      </w:pPr>
    </w:p>
    <w:p w14:paraId="05682A72" w14:textId="24DBF6FC" w:rsidR="00536BF8" w:rsidRDefault="00AE6C0F" w:rsidP="00C26B36">
      <w:pPr>
        <w:pStyle w:val="Body"/>
        <w:spacing w:line="360" w:lineRule="auto"/>
      </w:pPr>
      <w:r>
        <w:t>It is appropriate therefore that the principal healing motifs highlighted by Robert in Winefride’s Vita should have their contemporary relevance at the area of St. Winefrides Well. The plans for the ecumenical centre represent the healing of past deep divisions which in themselves could be interpreted as miraculous signs</w:t>
      </w:r>
      <w:r w:rsidR="007F45BB">
        <w:t xml:space="preserve"> for</w:t>
      </w:r>
      <w:r>
        <w:t xml:space="preserve"> </w:t>
      </w:r>
      <w:r w:rsidR="003D25A3">
        <w:t>today</w:t>
      </w:r>
      <w:r w:rsidR="00080949">
        <w:t>.</w:t>
      </w:r>
    </w:p>
    <w:p w14:paraId="56A96C6B" w14:textId="77777777" w:rsidR="00B85913" w:rsidRDefault="00B85913" w:rsidP="00C26B36">
      <w:pPr>
        <w:pStyle w:val="Body"/>
        <w:spacing w:line="360" w:lineRule="auto"/>
      </w:pPr>
    </w:p>
    <w:p w14:paraId="2EBAC4BD" w14:textId="1EC9D7CA" w:rsidR="00152964" w:rsidRDefault="00152964" w:rsidP="00152964">
      <w:pPr>
        <w:pStyle w:val="Body"/>
        <w:spacing w:line="360" w:lineRule="auto"/>
        <w:rPr>
          <w:u w:val="single"/>
        </w:rPr>
      </w:pPr>
      <w:r w:rsidRPr="005A4D62">
        <w:rPr>
          <w:u w:val="single"/>
        </w:rPr>
        <w:t>BIBLIOGRAPHY</w:t>
      </w:r>
    </w:p>
    <w:p w14:paraId="4E1A3FFB" w14:textId="77777777" w:rsidR="00152964" w:rsidRPr="00FC5172" w:rsidRDefault="00152964" w:rsidP="00152964">
      <w:pPr>
        <w:pStyle w:val="Body"/>
        <w:spacing w:line="360" w:lineRule="auto"/>
        <w:ind w:left="720" w:hanging="720"/>
      </w:pPr>
      <w:r>
        <w:t xml:space="preserve">Bartlett, Robert, </w:t>
      </w:r>
      <w:r>
        <w:rPr>
          <w:i/>
          <w:iCs/>
        </w:rPr>
        <w:t xml:space="preserve">Gerald Of Wales </w:t>
      </w:r>
      <w:r>
        <w:t>(Stroud: Tempus Publishing Ltd.,1982)</w:t>
      </w:r>
    </w:p>
    <w:p w14:paraId="6015584C" w14:textId="77777777" w:rsidR="00152964" w:rsidRDefault="00152964" w:rsidP="00152964">
      <w:pPr>
        <w:pStyle w:val="Body"/>
        <w:spacing w:line="360" w:lineRule="auto"/>
        <w:ind w:left="720" w:hanging="720"/>
      </w:pPr>
      <w:r w:rsidRPr="008151C3">
        <w:t>Bowen</w:t>
      </w:r>
      <w:r>
        <w:t xml:space="preserve">, E, G., </w:t>
      </w:r>
      <w:r>
        <w:rPr>
          <w:i/>
          <w:iCs/>
        </w:rPr>
        <w:t xml:space="preserve">The Settlements Of The Celtic Saints In Wales </w:t>
      </w:r>
      <w:r>
        <w:t>(Cardiff: The University of Wales Press, 1956)</w:t>
      </w:r>
    </w:p>
    <w:p w14:paraId="2DE94CD4" w14:textId="77777777" w:rsidR="00152964" w:rsidRPr="007D3A07" w:rsidRDefault="00152964" w:rsidP="00152964">
      <w:pPr>
        <w:pStyle w:val="Body"/>
        <w:spacing w:line="360" w:lineRule="auto"/>
        <w:ind w:left="720" w:hanging="720"/>
      </w:pPr>
      <w:r>
        <w:t>Bradley, Ian, Celtic</w:t>
      </w:r>
      <w:r>
        <w:rPr>
          <w:i/>
          <w:iCs/>
        </w:rPr>
        <w:t xml:space="preserve"> Christianity </w:t>
      </w:r>
      <w:r>
        <w:t>(Edinburgh: Edinburgh University Press, 2001)</w:t>
      </w:r>
    </w:p>
    <w:p w14:paraId="6A352619" w14:textId="77777777" w:rsidR="00152964" w:rsidRPr="00323786" w:rsidRDefault="00152964" w:rsidP="00152964">
      <w:pPr>
        <w:pStyle w:val="Body"/>
        <w:spacing w:line="360" w:lineRule="auto"/>
        <w:ind w:left="720" w:hanging="720"/>
      </w:pPr>
      <w:r w:rsidRPr="00323786">
        <w:t>Bray Dorothy</w:t>
      </w:r>
      <w:r>
        <w:t xml:space="preserve"> Ann, </w:t>
      </w:r>
      <w:r>
        <w:rPr>
          <w:i/>
          <w:iCs/>
        </w:rPr>
        <w:t xml:space="preserve">A List Of Motifs In The Lives Of The Early Irish Saints </w:t>
      </w:r>
      <w:r>
        <w:t>(Helsinki: Suomalainen Tiedeakatemia Academia Scientiarum Fennica, 1992)</w:t>
      </w:r>
    </w:p>
    <w:p w14:paraId="1403790F" w14:textId="77777777" w:rsidR="00152964" w:rsidRDefault="00152964" w:rsidP="00152964">
      <w:pPr>
        <w:pStyle w:val="Body"/>
        <w:spacing w:line="360" w:lineRule="auto"/>
        <w:ind w:left="720" w:hanging="720"/>
      </w:pPr>
      <w:r>
        <w:t xml:space="preserve">Cartwright, Jane, </w:t>
      </w:r>
      <w:r>
        <w:rPr>
          <w:i/>
          <w:iCs/>
        </w:rPr>
        <w:t xml:space="preserve">Feminine Sanctity And Spirituality </w:t>
      </w:r>
      <w:r>
        <w:t xml:space="preserve">(Cardiff: University of Wales Press, 2008) </w:t>
      </w:r>
    </w:p>
    <w:p w14:paraId="6447DE1C" w14:textId="77777777" w:rsidR="00152964" w:rsidRDefault="00152964" w:rsidP="00152964">
      <w:pPr>
        <w:pStyle w:val="Body"/>
        <w:spacing w:line="360" w:lineRule="auto"/>
        <w:ind w:left="720" w:hanging="720"/>
      </w:pPr>
      <w:r>
        <w:lastRenderedPageBreak/>
        <w:t xml:space="preserve">Cartwright, Jane, </w:t>
      </w:r>
      <w:r>
        <w:rPr>
          <w:i/>
          <w:iCs/>
        </w:rPr>
        <w:t xml:space="preserve">St David Of Wales Cult, Church And Nation </w:t>
      </w:r>
      <w:r>
        <w:t>(Woodbridge: The Boydell Press, 2007)</w:t>
      </w:r>
    </w:p>
    <w:p w14:paraId="3420B1B6" w14:textId="77777777" w:rsidR="00152964" w:rsidRPr="00AE475A" w:rsidRDefault="00152964" w:rsidP="00152964">
      <w:pPr>
        <w:pStyle w:val="Body"/>
        <w:spacing w:line="360" w:lineRule="auto"/>
      </w:pPr>
      <w:r>
        <w:t>Cartwright, Jane, Celtic</w:t>
      </w:r>
      <w:r w:rsidRPr="008466BA">
        <w:rPr>
          <w:i/>
          <w:iCs/>
        </w:rPr>
        <w:t xml:space="preserve"> Hagiography</w:t>
      </w:r>
      <w:r>
        <w:rPr>
          <w:i/>
          <w:iCs/>
        </w:rPr>
        <w:t xml:space="preserve"> And Saints Cults </w:t>
      </w:r>
      <w:r>
        <w:t>(Cardiff: University of Wales Press, 2003)</w:t>
      </w:r>
    </w:p>
    <w:p w14:paraId="654E6F47" w14:textId="77777777" w:rsidR="00152964" w:rsidRPr="007B3A3B" w:rsidRDefault="00152964" w:rsidP="00152964">
      <w:pPr>
        <w:pStyle w:val="Body"/>
        <w:spacing w:line="360" w:lineRule="auto"/>
        <w:ind w:left="720" w:hanging="720"/>
      </w:pPr>
      <w:r>
        <w:t xml:space="preserve">Cross, F. L. and Livingstone E. A., </w:t>
      </w:r>
      <w:r>
        <w:rPr>
          <w:i/>
          <w:iCs/>
        </w:rPr>
        <w:t xml:space="preserve">The Oxford Dictionary Of The Christian Church </w:t>
      </w:r>
      <w:r>
        <w:t>(Oxford: Oxford University Press, 1997)</w:t>
      </w:r>
    </w:p>
    <w:p w14:paraId="0D0FE0AC" w14:textId="77777777" w:rsidR="00152964" w:rsidRDefault="00152964" w:rsidP="00152964">
      <w:pPr>
        <w:pStyle w:val="Body"/>
        <w:spacing w:line="360" w:lineRule="auto"/>
      </w:pPr>
      <w:r>
        <w:t xml:space="preserve">Davies, Oliver, </w:t>
      </w:r>
      <w:r>
        <w:rPr>
          <w:i/>
          <w:iCs/>
        </w:rPr>
        <w:t xml:space="preserve">Celtic Christianity </w:t>
      </w:r>
      <w:r>
        <w:t>(Cardiff: University of Wales Press, 1996)</w:t>
      </w:r>
    </w:p>
    <w:p w14:paraId="352ACCD9" w14:textId="77777777" w:rsidR="00152964" w:rsidRPr="007C7A46" w:rsidRDefault="00152964" w:rsidP="00152964">
      <w:pPr>
        <w:pStyle w:val="Body"/>
        <w:spacing w:line="360" w:lineRule="auto"/>
      </w:pPr>
      <w:r>
        <w:t xml:space="preserve">Davies , Oliver and Bowie, Fiona, </w:t>
      </w:r>
      <w:r>
        <w:rPr>
          <w:i/>
          <w:iCs/>
        </w:rPr>
        <w:t xml:space="preserve">Celtic Christian Spirituality </w:t>
      </w:r>
      <w:r>
        <w:t>(London: SPCK, 1995)</w:t>
      </w:r>
    </w:p>
    <w:p w14:paraId="46017AAC" w14:textId="77777777" w:rsidR="00152964" w:rsidRPr="00524FC5" w:rsidRDefault="00152964" w:rsidP="00152964">
      <w:pPr>
        <w:pStyle w:val="Body"/>
        <w:spacing w:line="360" w:lineRule="auto"/>
        <w:ind w:left="720" w:hanging="720"/>
      </w:pPr>
      <w:r>
        <w:t xml:space="preserve">Edwards, Nancy and Lane, Alan, </w:t>
      </w:r>
      <w:r w:rsidRPr="00524FC5">
        <w:rPr>
          <w:i/>
          <w:iCs/>
        </w:rPr>
        <w:t>The Early Church In Wales And The West</w:t>
      </w:r>
      <w:r>
        <w:rPr>
          <w:i/>
          <w:iCs/>
        </w:rPr>
        <w:t xml:space="preserve"> </w:t>
      </w:r>
      <w:r>
        <w:t>(   :Oxbow Books, 1992)</w:t>
      </w:r>
    </w:p>
    <w:p w14:paraId="41CBEA28" w14:textId="77777777" w:rsidR="00152964" w:rsidRDefault="00152964" w:rsidP="00152964">
      <w:pPr>
        <w:pStyle w:val="Body"/>
        <w:spacing w:line="360" w:lineRule="auto"/>
      </w:pPr>
      <w:r>
        <w:rPr>
          <w:i/>
          <w:iCs/>
        </w:rPr>
        <w:t>The Welsh Life of St David</w:t>
      </w:r>
      <w:r w:rsidRPr="009E5CF5">
        <w:rPr>
          <w:i/>
          <w:iCs/>
        </w:rPr>
        <w:t xml:space="preserve">, </w:t>
      </w:r>
      <w:r w:rsidRPr="009E5CF5">
        <w:t>ed. D. Simon Evans</w:t>
      </w:r>
      <w:r>
        <w:rPr>
          <w:i/>
          <w:iCs/>
        </w:rPr>
        <w:t xml:space="preserve"> </w:t>
      </w:r>
      <w:r>
        <w:t>(Cardiff: University of Wales Press, 1988)</w:t>
      </w:r>
    </w:p>
    <w:p w14:paraId="46E2D9EC" w14:textId="77777777" w:rsidR="00152964" w:rsidRDefault="00152964" w:rsidP="00152964">
      <w:pPr>
        <w:pStyle w:val="Body"/>
        <w:spacing w:line="360" w:lineRule="auto"/>
        <w:ind w:left="720" w:hanging="720"/>
      </w:pPr>
      <w:r>
        <w:t xml:space="preserve">Evans, Kathleen, </w:t>
      </w:r>
      <w:r>
        <w:rPr>
          <w:i/>
          <w:iCs/>
        </w:rPr>
        <w:t xml:space="preserve">A Book Of Welsh Saints </w:t>
      </w:r>
      <w:r>
        <w:t>(Penarth: The Church in Wales Provincial Council for Education, 1959)</w:t>
      </w:r>
    </w:p>
    <w:p w14:paraId="07CF00F7" w14:textId="77777777" w:rsidR="00152964" w:rsidRPr="00EB3F56" w:rsidRDefault="00152964" w:rsidP="00152964">
      <w:pPr>
        <w:pStyle w:val="Body"/>
        <w:spacing w:line="360" w:lineRule="auto"/>
        <w:ind w:left="720" w:hanging="720"/>
      </w:pPr>
      <w:r>
        <w:t>Giraldus</w:t>
      </w:r>
      <w:r w:rsidRPr="00C450A9">
        <w:rPr>
          <w:i/>
          <w:iCs/>
        </w:rPr>
        <w:t>, Giraldus Camb</w:t>
      </w:r>
      <w:r>
        <w:t>rensis (Aberystwyth: The National Library of Wales, 1976)</w:t>
      </w:r>
    </w:p>
    <w:p w14:paraId="2B64A91F" w14:textId="77777777" w:rsidR="00152964" w:rsidRDefault="00152964" w:rsidP="00152964">
      <w:pPr>
        <w:pStyle w:val="xp4"/>
        <w:shd w:val="clear" w:color="auto" w:fill="FFFFFF"/>
        <w:spacing w:before="0" w:beforeAutospacing="0" w:after="0" w:afterAutospacing="0"/>
        <w:ind w:left="720" w:hanging="720"/>
        <w:rPr>
          <w:rFonts w:ascii="Segoe UI" w:hAnsi="Segoe UI" w:cs="Segoe UI"/>
          <w:color w:val="242424"/>
          <w:sz w:val="23"/>
          <w:szCs w:val="23"/>
        </w:rPr>
      </w:pPr>
      <w:r>
        <w:rPr>
          <w:rStyle w:val="xs3"/>
          <w:rFonts w:ascii="UICTFontTextStyleBody" w:hAnsi="UICTFontTextStyleBody" w:cs="Segoe UI"/>
          <w:color w:val="242424"/>
          <w:sz w:val="23"/>
          <w:szCs w:val="23"/>
          <w:bdr w:val="none" w:sz="0" w:space="0" w:color="auto" w:frame="1"/>
        </w:rPr>
        <w:t>Great British Gardens, </w:t>
      </w:r>
      <w:r>
        <w:rPr>
          <w:rStyle w:val="xs4"/>
          <w:rFonts w:ascii="UICTFontTextStyleItalicBody" w:hAnsi="UICTFontTextStyleItalicBody" w:cs="Segoe UI"/>
          <w:i/>
          <w:iCs/>
          <w:color w:val="242424"/>
          <w:sz w:val="23"/>
          <w:szCs w:val="23"/>
          <w:bdr w:val="none" w:sz="0" w:space="0" w:color="auto" w:frame="1"/>
        </w:rPr>
        <w:t xml:space="preserve">Saith Ffynnon Farm,Holywell (2022) </w:t>
      </w:r>
      <w:hyperlink r:id="rId8" w:history="1">
        <w:r w:rsidRPr="00B46335">
          <w:rPr>
            <w:rStyle w:val="Hyperlink"/>
            <w:rFonts w:ascii="UICTFontTextStyleBody" w:hAnsi="UICTFontTextStyleBody" w:cs="Segoe UI"/>
            <w:sz w:val="23"/>
            <w:szCs w:val="23"/>
            <w:bdr w:val="none" w:sz="0" w:space="0" w:color="auto" w:frame="1"/>
          </w:rPr>
          <w:t>&lt;https://www.greatbritishgardens.co.uk/flintshire/item/saith-ffynnon-farm.html&gt;</w:t>
        </w:r>
      </w:hyperlink>
      <w:r>
        <w:rPr>
          <w:rStyle w:val="xs3"/>
          <w:rFonts w:ascii="UICTFontTextStyleBody" w:hAnsi="UICTFontTextStyleBody" w:cs="Segoe UI"/>
          <w:color w:val="242424"/>
          <w:sz w:val="23"/>
          <w:szCs w:val="23"/>
          <w:bdr w:val="none" w:sz="0" w:space="0" w:color="auto" w:frame="1"/>
        </w:rPr>
        <w:t> [accessed 25 April 2024]</w:t>
      </w:r>
    </w:p>
    <w:p w14:paraId="4FB8D63D" w14:textId="77777777" w:rsidR="00152964" w:rsidRDefault="00152964" w:rsidP="00152964">
      <w:pPr>
        <w:pStyle w:val="Body"/>
        <w:spacing w:line="360" w:lineRule="auto"/>
      </w:pPr>
      <w:r>
        <w:t>Henken, Elissa R., A</w:t>
      </w:r>
      <w:r w:rsidRPr="001E1CA7">
        <w:rPr>
          <w:i/>
          <w:iCs/>
        </w:rPr>
        <w:t xml:space="preserve"> Study In Patterned Lives</w:t>
      </w:r>
      <w:r>
        <w:t xml:space="preserve"> (Cambridge: D. S. Brewer, 1991)</w:t>
      </w:r>
    </w:p>
    <w:p w14:paraId="00FFC30C" w14:textId="77777777" w:rsidR="00152964" w:rsidRDefault="00152964" w:rsidP="00152964">
      <w:pPr>
        <w:pStyle w:val="Body"/>
        <w:spacing w:line="360" w:lineRule="auto"/>
      </w:pPr>
      <w:r>
        <w:t xml:space="preserve">Henken, Elissa R., </w:t>
      </w:r>
      <w:r>
        <w:rPr>
          <w:i/>
          <w:iCs/>
        </w:rPr>
        <w:t xml:space="preserve">Traditions Of The Welsh Saints </w:t>
      </w:r>
      <w:r>
        <w:t>(Cambridge: D. S. Brewer, 1987)</w:t>
      </w:r>
      <w:r w:rsidRPr="002D0EC8">
        <w:t xml:space="preserve"> </w:t>
      </w:r>
    </w:p>
    <w:p w14:paraId="6EEA5183" w14:textId="77777777" w:rsidR="00152964" w:rsidRDefault="00152964" w:rsidP="00152964">
      <w:pPr>
        <w:pStyle w:val="FootnoteText"/>
        <w:ind w:left="720" w:hanging="720"/>
      </w:pPr>
      <w:r>
        <w:t xml:space="preserve">International  Anglican-Roman Catholic Commission for Mission and Unity,  </w:t>
      </w:r>
      <w:r>
        <w:rPr>
          <w:i/>
          <w:iCs/>
        </w:rPr>
        <w:t>Statement of Intent</w:t>
      </w:r>
      <w:r>
        <w:t xml:space="preserve"> (2023) </w:t>
      </w:r>
      <w:r w:rsidRPr="00793FF9">
        <w:t>&lt;</w:t>
      </w:r>
      <w:hyperlink r:id="rId9" w:history="1">
        <w:r w:rsidRPr="00793FF9">
          <w:rPr>
            <w:rStyle w:val="Hyperlink"/>
            <w:u w:val="none"/>
          </w:rPr>
          <w:t>https://iarccum.org/2023/wales-roman-catholic-and -anglican-bishops-to-work-co-operatively-for-flintshire-holy-well-site/xxc</w:t>
        </w:r>
      </w:hyperlink>
      <w:r>
        <w:t xml:space="preserve"> &gt; [accessed 23 April 2024]</w:t>
      </w:r>
    </w:p>
    <w:p w14:paraId="2E460A99" w14:textId="77777777" w:rsidR="00152964" w:rsidRPr="0003643B" w:rsidRDefault="00152964" w:rsidP="00152964">
      <w:pPr>
        <w:pStyle w:val="FootnoteText"/>
        <w:ind w:left="720" w:hanging="720"/>
      </w:pPr>
      <w:r>
        <w:t xml:space="preserve">James J. W., </w:t>
      </w:r>
      <w:r>
        <w:rPr>
          <w:i/>
          <w:iCs/>
        </w:rPr>
        <w:t xml:space="preserve">Rhygafarch’s Life Of St. David </w:t>
      </w:r>
      <w:r>
        <w:t>(Cardiff: University of Wales Press, 1967)</w:t>
      </w:r>
    </w:p>
    <w:p w14:paraId="50116646" w14:textId="77777777" w:rsidR="00152964" w:rsidRDefault="00152964" w:rsidP="00152964">
      <w:pPr>
        <w:pStyle w:val="Body"/>
        <w:spacing w:line="360" w:lineRule="auto"/>
      </w:pPr>
      <w:r>
        <w:t xml:space="preserve">Mawdsley, John, </w:t>
      </w:r>
      <w:r>
        <w:rPr>
          <w:i/>
          <w:iCs/>
        </w:rPr>
        <w:t xml:space="preserve">The Legend Of St Winifred </w:t>
      </w:r>
      <w:r>
        <w:t>(Bristol: Sedgewick Chivers Ltd., 1846)</w:t>
      </w:r>
    </w:p>
    <w:p w14:paraId="468D6B56" w14:textId="77777777" w:rsidR="00152964" w:rsidRDefault="00152964" w:rsidP="00152964">
      <w:pPr>
        <w:pStyle w:val="Body"/>
        <w:spacing w:line="360" w:lineRule="auto"/>
      </w:pPr>
      <w:r>
        <w:t xml:space="preserve">Morgan, Gerald, </w:t>
      </w:r>
      <w:r>
        <w:rPr>
          <w:i/>
          <w:iCs/>
        </w:rPr>
        <w:t xml:space="preserve">Ceredigion. A Wealth Of History </w:t>
      </w:r>
      <w:r>
        <w:t>(Llandysul: Gomer Press, 2005)</w:t>
      </w:r>
    </w:p>
    <w:p w14:paraId="3A5BAF43" w14:textId="77777777" w:rsidR="00152964" w:rsidRDefault="00152964" w:rsidP="00152964">
      <w:pPr>
        <w:pStyle w:val="Body"/>
        <w:spacing w:line="360" w:lineRule="auto"/>
      </w:pPr>
      <w:r>
        <w:t xml:space="preserve">O’Malley, Brian Brendan, </w:t>
      </w:r>
      <w:r>
        <w:rPr>
          <w:i/>
          <w:iCs/>
        </w:rPr>
        <w:t xml:space="preserve">a Pilgrim’s Manual </w:t>
      </w:r>
      <w:r>
        <w:t>(Marlborough: Paulinus Press, 1985)</w:t>
      </w:r>
    </w:p>
    <w:p w14:paraId="6A5F8231" w14:textId="6D43728D" w:rsidR="00152964" w:rsidRDefault="00152964" w:rsidP="00152964">
      <w:pPr>
        <w:pStyle w:val="xp4"/>
        <w:shd w:val="clear" w:color="auto" w:fill="FFFFFF"/>
        <w:spacing w:before="0" w:beforeAutospacing="0" w:after="0" w:afterAutospacing="0"/>
        <w:ind w:left="720" w:hanging="720"/>
        <w:rPr>
          <w:rFonts w:ascii="Segoe UI" w:hAnsi="Segoe UI" w:cs="Segoe UI"/>
          <w:color w:val="242424"/>
          <w:sz w:val="23"/>
          <w:szCs w:val="23"/>
        </w:rPr>
      </w:pPr>
      <w:r>
        <w:rPr>
          <w:rStyle w:val="xs3"/>
          <w:rFonts w:ascii="UICTFontTextStyleBody" w:hAnsi="UICTFontTextStyleBody" w:cs="Segoe UI"/>
          <w:color w:val="242424"/>
          <w:sz w:val="23"/>
          <w:szCs w:val="23"/>
          <w:bdr w:val="none" w:sz="0" w:space="0" w:color="auto" w:frame="1"/>
        </w:rPr>
        <w:t xml:space="preserve">Parsons, David N. and Russell, </w:t>
      </w:r>
      <w:r w:rsidR="00D344CB">
        <w:rPr>
          <w:rStyle w:val="xs3"/>
          <w:rFonts w:ascii="UICTFontTextStyleBody" w:hAnsi="UICTFontTextStyleBody" w:cs="Segoe UI"/>
          <w:color w:val="242424"/>
          <w:sz w:val="23"/>
          <w:szCs w:val="23"/>
          <w:bdr w:val="none" w:sz="0" w:space="0" w:color="auto" w:frame="1"/>
        </w:rPr>
        <w:t xml:space="preserve"> </w:t>
      </w:r>
      <w:r>
        <w:rPr>
          <w:rStyle w:val="xs3"/>
          <w:rFonts w:ascii="UICTFontTextStyleBody" w:hAnsi="UICTFontTextStyleBody" w:cs="Segoe UI"/>
          <w:color w:val="242424"/>
          <w:sz w:val="23"/>
          <w:szCs w:val="23"/>
          <w:bdr w:val="none" w:sz="0" w:space="0" w:color="auto" w:frame="1"/>
        </w:rPr>
        <w:t>Paul eds. </w:t>
      </w:r>
      <w:r>
        <w:rPr>
          <w:rStyle w:val="xs4"/>
          <w:rFonts w:ascii="UICTFontTextStyleItalicBody" w:hAnsi="UICTFontTextStyleItalicBody" w:cs="Segoe UI"/>
          <w:i/>
          <w:iCs/>
          <w:color w:val="242424"/>
          <w:sz w:val="23"/>
          <w:szCs w:val="23"/>
          <w:bdr w:val="none" w:sz="0" w:space="0" w:color="auto" w:frame="1"/>
        </w:rPr>
        <w:t>Seintiau Cymru, Sancti Cambrensis: astudiaethau ar Seintiau Cymru </w:t>
      </w:r>
      <w:r>
        <w:rPr>
          <w:rStyle w:val="xs3"/>
          <w:rFonts w:ascii="UICTFontTextStyleBody" w:hAnsi="UICTFontTextStyleBody" w:cs="Segoe UI"/>
          <w:color w:val="242424"/>
          <w:sz w:val="23"/>
          <w:szCs w:val="23"/>
          <w:bdr w:val="none" w:sz="0" w:space="0" w:color="auto" w:frame="1"/>
        </w:rPr>
        <w:t>(Aberystwyth: University of Wales Centre for Advanced Welsh and Celtic Studies, 2022) &lt;</w:t>
      </w:r>
      <w:hyperlink r:id="rId10" w:tooltip="Original URL: https://repository.uwtsd.ac.uk/id/eprint/2038/1/Cartwright%2C%20Jane%20%282022%29%20The%20Welsh%20versions%20of%20the%20life%20of%20Gwenfrewy.pdf. Click or tap if you trust this link." w:history="1">
        <w:r>
          <w:rPr>
            <w:rStyle w:val="Hyperlink"/>
            <w:rFonts w:ascii="UICTFontTextStyleBody" w:hAnsi="UICTFontTextStyleBody" w:cs="Segoe UI"/>
            <w:sz w:val="23"/>
            <w:szCs w:val="23"/>
            <w:bdr w:val="none" w:sz="0" w:space="0" w:color="auto" w:frame="1"/>
          </w:rPr>
          <w:t>https://repository.uwtsd.ac.uk/id/eprint/2038/1/Cartwright%2C%20Jane%20%282022%29%20The%20Welsh%20versions%20of%20the%20life%20of%20Gwenfrewy.pdf</w:t>
        </w:r>
      </w:hyperlink>
      <w:r>
        <w:rPr>
          <w:rStyle w:val="xs3"/>
          <w:rFonts w:ascii="UICTFontTextStyleBody" w:hAnsi="UICTFontTextStyleBody" w:cs="Segoe UI"/>
          <w:color w:val="242424"/>
          <w:sz w:val="23"/>
          <w:szCs w:val="23"/>
          <w:bdr w:val="none" w:sz="0" w:space="0" w:color="auto" w:frame="1"/>
        </w:rPr>
        <w:t>&gt; [accessed 25 April 2024]</w:t>
      </w:r>
    </w:p>
    <w:p w14:paraId="6D127E5F" w14:textId="77777777" w:rsidR="00152964" w:rsidRDefault="00152964" w:rsidP="00152964">
      <w:pPr>
        <w:pStyle w:val="Body"/>
        <w:spacing w:line="360" w:lineRule="auto"/>
        <w:rPr>
          <w:i/>
          <w:iCs/>
        </w:rPr>
      </w:pPr>
      <w:r>
        <w:rPr>
          <w:i/>
          <w:iCs/>
        </w:rPr>
        <w:t xml:space="preserve"> </w:t>
      </w:r>
    </w:p>
    <w:p w14:paraId="7986E3EA" w14:textId="77777777" w:rsidR="00152964" w:rsidRPr="00B208B9" w:rsidRDefault="00152964" w:rsidP="00152964">
      <w:pPr>
        <w:pStyle w:val="Body"/>
        <w:spacing w:line="360" w:lineRule="auto"/>
      </w:pPr>
      <w:r>
        <w:t xml:space="preserve">Pemberton, Cintra, </w:t>
      </w:r>
      <w:r>
        <w:rPr>
          <w:i/>
          <w:iCs/>
        </w:rPr>
        <w:t xml:space="preserve">Soulfaring </w:t>
      </w:r>
      <w:r>
        <w:t>(Harrisburg: Morehouse Publishing, 1999)</w:t>
      </w:r>
    </w:p>
    <w:p w14:paraId="46E28D4E" w14:textId="77777777" w:rsidR="00152964" w:rsidRPr="00212CBA" w:rsidRDefault="00152964" w:rsidP="00152964">
      <w:pPr>
        <w:pStyle w:val="Body"/>
        <w:spacing w:line="360" w:lineRule="auto"/>
      </w:pPr>
      <w:r>
        <w:t xml:space="preserve">Petts, David, </w:t>
      </w:r>
      <w:r>
        <w:rPr>
          <w:i/>
          <w:iCs/>
        </w:rPr>
        <w:t xml:space="preserve">The Early Medieval Church In Wales </w:t>
      </w:r>
      <w:r>
        <w:t>(Stroud: The History Press, 2009)</w:t>
      </w:r>
    </w:p>
    <w:p w14:paraId="7C53C891" w14:textId="77777777" w:rsidR="00152964" w:rsidRPr="00AE3693" w:rsidRDefault="00152964" w:rsidP="00152964">
      <w:pPr>
        <w:pStyle w:val="Body"/>
        <w:spacing w:line="360" w:lineRule="auto"/>
      </w:pPr>
      <w:r w:rsidRPr="006326B8">
        <w:t xml:space="preserve">Prior Robert, </w:t>
      </w:r>
      <w:r>
        <w:rPr>
          <w:i/>
          <w:iCs/>
        </w:rPr>
        <w:t xml:space="preserve">Two Mediaval Lives Of St Winefride </w:t>
      </w:r>
      <w:r w:rsidRPr="00AE3693">
        <w:t>(Toronto</w:t>
      </w:r>
      <w:r>
        <w:t>: Peregrino Publishing Co., 2000)</w:t>
      </w:r>
    </w:p>
    <w:p w14:paraId="35425DB6" w14:textId="77777777" w:rsidR="00152964" w:rsidRDefault="00152964" w:rsidP="00152964">
      <w:pPr>
        <w:pStyle w:val="Body"/>
        <w:spacing w:line="360" w:lineRule="auto"/>
        <w:ind w:left="720" w:hanging="720"/>
      </w:pPr>
      <w:r>
        <w:t xml:space="preserve">Pritchard, Thomas A., </w:t>
      </w:r>
      <w:r>
        <w:rPr>
          <w:i/>
          <w:iCs/>
        </w:rPr>
        <w:t xml:space="preserve">St Winefride, Her Holy Well And The Jesuit Mission, c650-1930 </w:t>
      </w:r>
      <w:r w:rsidRPr="006326B8">
        <w:t>(Wrexha</w:t>
      </w:r>
      <w:r>
        <w:t>m: :</w:t>
      </w:r>
      <w:r w:rsidRPr="006326B8">
        <w:t>Bridge Books, 2009)</w:t>
      </w:r>
    </w:p>
    <w:p w14:paraId="4E11CC7C" w14:textId="77777777" w:rsidR="00152964" w:rsidRDefault="00152964" w:rsidP="00152964">
      <w:pPr>
        <w:pStyle w:val="Body"/>
        <w:spacing w:line="360" w:lineRule="auto"/>
      </w:pPr>
      <w:r>
        <w:t xml:space="preserve">Shaffer, John A., </w:t>
      </w:r>
      <w:r>
        <w:rPr>
          <w:i/>
          <w:iCs/>
        </w:rPr>
        <w:t xml:space="preserve">Winifred’s Well </w:t>
      </w:r>
      <w:r>
        <w:t>(Nashville: Cold Tree Press, 2008)</w:t>
      </w:r>
    </w:p>
    <w:p w14:paraId="1BDE81D2" w14:textId="77777777" w:rsidR="00152964" w:rsidRPr="00820946" w:rsidRDefault="00152964" w:rsidP="00152964">
      <w:pPr>
        <w:pStyle w:val="Body"/>
        <w:spacing w:line="360" w:lineRule="auto"/>
      </w:pPr>
      <w:r>
        <w:t xml:space="preserve">Smith, Nick Mayhew, </w:t>
      </w:r>
      <w:r>
        <w:rPr>
          <w:i/>
          <w:iCs/>
        </w:rPr>
        <w:t xml:space="preserve">Britain’s Holiest Places </w:t>
      </w:r>
      <w:r>
        <w:t>(Bristol: Lifestyle Press Ltd, 2011)</w:t>
      </w:r>
    </w:p>
    <w:p w14:paraId="422727C9" w14:textId="77777777" w:rsidR="00152964" w:rsidRDefault="00152964" w:rsidP="00152964">
      <w:pPr>
        <w:pStyle w:val="Body"/>
        <w:spacing w:line="360" w:lineRule="auto"/>
      </w:pPr>
      <w:r>
        <w:t xml:space="preserve">Stokes, Whitley, </w:t>
      </w:r>
      <w:r>
        <w:rPr>
          <w:i/>
          <w:iCs/>
        </w:rPr>
        <w:t xml:space="preserve">The Martyrology Of Oengus </w:t>
      </w:r>
      <w:r>
        <w:t>(London: Harrison and Sons, 1905)</w:t>
      </w:r>
    </w:p>
    <w:p w14:paraId="732E2355" w14:textId="77777777" w:rsidR="00152964" w:rsidRPr="00B159D0" w:rsidRDefault="00152964" w:rsidP="00152964">
      <w:pPr>
        <w:pStyle w:val="Body"/>
        <w:spacing w:line="360" w:lineRule="auto"/>
      </w:pPr>
      <w:r>
        <w:t xml:space="preserve">Swift, Thomas, </w:t>
      </w:r>
      <w:r>
        <w:rPr>
          <w:i/>
          <w:iCs/>
        </w:rPr>
        <w:t xml:space="preserve">Life Of St Winefride </w:t>
      </w:r>
      <w:r>
        <w:t>(Holywell: Roehampton, 1910)</w:t>
      </w:r>
    </w:p>
    <w:p w14:paraId="4C0E6180" w14:textId="77777777" w:rsidR="00152964" w:rsidRDefault="00152964" w:rsidP="00152964">
      <w:pPr>
        <w:pStyle w:val="Body"/>
        <w:spacing w:line="360" w:lineRule="auto"/>
      </w:pPr>
      <w:r>
        <w:lastRenderedPageBreak/>
        <w:t xml:space="preserve">Thomas, Patrick, </w:t>
      </w:r>
      <w:r>
        <w:rPr>
          <w:i/>
          <w:iCs/>
        </w:rPr>
        <w:t xml:space="preserve">A Candle In The Darkness </w:t>
      </w:r>
      <w:r>
        <w:t>(Llandysul: Gomer Press, 1993)</w:t>
      </w:r>
    </w:p>
    <w:p w14:paraId="5EBF3B72" w14:textId="77777777" w:rsidR="00152964" w:rsidRPr="00C04A6A" w:rsidRDefault="00152964" w:rsidP="00152964">
      <w:pPr>
        <w:pStyle w:val="Body"/>
        <w:spacing w:line="360" w:lineRule="auto"/>
      </w:pPr>
      <w:r>
        <w:t xml:space="preserve">Van de Weyer, Robert, </w:t>
      </w:r>
      <w:r>
        <w:rPr>
          <w:i/>
          <w:iCs/>
        </w:rPr>
        <w:t xml:space="preserve">Celtic Fire </w:t>
      </w:r>
      <w:r>
        <w:t>(London: Darton, Longman and Todd, 1990)</w:t>
      </w:r>
    </w:p>
    <w:p w14:paraId="69587D59" w14:textId="77777777" w:rsidR="00152964" w:rsidRPr="00533F41" w:rsidRDefault="00152964" w:rsidP="00152964">
      <w:pPr>
        <w:pStyle w:val="Body"/>
        <w:spacing w:line="360" w:lineRule="auto"/>
      </w:pPr>
      <w:r>
        <w:t xml:space="preserve">Victory, Sian, </w:t>
      </w:r>
      <w:r>
        <w:rPr>
          <w:i/>
          <w:iCs/>
        </w:rPr>
        <w:t xml:space="preserve">The Celtic Church In Wales </w:t>
      </w:r>
      <w:r>
        <w:t>(London: SPCK, 1977)</w:t>
      </w:r>
    </w:p>
    <w:p w14:paraId="02CD9F9E" w14:textId="77777777" w:rsidR="00152964" w:rsidRDefault="00152964" w:rsidP="00152964">
      <w:pPr>
        <w:pStyle w:val="FootnoteText"/>
      </w:pPr>
      <w:r>
        <w:t xml:space="preserve">Warner, Marina, </w:t>
      </w:r>
      <w:r w:rsidRPr="008516DD">
        <w:rPr>
          <w:i/>
          <w:iCs/>
        </w:rPr>
        <w:t xml:space="preserve">The </w:t>
      </w:r>
      <w:r>
        <w:rPr>
          <w:i/>
          <w:iCs/>
        </w:rPr>
        <w:t xml:space="preserve">Myth Of The Cult Of The Virgin Mary </w:t>
      </w:r>
      <w:r>
        <w:t>(London: Weidenfeld, 1976)</w:t>
      </w:r>
    </w:p>
    <w:p w14:paraId="25713389" w14:textId="77777777" w:rsidR="00152964" w:rsidRDefault="00152964" w:rsidP="00152964">
      <w:pPr>
        <w:pStyle w:val="FootnoteText"/>
        <w:ind w:left="720" w:hanging="720"/>
      </w:pPr>
      <w:r>
        <w:t xml:space="preserve">Wellhopper, </w:t>
      </w:r>
      <w:r w:rsidRPr="00E55C69">
        <w:rPr>
          <w:i/>
          <w:iCs/>
        </w:rPr>
        <w:t>Exploring the ancient holy wells and healing wells of North Wal</w:t>
      </w:r>
      <w:r>
        <w:t>es (2023) &lt;htpps://wellhopper.wales/2023/09/15/st-davids-well-pantasaph/&gt; [accessed 23 April 2024]</w:t>
      </w:r>
    </w:p>
    <w:p w14:paraId="02D2DF06" w14:textId="77777777" w:rsidR="00152964" w:rsidRDefault="00152964" w:rsidP="00152964">
      <w:pPr>
        <w:pStyle w:val="FootnoteText"/>
        <w:ind w:left="720" w:hanging="720"/>
      </w:pPr>
      <w:r>
        <w:t xml:space="preserve">Wellhopper, </w:t>
      </w:r>
      <w:r w:rsidRPr="00E55C69">
        <w:rPr>
          <w:i/>
          <w:iCs/>
        </w:rPr>
        <w:t>Exploring the ancient holy wells and healing wells of North Wal</w:t>
      </w:r>
      <w:r>
        <w:t>es (2023) &lt;htpps://wellhopper.wales/2023/09/15/st-davids-well-pantasaph/&gt; [accessed 23 April 2024]</w:t>
      </w:r>
    </w:p>
    <w:p w14:paraId="6EC2A1E6" w14:textId="77777777" w:rsidR="00152964" w:rsidRPr="00B83F33" w:rsidRDefault="00152964" w:rsidP="00152964">
      <w:pPr>
        <w:pStyle w:val="FootnoteText"/>
        <w:ind w:left="720" w:hanging="720"/>
      </w:pPr>
      <w:r>
        <w:t xml:space="preserve">Williams, Glanmor, </w:t>
      </w:r>
      <w:r>
        <w:rPr>
          <w:i/>
          <w:iCs/>
        </w:rPr>
        <w:t>The Welsh Church From Conquest To Reformation (</w:t>
      </w:r>
      <w:r>
        <w:t>Cardiff: Wales University Press, 1962)</w:t>
      </w:r>
    </w:p>
    <w:p w14:paraId="3BC456E8" w14:textId="77777777" w:rsidR="004713F3" w:rsidRDefault="004713F3" w:rsidP="00416DED">
      <w:pPr>
        <w:pStyle w:val="FootnoteText"/>
      </w:pPr>
    </w:p>
    <w:p w14:paraId="353BDE60" w14:textId="77777777" w:rsidR="00665B04" w:rsidRDefault="00665B04" w:rsidP="00416DED">
      <w:pPr>
        <w:pStyle w:val="FootnoteText"/>
      </w:pPr>
    </w:p>
    <w:p w14:paraId="71BD7462" w14:textId="1E237C69" w:rsidR="00E00FF8" w:rsidRPr="009961D9" w:rsidRDefault="00E00FF8" w:rsidP="00C26B36">
      <w:pPr>
        <w:pStyle w:val="Body"/>
        <w:spacing w:line="360" w:lineRule="auto"/>
      </w:pPr>
    </w:p>
    <w:p w14:paraId="4166E49D" w14:textId="4C6C13A7" w:rsidR="004B2EC6" w:rsidRDefault="004B2EC6">
      <w:pPr>
        <w:pStyle w:val="Body"/>
        <w:spacing w:line="360" w:lineRule="auto"/>
      </w:pPr>
    </w:p>
    <w:p w14:paraId="4166E49E" w14:textId="77777777" w:rsidR="004B2EC6" w:rsidRDefault="004B2EC6">
      <w:pPr>
        <w:pStyle w:val="Body"/>
        <w:spacing w:line="360" w:lineRule="auto"/>
      </w:pPr>
    </w:p>
    <w:p w14:paraId="4166E49F" w14:textId="77777777" w:rsidR="004B2EC6" w:rsidRDefault="004B2EC6">
      <w:pPr>
        <w:pStyle w:val="Body"/>
        <w:spacing w:line="360" w:lineRule="auto"/>
      </w:pPr>
    </w:p>
    <w:p w14:paraId="4166E4A0" w14:textId="77777777" w:rsidR="004B2EC6" w:rsidRDefault="004B2EC6">
      <w:pPr>
        <w:pStyle w:val="Body"/>
        <w:spacing w:line="360" w:lineRule="auto"/>
      </w:pPr>
    </w:p>
    <w:p w14:paraId="4166E4B6" w14:textId="223C6A83" w:rsidR="004B2EC6" w:rsidRDefault="004B2EC6">
      <w:pPr>
        <w:pStyle w:val="Body"/>
        <w:spacing w:line="360" w:lineRule="auto"/>
      </w:pPr>
    </w:p>
    <w:sectPr w:rsidR="004B2EC6">
      <w:footerReference w:type="default" r:id="rId11"/>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77A4D" w14:textId="77777777" w:rsidR="000F60DE" w:rsidRDefault="000F60DE">
      <w:pPr>
        <w:spacing w:after="0" w:line="240" w:lineRule="auto"/>
      </w:pPr>
      <w:r>
        <w:separator/>
      </w:r>
    </w:p>
  </w:endnote>
  <w:endnote w:type="continuationSeparator" w:id="0">
    <w:p w14:paraId="2BF5494A" w14:textId="77777777" w:rsidR="000F60DE" w:rsidRDefault="000F60DE">
      <w:pPr>
        <w:spacing w:after="0" w:line="240" w:lineRule="auto"/>
      </w:pPr>
      <w:r>
        <w:continuationSeparator/>
      </w:r>
    </w:p>
  </w:endnote>
  <w:endnote w:type="continuationNotice" w:id="1">
    <w:p w14:paraId="0CF125B1" w14:textId="77777777" w:rsidR="000F60DE" w:rsidRDefault="000F60D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Neue">
    <w:altName w:val="Arial"/>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UICTFontTextStyleBody">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UICTFontTextStyleItalic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6E4B8" w14:textId="3BC9181A" w:rsidR="004B2EC6" w:rsidRDefault="00AE6C0F">
    <w:pPr>
      <w:pStyle w:val="HeaderFooter"/>
      <w:tabs>
        <w:tab w:val="clear" w:pos="9020"/>
        <w:tab w:val="center" w:pos="4819"/>
        <w:tab w:val="right" w:pos="9638"/>
      </w:tabs>
    </w:pPr>
    <w:r>
      <w:tab/>
    </w:r>
    <w:r>
      <w:fldChar w:fldCharType="begin"/>
    </w:r>
    <w:r>
      <w:instrText xml:space="preserve"> PAGE </w:instrText>
    </w:r>
    <w:r>
      <w:fldChar w:fldCharType="separate"/>
    </w:r>
    <w:r w:rsidR="009952D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C2FA4" w14:textId="77777777" w:rsidR="000F60DE" w:rsidRDefault="000F60DE">
      <w:pPr>
        <w:spacing w:after="0" w:line="240" w:lineRule="auto"/>
      </w:pPr>
      <w:r>
        <w:separator/>
      </w:r>
    </w:p>
  </w:footnote>
  <w:footnote w:type="continuationSeparator" w:id="0">
    <w:p w14:paraId="6141EBAB" w14:textId="77777777" w:rsidR="000F60DE" w:rsidRDefault="000F60DE">
      <w:pPr>
        <w:spacing w:after="0" w:line="240" w:lineRule="auto"/>
      </w:pPr>
      <w:r>
        <w:continuationSeparator/>
      </w:r>
    </w:p>
  </w:footnote>
  <w:footnote w:type="continuationNotice" w:id="1">
    <w:p w14:paraId="0E085D03" w14:textId="77777777" w:rsidR="000F60DE" w:rsidRDefault="000F60DE">
      <w:pPr>
        <w:spacing w:after="0" w:line="240" w:lineRule="auto"/>
      </w:pPr>
    </w:p>
  </w:footnote>
  <w:footnote w:id="2">
    <w:p w14:paraId="429B4F8B" w14:textId="4F7521B9" w:rsidR="001B7D22" w:rsidRDefault="001B7D22" w:rsidP="0044675E">
      <w:pPr>
        <w:pStyle w:val="FootnoteText"/>
        <w:ind w:left="720" w:hanging="720"/>
      </w:pPr>
      <w:r>
        <w:rPr>
          <w:rStyle w:val="FootnoteReference"/>
        </w:rPr>
        <w:footnoteRef/>
      </w:r>
      <w:r>
        <w:t xml:space="preserve"> </w:t>
      </w:r>
      <w:r w:rsidR="00A02D18">
        <w:t xml:space="preserve">Thomas W. </w:t>
      </w:r>
      <w:r w:rsidR="004A5F13">
        <w:t xml:space="preserve"> </w:t>
      </w:r>
      <w:r>
        <w:t xml:space="preserve">Pritchard, </w:t>
      </w:r>
      <w:r>
        <w:rPr>
          <w:i/>
          <w:iCs/>
        </w:rPr>
        <w:t>St Winefride, Her Holy Wel</w:t>
      </w:r>
      <w:r w:rsidR="004A5F13">
        <w:rPr>
          <w:i/>
          <w:iCs/>
        </w:rPr>
        <w:t>l</w:t>
      </w:r>
      <w:r w:rsidR="00EB62F8">
        <w:rPr>
          <w:i/>
          <w:iCs/>
        </w:rPr>
        <w:t xml:space="preserve"> And The Jesuit Mission</w:t>
      </w:r>
      <w:r w:rsidR="00713A4F">
        <w:rPr>
          <w:i/>
          <w:iCs/>
        </w:rPr>
        <w:t xml:space="preserve"> c</w:t>
      </w:r>
      <w:r w:rsidR="004A5F13">
        <w:rPr>
          <w:i/>
          <w:iCs/>
        </w:rPr>
        <w:t xml:space="preserve"> </w:t>
      </w:r>
      <w:r w:rsidR="00713A4F">
        <w:rPr>
          <w:i/>
          <w:iCs/>
        </w:rPr>
        <w:t>650-19</w:t>
      </w:r>
      <w:r w:rsidR="00373291">
        <w:rPr>
          <w:i/>
          <w:iCs/>
        </w:rPr>
        <w:t>30</w:t>
      </w:r>
      <w:r w:rsidR="00205DAB">
        <w:rPr>
          <w:i/>
          <w:iCs/>
        </w:rPr>
        <w:t xml:space="preserve"> </w:t>
      </w:r>
      <w:r w:rsidR="00205DAB" w:rsidRPr="00755479">
        <w:t>(Wrexham: Bridge</w:t>
      </w:r>
      <w:r>
        <w:rPr>
          <w:i/>
          <w:iCs/>
        </w:rPr>
        <w:t xml:space="preserve"> </w:t>
      </w:r>
      <w:r w:rsidR="00755479">
        <w:t>Books</w:t>
      </w:r>
      <w:r w:rsidR="00F71BA4">
        <w:t>,</w:t>
      </w:r>
      <w:r w:rsidR="00E54DEF">
        <w:t xml:space="preserve"> 2009)</w:t>
      </w:r>
      <w:r w:rsidR="00A64EBF">
        <w:t xml:space="preserve">, </w:t>
      </w:r>
      <w:r>
        <w:rPr>
          <w:i/>
          <w:iCs/>
        </w:rPr>
        <w:t>37</w:t>
      </w:r>
      <w:r w:rsidR="006309BB">
        <w:rPr>
          <w:i/>
          <w:iCs/>
        </w:rPr>
        <w:t>5</w:t>
      </w:r>
      <w:r w:rsidR="00B634B1">
        <w:rPr>
          <w:i/>
          <w:iCs/>
        </w:rPr>
        <w:t>.</w:t>
      </w:r>
    </w:p>
  </w:footnote>
  <w:footnote w:id="3">
    <w:p w14:paraId="7F2536A8" w14:textId="50718E52" w:rsidR="00C824F6" w:rsidRPr="00E23517" w:rsidRDefault="00C824F6">
      <w:pPr>
        <w:pStyle w:val="FootnoteText"/>
      </w:pPr>
      <w:r>
        <w:rPr>
          <w:rStyle w:val="FootnoteReference"/>
        </w:rPr>
        <w:footnoteRef/>
      </w:r>
      <w:r w:rsidR="002C41E6">
        <w:t xml:space="preserve"> </w:t>
      </w:r>
      <w:r w:rsidR="00B10D2F">
        <w:t>Pr</w:t>
      </w:r>
      <w:r w:rsidR="00970A3A">
        <w:t>itchard</w:t>
      </w:r>
      <w:r w:rsidR="004C714F">
        <w:t>,</w:t>
      </w:r>
      <w:r w:rsidR="00970A3A">
        <w:t xml:space="preserve"> </w:t>
      </w:r>
      <w:r w:rsidR="00340EF4">
        <w:rPr>
          <w:i/>
          <w:iCs/>
        </w:rPr>
        <w:t>St Winefride</w:t>
      </w:r>
      <w:r w:rsidR="001B5B41">
        <w:rPr>
          <w:i/>
          <w:iCs/>
        </w:rPr>
        <w:t>,</w:t>
      </w:r>
      <w:r w:rsidR="00673864">
        <w:rPr>
          <w:i/>
          <w:iCs/>
        </w:rPr>
        <w:t xml:space="preserve"> H</w:t>
      </w:r>
      <w:r w:rsidR="00340EF4">
        <w:rPr>
          <w:i/>
          <w:iCs/>
        </w:rPr>
        <w:t>e</w:t>
      </w:r>
      <w:r w:rsidR="00667C45">
        <w:rPr>
          <w:i/>
          <w:iCs/>
        </w:rPr>
        <w:t>r</w:t>
      </w:r>
      <w:r w:rsidR="00340EF4">
        <w:rPr>
          <w:i/>
          <w:iCs/>
        </w:rPr>
        <w:t xml:space="preserve"> </w:t>
      </w:r>
      <w:r w:rsidR="00667C45">
        <w:rPr>
          <w:i/>
          <w:iCs/>
        </w:rPr>
        <w:t>H</w:t>
      </w:r>
      <w:r w:rsidR="00340EF4">
        <w:rPr>
          <w:i/>
          <w:iCs/>
        </w:rPr>
        <w:t>oly</w:t>
      </w:r>
      <w:r w:rsidR="00667C45">
        <w:rPr>
          <w:i/>
          <w:iCs/>
        </w:rPr>
        <w:t xml:space="preserve"> W</w:t>
      </w:r>
      <w:r w:rsidR="006F326F">
        <w:rPr>
          <w:i/>
          <w:iCs/>
        </w:rPr>
        <w:t>ell</w:t>
      </w:r>
      <w:r w:rsidR="004A5F13">
        <w:rPr>
          <w:i/>
          <w:iCs/>
        </w:rPr>
        <w:t xml:space="preserve">, </w:t>
      </w:r>
      <w:r w:rsidR="0015596A">
        <w:t>8.</w:t>
      </w:r>
    </w:p>
  </w:footnote>
  <w:footnote w:id="4">
    <w:p w14:paraId="584467C7" w14:textId="4F97A049" w:rsidR="009C6C3D" w:rsidRDefault="009C6C3D" w:rsidP="002C4555">
      <w:pPr>
        <w:pStyle w:val="xp4"/>
        <w:shd w:val="clear" w:color="auto" w:fill="FFFFFF"/>
        <w:spacing w:before="0" w:beforeAutospacing="0" w:after="0" w:afterAutospacing="0"/>
        <w:ind w:left="720" w:hanging="720"/>
        <w:rPr>
          <w:rStyle w:val="xs3"/>
          <w:rFonts w:ascii="UICTFontTextStyleBody" w:hAnsi="UICTFontTextStyleBody" w:cs="Segoe UI"/>
          <w:color w:val="242424"/>
          <w:sz w:val="23"/>
          <w:szCs w:val="23"/>
          <w:bdr w:val="none" w:sz="0" w:space="0" w:color="auto" w:frame="1"/>
        </w:rPr>
      </w:pPr>
      <w:r>
        <w:rPr>
          <w:rStyle w:val="FootnoteReference"/>
        </w:rPr>
        <w:footnoteRef/>
      </w:r>
      <w:r>
        <w:t xml:space="preserve"> </w:t>
      </w:r>
      <w:r w:rsidR="00FC5045">
        <w:t xml:space="preserve"> </w:t>
      </w:r>
      <w:r w:rsidR="002C4555">
        <w:rPr>
          <w:rStyle w:val="xs4"/>
          <w:rFonts w:ascii="UICTFontTextStyleItalicBody" w:hAnsi="UICTFontTextStyleItalicBody" w:cs="Segoe UI"/>
          <w:i/>
          <w:iCs/>
          <w:color w:val="242424"/>
          <w:sz w:val="23"/>
          <w:szCs w:val="23"/>
          <w:bdr w:val="none" w:sz="0" w:space="0" w:color="auto" w:frame="1"/>
        </w:rPr>
        <w:t>Seintiau Cymru, Sancti Cambrensis: astudiaethau ar Seintiau Cymru</w:t>
      </w:r>
      <w:r w:rsidR="002C4555">
        <w:rPr>
          <w:rStyle w:val="xs3"/>
          <w:rFonts w:ascii="UICTFontTextStyleBody" w:hAnsi="UICTFontTextStyleBody" w:cs="Segoe UI"/>
          <w:color w:val="242424"/>
          <w:sz w:val="23"/>
          <w:szCs w:val="23"/>
          <w:bdr w:val="none" w:sz="0" w:space="0" w:color="auto" w:frame="1"/>
        </w:rPr>
        <w:t xml:space="preserve">, ed. by David </w:t>
      </w:r>
      <w:r w:rsidR="00342E8B">
        <w:rPr>
          <w:rStyle w:val="xs3"/>
          <w:rFonts w:ascii="UICTFontTextStyleBody" w:hAnsi="UICTFontTextStyleBody" w:cs="Segoe UI"/>
          <w:color w:val="242424"/>
          <w:sz w:val="23"/>
          <w:szCs w:val="23"/>
          <w:bdr w:val="none" w:sz="0" w:space="0" w:color="auto" w:frame="1"/>
        </w:rPr>
        <w:t xml:space="preserve">N. </w:t>
      </w:r>
      <w:r w:rsidR="002C4555">
        <w:rPr>
          <w:rStyle w:val="xs3"/>
          <w:rFonts w:ascii="UICTFontTextStyleBody" w:hAnsi="UICTFontTextStyleBody" w:cs="Segoe UI"/>
          <w:color w:val="242424"/>
          <w:sz w:val="23"/>
          <w:szCs w:val="23"/>
          <w:bdr w:val="none" w:sz="0" w:space="0" w:color="auto" w:frame="1"/>
        </w:rPr>
        <w:t xml:space="preserve">Parsons and Paul </w:t>
      </w:r>
      <w:r w:rsidR="00342E8B">
        <w:rPr>
          <w:rStyle w:val="xs3"/>
          <w:rFonts w:ascii="UICTFontTextStyleBody" w:hAnsi="UICTFontTextStyleBody" w:cs="Segoe UI"/>
          <w:color w:val="242424"/>
          <w:sz w:val="23"/>
          <w:szCs w:val="23"/>
          <w:bdr w:val="none" w:sz="0" w:space="0" w:color="auto" w:frame="1"/>
        </w:rPr>
        <w:t>Russell</w:t>
      </w:r>
      <w:r w:rsidR="002C4555">
        <w:rPr>
          <w:rStyle w:val="xs3"/>
          <w:rFonts w:ascii="UICTFontTextStyleBody" w:hAnsi="UICTFontTextStyleBody" w:cs="Segoe UI"/>
          <w:color w:val="242424"/>
          <w:sz w:val="23"/>
          <w:szCs w:val="23"/>
          <w:bdr w:val="none" w:sz="0" w:space="0" w:color="auto" w:frame="1"/>
        </w:rPr>
        <w:t xml:space="preserve"> (Aberystwyth: University of Wales Centre for Advanced Welsh and Celtic Studies, 2022) &lt;</w:t>
      </w:r>
      <w:hyperlink r:id="rId1" w:tooltip="Original URL: https://repository.uwtsd.ac.uk/id/eprint/2038/1/Cartwright%2C%20Jane%20%282022%29%20The%20Welsh%20versions%20of%20the%20life%20of%20Gwenfrewy.pdf. Click or tap if you trust this link." w:history="1">
        <w:r w:rsidR="002C4555">
          <w:rPr>
            <w:rStyle w:val="Hyperlink"/>
            <w:rFonts w:ascii="UICTFontTextStyleBody" w:hAnsi="UICTFontTextStyleBody" w:cs="Segoe UI"/>
            <w:sz w:val="23"/>
            <w:szCs w:val="23"/>
            <w:bdr w:val="none" w:sz="0" w:space="0" w:color="auto" w:frame="1"/>
          </w:rPr>
          <w:t>https://repository.uwtsd.ac.uk/id/eprint/2038/1/Cartwright%2C%20Jane%20%282022%29%20The%20Welsh%20versions%20of%20the%20life%20of%20Gwenfrewy.pdf</w:t>
        </w:r>
      </w:hyperlink>
      <w:r w:rsidR="002C4555">
        <w:rPr>
          <w:rStyle w:val="xs3"/>
          <w:rFonts w:ascii="UICTFontTextStyleBody" w:hAnsi="UICTFontTextStyleBody" w:cs="Segoe UI"/>
          <w:color w:val="242424"/>
          <w:sz w:val="23"/>
          <w:szCs w:val="23"/>
          <w:bdr w:val="none" w:sz="0" w:space="0" w:color="auto" w:frame="1"/>
        </w:rPr>
        <w:t>&gt; [ccessed 25 April 2024]</w:t>
      </w:r>
    </w:p>
    <w:p w14:paraId="5351F822" w14:textId="77777777" w:rsidR="002C4555" w:rsidRPr="002C4555" w:rsidRDefault="002C4555" w:rsidP="002C4555">
      <w:pPr>
        <w:pStyle w:val="xp4"/>
        <w:shd w:val="clear" w:color="auto" w:fill="FFFFFF"/>
        <w:spacing w:before="0" w:beforeAutospacing="0" w:after="0" w:afterAutospacing="0"/>
        <w:ind w:left="720" w:hanging="720"/>
        <w:rPr>
          <w:rFonts w:ascii="Segoe UI" w:hAnsi="Segoe UI" w:cs="Segoe UI"/>
          <w:color w:val="242424"/>
          <w:sz w:val="23"/>
          <w:szCs w:val="23"/>
        </w:rPr>
      </w:pPr>
    </w:p>
  </w:footnote>
  <w:footnote w:id="5">
    <w:p w14:paraId="5FE7504E" w14:textId="50093CB4" w:rsidR="006B2F76" w:rsidRPr="006F57A9" w:rsidRDefault="00812D35">
      <w:pPr>
        <w:pStyle w:val="FootnoteText"/>
      </w:pPr>
      <w:r>
        <w:rPr>
          <w:rStyle w:val="FootnoteReference"/>
        </w:rPr>
        <w:footnoteRef/>
      </w:r>
      <w:r w:rsidR="005D2606">
        <w:t xml:space="preserve"> </w:t>
      </w:r>
      <w:r w:rsidR="00A07BF7">
        <w:t>Prior Robert</w:t>
      </w:r>
      <w:r w:rsidR="00E23F0F">
        <w:t>,</w:t>
      </w:r>
      <w:r w:rsidR="00B563CA">
        <w:t xml:space="preserve"> </w:t>
      </w:r>
      <w:r w:rsidR="00B563CA">
        <w:rPr>
          <w:i/>
          <w:iCs/>
        </w:rPr>
        <w:t>Two Medi</w:t>
      </w:r>
      <w:r w:rsidR="00CB6516">
        <w:rPr>
          <w:i/>
          <w:iCs/>
        </w:rPr>
        <w:t xml:space="preserve">aval Lives </w:t>
      </w:r>
      <w:r w:rsidR="0059077F">
        <w:rPr>
          <w:i/>
          <w:iCs/>
        </w:rPr>
        <w:t>O</w:t>
      </w:r>
      <w:r w:rsidR="00CB6516">
        <w:rPr>
          <w:i/>
          <w:iCs/>
        </w:rPr>
        <w:t>f St Winefride</w:t>
      </w:r>
      <w:r w:rsidR="006F57A9">
        <w:rPr>
          <w:i/>
          <w:iCs/>
        </w:rPr>
        <w:t>,</w:t>
      </w:r>
      <w:r w:rsidR="006F57A9">
        <w:t xml:space="preserve"> </w:t>
      </w:r>
      <w:r w:rsidR="00320C07">
        <w:t>(Toronto:</w:t>
      </w:r>
      <w:r w:rsidR="00EC7E51">
        <w:t xml:space="preserve"> Peregrino Publishin</w:t>
      </w:r>
      <w:r w:rsidR="00154C03">
        <w:t>g Co.</w:t>
      </w:r>
      <w:r w:rsidR="002A1748">
        <w:t>, 2000)</w:t>
      </w:r>
      <w:r w:rsidR="008018A4">
        <w:t xml:space="preserve">, </w:t>
      </w:r>
      <w:r w:rsidR="002A1748">
        <w:t>12.</w:t>
      </w:r>
    </w:p>
  </w:footnote>
  <w:footnote w:id="6">
    <w:p w14:paraId="575EF0AE" w14:textId="38C3FF4F" w:rsidR="00883F8E" w:rsidRPr="0032769D" w:rsidRDefault="0059077F">
      <w:pPr>
        <w:pStyle w:val="FootnoteText"/>
      </w:pPr>
      <w:r>
        <w:rPr>
          <w:rStyle w:val="FootnoteReference"/>
        </w:rPr>
        <w:footnoteRef/>
      </w:r>
      <w:r w:rsidR="004103F3">
        <w:t xml:space="preserve"> </w:t>
      </w:r>
      <w:r w:rsidR="006011AB">
        <w:t>Prior Robert</w:t>
      </w:r>
      <w:r w:rsidR="00CC503D">
        <w:t xml:space="preserve">, </w:t>
      </w:r>
      <w:r w:rsidR="0032769D">
        <w:rPr>
          <w:i/>
          <w:iCs/>
        </w:rPr>
        <w:t xml:space="preserve">Two Mediaval Lives Of St Winefride, </w:t>
      </w:r>
      <w:r w:rsidR="0032769D">
        <w:t>12-14</w:t>
      </w:r>
      <w:r w:rsidR="00DF18B8">
        <w:t>.</w:t>
      </w:r>
    </w:p>
  </w:footnote>
  <w:footnote w:id="7">
    <w:p w14:paraId="323C66DB" w14:textId="5AEDB524" w:rsidR="00985CA2" w:rsidRDefault="00985CA2">
      <w:pPr>
        <w:pStyle w:val="FootnoteText"/>
      </w:pPr>
      <w:r>
        <w:rPr>
          <w:rStyle w:val="FootnoteReference"/>
        </w:rPr>
        <w:footnoteRef/>
      </w:r>
      <w:r>
        <w:t xml:space="preserve"> </w:t>
      </w:r>
      <w:r w:rsidR="00BE5771">
        <w:t xml:space="preserve">Prior Robert, </w:t>
      </w:r>
      <w:r w:rsidR="00BE5771">
        <w:rPr>
          <w:i/>
          <w:iCs/>
        </w:rPr>
        <w:t xml:space="preserve">Two Mediaval Lives Of St Winefride, </w:t>
      </w:r>
      <w:r w:rsidR="00BE5771">
        <w:t>12-14</w:t>
      </w:r>
    </w:p>
  </w:footnote>
  <w:footnote w:id="8">
    <w:p w14:paraId="5DFE851A" w14:textId="48AA2998" w:rsidR="00536E90" w:rsidRDefault="00536E90">
      <w:pPr>
        <w:pStyle w:val="FootnoteText"/>
      </w:pPr>
      <w:r>
        <w:rPr>
          <w:rStyle w:val="FootnoteReference"/>
        </w:rPr>
        <w:footnoteRef/>
      </w:r>
      <w:r>
        <w:t xml:space="preserve"> </w:t>
      </w:r>
      <w:r w:rsidR="004563E4">
        <w:t>Prior</w:t>
      </w:r>
      <w:r w:rsidR="00174308">
        <w:t xml:space="preserve"> R</w:t>
      </w:r>
      <w:r w:rsidR="004563E4">
        <w:t xml:space="preserve">obert, </w:t>
      </w:r>
      <w:r w:rsidR="004563E4">
        <w:rPr>
          <w:i/>
          <w:iCs/>
        </w:rPr>
        <w:t xml:space="preserve">Two Mediaval </w:t>
      </w:r>
      <w:r w:rsidR="004563E4" w:rsidRPr="00710C92">
        <w:t>Lives</w:t>
      </w:r>
      <w:r w:rsidR="004563E4">
        <w:rPr>
          <w:i/>
          <w:iCs/>
        </w:rPr>
        <w:t xml:space="preserve"> Of St Winefride,</w:t>
      </w:r>
      <w:r w:rsidR="00174308">
        <w:t xml:space="preserve"> </w:t>
      </w:r>
      <w:r w:rsidR="00816F43">
        <w:t>51.</w:t>
      </w:r>
    </w:p>
  </w:footnote>
  <w:footnote w:id="9">
    <w:p w14:paraId="40800903" w14:textId="126E5F2A" w:rsidR="005173A7" w:rsidRPr="008223E7" w:rsidRDefault="005173A7">
      <w:pPr>
        <w:pStyle w:val="FootnoteText"/>
      </w:pPr>
      <w:r>
        <w:rPr>
          <w:rStyle w:val="FootnoteReference"/>
        </w:rPr>
        <w:footnoteRef/>
      </w:r>
      <w:r>
        <w:t xml:space="preserve"> </w:t>
      </w:r>
      <w:r w:rsidR="00F90866">
        <w:t>Whitley</w:t>
      </w:r>
      <w:r w:rsidR="00923443">
        <w:t xml:space="preserve"> Stokes, </w:t>
      </w:r>
      <w:r w:rsidR="00D4624F">
        <w:rPr>
          <w:i/>
          <w:iCs/>
        </w:rPr>
        <w:t xml:space="preserve">The Martyrology Of </w:t>
      </w:r>
      <w:r w:rsidR="00710C92">
        <w:rPr>
          <w:i/>
          <w:iCs/>
        </w:rPr>
        <w:t>Oengus</w:t>
      </w:r>
      <w:r w:rsidR="008223E7">
        <w:rPr>
          <w:i/>
          <w:iCs/>
        </w:rPr>
        <w:t xml:space="preserve"> </w:t>
      </w:r>
      <w:r w:rsidR="00097F9D">
        <w:t>(</w:t>
      </w:r>
      <w:r w:rsidR="001D6E47">
        <w:t>London</w:t>
      </w:r>
      <w:r w:rsidR="007008AB">
        <w:t xml:space="preserve">: </w:t>
      </w:r>
      <w:r w:rsidR="007904CE">
        <w:t xml:space="preserve">Harrison and Sons, </w:t>
      </w:r>
      <w:r w:rsidR="00A6342C">
        <w:t>1905</w:t>
      </w:r>
      <w:r w:rsidR="00C30C05">
        <w:t>), 65.</w:t>
      </w:r>
    </w:p>
  </w:footnote>
  <w:footnote w:id="10">
    <w:p w14:paraId="3EA9AF8E" w14:textId="3C897D10" w:rsidR="00174820" w:rsidRPr="00543639" w:rsidRDefault="00174820">
      <w:pPr>
        <w:pStyle w:val="FootnoteText"/>
      </w:pPr>
      <w:r>
        <w:rPr>
          <w:rStyle w:val="FootnoteReference"/>
        </w:rPr>
        <w:footnoteRef/>
      </w:r>
      <w:r>
        <w:t xml:space="preserve"> </w:t>
      </w:r>
      <w:r w:rsidR="00543639">
        <w:t xml:space="preserve"> Prior Robert, </w:t>
      </w:r>
      <w:r w:rsidR="00543639">
        <w:rPr>
          <w:i/>
          <w:iCs/>
        </w:rPr>
        <w:t xml:space="preserve">Two Mediaval Lives Of St Winefride, </w:t>
      </w:r>
      <w:r w:rsidR="00543639">
        <w:t>12-14.</w:t>
      </w:r>
    </w:p>
  </w:footnote>
  <w:footnote w:id="11">
    <w:p w14:paraId="426090DD" w14:textId="5E5676F1" w:rsidR="005924D4" w:rsidRPr="0072599D" w:rsidRDefault="00132CDE">
      <w:pPr>
        <w:pStyle w:val="FootnoteText"/>
      </w:pPr>
      <w:r>
        <w:rPr>
          <w:rStyle w:val="FootnoteReference"/>
        </w:rPr>
        <w:footnoteRef/>
      </w:r>
      <w:r w:rsidR="005924D4">
        <w:rPr>
          <w:rStyle w:val="FootnoteReference"/>
        </w:rPr>
        <w:footnoteRef/>
      </w:r>
      <w:r w:rsidR="005924D4">
        <w:t xml:space="preserve"> E</w:t>
      </w:r>
      <w:r w:rsidR="00EB66D8">
        <w:t xml:space="preserve"> Sharpe</w:t>
      </w:r>
      <w:r w:rsidR="00875C53">
        <w:t xml:space="preserve">, </w:t>
      </w:r>
      <w:r w:rsidR="008C531A">
        <w:t>“</w:t>
      </w:r>
      <w:r w:rsidR="00AA4EB7">
        <w:t xml:space="preserve">Review </w:t>
      </w:r>
      <w:r w:rsidR="00BC53DB">
        <w:t>Of Traditions O</w:t>
      </w:r>
      <w:r w:rsidR="005524FF">
        <w:t>f</w:t>
      </w:r>
      <w:r w:rsidR="00BC53DB">
        <w:t xml:space="preserve"> The Welsh Saints"</w:t>
      </w:r>
      <w:r w:rsidR="00E230BD">
        <w:t xml:space="preserve">, </w:t>
      </w:r>
      <w:r w:rsidR="00E83F67">
        <w:rPr>
          <w:i/>
          <w:iCs/>
        </w:rPr>
        <w:t>The Journal of Ecclesiastical History</w:t>
      </w:r>
      <w:r w:rsidR="00044FA8">
        <w:t xml:space="preserve"> 40, </w:t>
      </w:r>
      <w:r w:rsidR="00E65059">
        <w:t>1989, 107-109</w:t>
      </w:r>
    </w:p>
  </w:footnote>
  <w:footnote w:id="12">
    <w:p w14:paraId="4AA33512" w14:textId="5A0179BB" w:rsidR="00A276F9" w:rsidRPr="00EB50D4" w:rsidRDefault="00A276F9" w:rsidP="0060763B">
      <w:pPr>
        <w:pStyle w:val="FootnoteText"/>
        <w:ind w:left="720" w:hanging="720"/>
      </w:pPr>
      <w:r>
        <w:rPr>
          <w:rStyle w:val="FootnoteReference"/>
        </w:rPr>
        <w:footnoteRef/>
      </w:r>
      <w:r>
        <w:t xml:space="preserve"> Jane Cartwright</w:t>
      </w:r>
      <w:r w:rsidR="00602CE5">
        <w:t xml:space="preserve">, </w:t>
      </w:r>
      <w:r w:rsidR="00602CE5" w:rsidRPr="00602CE5">
        <w:rPr>
          <w:i/>
          <w:iCs/>
        </w:rPr>
        <w:t>Femin</w:t>
      </w:r>
      <w:r w:rsidR="00937552">
        <w:rPr>
          <w:i/>
          <w:iCs/>
        </w:rPr>
        <w:t>ine Sanctity And Spirituality</w:t>
      </w:r>
      <w:r w:rsidR="00E9543D">
        <w:rPr>
          <w:i/>
          <w:iCs/>
        </w:rPr>
        <w:t xml:space="preserve"> In Medieval Wales</w:t>
      </w:r>
      <w:r w:rsidR="00EB50D4">
        <w:rPr>
          <w:i/>
          <w:iCs/>
        </w:rPr>
        <w:t xml:space="preserve"> </w:t>
      </w:r>
      <w:r w:rsidR="00EB50D4">
        <w:t>(Cardiff</w:t>
      </w:r>
      <w:r w:rsidR="00AC7582">
        <w:t>: University of Wales Press</w:t>
      </w:r>
      <w:r w:rsidR="00953691">
        <w:t>,</w:t>
      </w:r>
      <w:r w:rsidR="0002543D">
        <w:t xml:space="preserve"> </w:t>
      </w:r>
      <w:r w:rsidR="00953691">
        <w:t>2008</w:t>
      </w:r>
      <w:r w:rsidR="00D27C54">
        <w:t>), 3</w:t>
      </w:r>
    </w:p>
  </w:footnote>
  <w:footnote w:id="13">
    <w:p w14:paraId="1466D3DC" w14:textId="45E12E9E" w:rsidR="00132CDE" w:rsidRPr="002469AF" w:rsidRDefault="00132CDE">
      <w:pPr>
        <w:pStyle w:val="FootnoteText"/>
      </w:pPr>
      <w:r>
        <w:rPr>
          <w:rStyle w:val="FootnoteReference"/>
        </w:rPr>
        <w:footnoteRef/>
      </w:r>
      <w:r>
        <w:t xml:space="preserve"> </w:t>
      </w:r>
      <w:r w:rsidR="00753D47">
        <w:t xml:space="preserve">Cartwright, </w:t>
      </w:r>
      <w:r w:rsidR="00753D47" w:rsidRPr="00753D47">
        <w:rPr>
          <w:i/>
          <w:iCs/>
        </w:rPr>
        <w:t>Feminine</w:t>
      </w:r>
      <w:r w:rsidR="002C73CB">
        <w:rPr>
          <w:i/>
          <w:iCs/>
        </w:rPr>
        <w:t xml:space="preserve"> Sancitity</w:t>
      </w:r>
      <w:r w:rsidR="002469AF">
        <w:rPr>
          <w:i/>
          <w:iCs/>
        </w:rPr>
        <w:t xml:space="preserve">, </w:t>
      </w:r>
      <w:r w:rsidR="002469AF">
        <w:t>69.</w:t>
      </w:r>
    </w:p>
  </w:footnote>
  <w:footnote w:id="14">
    <w:p w14:paraId="411D373C" w14:textId="769B9107" w:rsidR="002469AF" w:rsidRPr="0015022A" w:rsidRDefault="002469AF">
      <w:pPr>
        <w:pStyle w:val="FootnoteText"/>
      </w:pPr>
      <w:r>
        <w:rPr>
          <w:rStyle w:val="FootnoteReference"/>
        </w:rPr>
        <w:footnoteRef/>
      </w:r>
      <w:r>
        <w:t xml:space="preserve"> </w:t>
      </w:r>
      <w:r w:rsidR="0015022A">
        <w:t xml:space="preserve">Prior Robert, </w:t>
      </w:r>
      <w:r w:rsidR="0015022A">
        <w:rPr>
          <w:i/>
          <w:iCs/>
        </w:rPr>
        <w:t xml:space="preserve">Two Mediaval Lives Of St Winefride, </w:t>
      </w:r>
      <w:r w:rsidR="0015022A">
        <w:t>30.</w:t>
      </w:r>
    </w:p>
  </w:footnote>
  <w:footnote w:id="15">
    <w:p w14:paraId="6B2D3207" w14:textId="5C9F048E" w:rsidR="002349A8" w:rsidRDefault="002349A8">
      <w:pPr>
        <w:pStyle w:val="FootnoteText"/>
      </w:pPr>
      <w:r>
        <w:rPr>
          <w:rStyle w:val="FootnoteReference"/>
        </w:rPr>
        <w:footnoteRef/>
      </w:r>
      <w:r>
        <w:t xml:space="preserve"> </w:t>
      </w:r>
      <w:r w:rsidR="00C02595">
        <w:t xml:space="preserve">Prior Robert, </w:t>
      </w:r>
      <w:r w:rsidR="00C02595">
        <w:rPr>
          <w:i/>
          <w:iCs/>
        </w:rPr>
        <w:t>Two Mediaval Lives Of St Winefride, 35</w:t>
      </w:r>
    </w:p>
  </w:footnote>
  <w:footnote w:id="16">
    <w:p w14:paraId="3F38363B" w14:textId="1839FA45" w:rsidR="002F2023" w:rsidRPr="00C050D9" w:rsidRDefault="002F2023">
      <w:pPr>
        <w:pStyle w:val="FootnoteText"/>
      </w:pPr>
      <w:r>
        <w:rPr>
          <w:rStyle w:val="FootnoteReference"/>
        </w:rPr>
        <w:footnoteRef/>
      </w:r>
      <w:r>
        <w:t xml:space="preserve"> </w:t>
      </w:r>
      <w:r w:rsidR="009650F1">
        <w:t xml:space="preserve"> Cartwright, </w:t>
      </w:r>
      <w:r w:rsidR="009650F1" w:rsidRPr="00753D47">
        <w:rPr>
          <w:i/>
          <w:iCs/>
        </w:rPr>
        <w:t>Feminine</w:t>
      </w:r>
      <w:r w:rsidR="009650F1">
        <w:rPr>
          <w:i/>
          <w:iCs/>
        </w:rPr>
        <w:t xml:space="preserve"> Sancitity,</w:t>
      </w:r>
      <w:r w:rsidR="00C050D9">
        <w:rPr>
          <w:i/>
          <w:iCs/>
        </w:rPr>
        <w:t xml:space="preserve"> </w:t>
      </w:r>
      <w:r w:rsidR="00C050D9">
        <w:t>95-96.</w:t>
      </w:r>
    </w:p>
  </w:footnote>
  <w:footnote w:id="17">
    <w:p w14:paraId="371F11A7" w14:textId="713154A3" w:rsidR="00C050D9" w:rsidRPr="00F43AC1" w:rsidRDefault="00C050D9">
      <w:pPr>
        <w:pStyle w:val="FootnoteText"/>
      </w:pPr>
      <w:r>
        <w:rPr>
          <w:rStyle w:val="FootnoteReference"/>
        </w:rPr>
        <w:footnoteRef/>
      </w:r>
      <w:r>
        <w:t xml:space="preserve"> </w:t>
      </w:r>
      <w:r w:rsidR="003A5520">
        <w:t>Marina Warne</w:t>
      </w:r>
      <w:r w:rsidR="00244B47">
        <w:t xml:space="preserve">r, </w:t>
      </w:r>
      <w:r w:rsidR="00244B47">
        <w:rPr>
          <w:i/>
          <w:iCs/>
        </w:rPr>
        <w:t xml:space="preserve">The Myth Of The Cult Of The Virgin </w:t>
      </w:r>
      <w:r w:rsidR="00F43AC1">
        <w:rPr>
          <w:i/>
          <w:iCs/>
        </w:rPr>
        <w:t xml:space="preserve">Mary </w:t>
      </w:r>
      <w:r w:rsidR="004E6FF3">
        <w:t>(</w:t>
      </w:r>
      <w:r w:rsidR="00034008">
        <w:t>London</w:t>
      </w:r>
      <w:r w:rsidR="0009722F">
        <w:t>: Weidenfeld and Nicolson</w:t>
      </w:r>
      <w:r w:rsidR="007F4943">
        <w:t>, 1976), 67</w:t>
      </w:r>
      <w:r w:rsidR="00F80C3B">
        <w:t>.</w:t>
      </w:r>
    </w:p>
  </w:footnote>
  <w:footnote w:id="18">
    <w:p w14:paraId="180A979A" w14:textId="07A7B04C" w:rsidR="008331AA" w:rsidRPr="00F84630" w:rsidRDefault="008331AA">
      <w:pPr>
        <w:pStyle w:val="FootnoteText"/>
      </w:pPr>
      <w:r>
        <w:rPr>
          <w:rStyle w:val="FootnoteReference"/>
        </w:rPr>
        <w:footnoteRef/>
      </w:r>
      <w:r>
        <w:t xml:space="preserve"> </w:t>
      </w:r>
      <w:r w:rsidR="0094284A">
        <w:t xml:space="preserve">Jane Cartwright, </w:t>
      </w:r>
      <w:r w:rsidR="00DB4D72">
        <w:rPr>
          <w:i/>
          <w:iCs/>
        </w:rPr>
        <w:t>St</w:t>
      </w:r>
      <w:r w:rsidR="00541E05">
        <w:rPr>
          <w:i/>
          <w:iCs/>
        </w:rPr>
        <w:t xml:space="preserve"> </w:t>
      </w:r>
      <w:r w:rsidR="00DB4D72">
        <w:rPr>
          <w:i/>
          <w:iCs/>
        </w:rPr>
        <w:t>David Of Wales</w:t>
      </w:r>
      <w:r w:rsidR="003C3DD5">
        <w:rPr>
          <w:i/>
          <w:iCs/>
        </w:rPr>
        <w:t xml:space="preserve"> Cult</w:t>
      </w:r>
      <w:r w:rsidR="00541E05">
        <w:rPr>
          <w:i/>
          <w:iCs/>
        </w:rPr>
        <w:t xml:space="preserve">, </w:t>
      </w:r>
      <w:r w:rsidR="003C3DD5">
        <w:rPr>
          <w:i/>
          <w:iCs/>
        </w:rPr>
        <w:t>Church</w:t>
      </w:r>
      <w:r w:rsidR="00541E05">
        <w:rPr>
          <w:i/>
          <w:iCs/>
        </w:rPr>
        <w:t xml:space="preserve"> And Nation</w:t>
      </w:r>
      <w:r w:rsidR="00F84630">
        <w:rPr>
          <w:i/>
          <w:iCs/>
        </w:rPr>
        <w:t xml:space="preserve"> </w:t>
      </w:r>
      <w:r w:rsidR="00F84630">
        <w:t>(</w:t>
      </w:r>
      <w:r w:rsidR="003B249E">
        <w:t>W</w:t>
      </w:r>
      <w:r w:rsidR="000E10EB">
        <w:t>ood</w:t>
      </w:r>
      <w:r w:rsidR="00370ABF">
        <w:t>bridge: Th</w:t>
      </w:r>
      <w:r w:rsidR="00AA0B09">
        <w:t>e B</w:t>
      </w:r>
      <w:r w:rsidR="00370ABF">
        <w:t>oydell</w:t>
      </w:r>
      <w:r w:rsidR="00AA0B09">
        <w:t xml:space="preserve"> Press, 2007</w:t>
      </w:r>
      <w:r w:rsidR="007D74AF">
        <w:t>), 18</w:t>
      </w:r>
      <w:r w:rsidR="00AF7679">
        <w:t>3.</w:t>
      </w:r>
    </w:p>
  </w:footnote>
  <w:footnote w:id="19">
    <w:p w14:paraId="2474ED02" w14:textId="5AA9E3EA" w:rsidR="009E3999" w:rsidRPr="00460BC4" w:rsidRDefault="009E3999">
      <w:pPr>
        <w:pStyle w:val="FootnoteText"/>
      </w:pPr>
      <w:r>
        <w:rPr>
          <w:rStyle w:val="FootnoteReference"/>
        </w:rPr>
        <w:footnoteRef/>
      </w:r>
      <w:r>
        <w:t xml:space="preserve"> </w:t>
      </w:r>
      <w:r w:rsidR="00105678">
        <w:t xml:space="preserve">Cartwright, </w:t>
      </w:r>
      <w:r w:rsidR="006F2953">
        <w:rPr>
          <w:i/>
          <w:iCs/>
        </w:rPr>
        <w:t>St David of Wales,</w:t>
      </w:r>
      <w:r w:rsidR="00460BC4">
        <w:rPr>
          <w:i/>
          <w:iCs/>
        </w:rPr>
        <w:t xml:space="preserve"> </w:t>
      </w:r>
      <w:r w:rsidR="00460BC4">
        <w:t>182.</w:t>
      </w:r>
    </w:p>
  </w:footnote>
  <w:footnote w:id="20">
    <w:p w14:paraId="54DFD6CD" w14:textId="23EC0931" w:rsidR="00BB41EE" w:rsidRDefault="00BB41EE">
      <w:pPr>
        <w:pStyle w:val="FootnoteText"/>
      </w:pPr>
      <w:r>
        <w:rPr>
          <w:rStyle w:val="FootnoteReference"/>
        </w:rPr>
        <w:footnoteRef/>
      </w:r>
      <w:r>
        <w:t xml:space="preserve"> Cartwright, </w:t>
      </w:r>
      <w:r w:rsidRPr="00753D47">
        <w:rPr>
          <w:i/>
          <w:iCs/>
        </w:rPr>
        <w:t>Feminine</w:t>
      </w:r>
      <w:r>
        <w:rPr>
          <w:i/>
          <w:iCs/>
        </w:rPr>
        <w:t xml:space="preserve"> Sancitity</w:t>
      </w:r>
      <w:r w:rsidR="00475A24">
        <w:rPr>
          <w:i/>
          <w:iCs/>
        </w:rPr>
        <w:t>, 78.</w:t>
      </w:r>
    </w:p>
  </w:footnote>
  <w:footnote w:id="21">
    <w:p w14:paraId="70E29251" w14:textId="1C5F3505" w:rsidR="0085232B" w:rsidRPr="000C5940" w:rsidRDefault="0085232B">
      <w:pPr>
        <w:pStyle w:val="FootnoteText"/>
      </w:pPr>
      <w:r>
        <w:rPr>
          <w:rStyle w:val="FootnoteReference"/>
        </w:rPr>
        <w:footnoteRef/>
      </w:r>
      <w:r>
        <w:t xml:space="preserve"> Elissa R</w:t>
      </w:r>
      <w:r w:rsidR="006102A6">
        <w:t xml:space="preserve">. Henken, </w:t>
      </w:r>
      <w:r w:rsidR="006102A6">
        <w:rPr>
          <w:i/>
          <w:iCs/>
        </w:rPr>
        <w:t>Traditions Of The Welsh Saints</w:t>
      </w:r>
      <w:r w:rsidR="000C5940">
        <w:rPr>
          <w:i/>
          <w:iCs/>
        </w:rPr>
        <w:t xml:space="preserve"> </w:t>
      </w:r>
      <w:r w:rsidR="000C5940">
        <w:t>(</w:t>
      </w:r>
      <w:r w:rsidR="00260818">
        <w:t>Cambridge: D</w:t>
      </w:r>
      <w:r w:rsidR="00F430AF">
        <w:t>, S. Brewer</w:t>
      </w:r>
      <w:r w:rsidR="00192A0C">
        <w:t>, 1987), 288.</w:t>
      </w:r>
    </w:p>
  </w:footnote>
  <w:footnote w:id="22">
    <w:p w14:paraId="17B25CEC" w14:textId="73E2DF5D" w:rsidR="00630E1E" w:rsidRPr="00317FE4" w:rsidRDefault="00630E1E">
      <w:pPr>
        <w:pStyle w:val="FootnoteText"/>
        <w:rPr>
          <w:i/>
          <w:iCs/>
        </w:rPr>
      </w:pPr>
      <w:r>
        <w:rPr>
          <w:rStyle w:val="FootnoteReference"/>
        </w:rPr>
        <w:footnoteRef/>
      </w:r>
      <w:r>
        <w:t xml:space="preserve"> </w:t>
      </w:r>
      <w:r w:rsidR="00317FE4">
        <w:t xml:space="preserve">Elissa R. Henken, </w:t>
      </w:r>
      <w:r w:rsidR="00317FE4">
        <w:rPr>
          <w:i/>
          <w:iCs/>
        </w:rPr>
        <w:t xml:space="preserve">The Welsh </w:t>
      </w:r>
      <w:r w:rsidR="00317FE4" w:rsidRPr="00AB18E3">
        <w:rPr>
          <w:i/>
          <w:iCs/>
        </w:rPr>
        <w:t>Saints</w:t>
      </w:r>
      <w:r w:rsidR="00AB18E3">
        <w:rPr>
          <w:i/>
          <w:iCs/>
        </w:rPr>
        <w:t>,</w:t>
      </w:r>
      <w:r w:rsidR="00F05519" w:rsidRPr="00AB18E3">
        <w:rPr>
          <w:i/>
          <w:iCs/>
        </w:rPr>
        <w:t xml:space="preserve"> </w:t>
      </w:r>
      <w:r w:rsidR="00AB18E3" w:rsidRPr="00AB18E3">
        <w:rPr>
          <w:i/>
          <w:iCs/>
        </w:rPr>
        <w:t xml:space="preserve">A Study In Patterned </w:t>
      </w:r>
      <w:r w:rsidR="00556021" w:rsidRPr="00AB18E3">
        <w:rPr>
          <w:i/>
          <w:iCs/>
        </w:rPr>
        <w:t>Lives</w:t>
      </w:r>
      <w:r w:rsidR="00556021">
        <w:t xml:space="preserve"> (</w:t>
      </w:r>
      <w:r w:rsidR="00D729C1">
        <w:t>Cambridge: D.S.Brewer</w:t>
      </w:r>
      <w:r w:rsidR="00891B2B">
        <w:t>, 1991), 42.</w:t>
      </w:r>
      <w:r w:rsidR="00AB18E3">
        <w:t xml:space="preserve"> </w:t>
      </w:r>
    </w:p>
  </w:footnote>
  <w:footnote w:id="23">
    <w:p w14:paraId="64F2055B" w14:textId="23EAB6FC" w:rsidR="00BD6DB5" w:rsidRDefault="00BD6DB5">
      <w:pPr>
        <w:pStyle w:val="FootnoteText"/>
      </w:pPr>
      <w:r>
        <w:rPr>
          <w:rStyle w:val="FootnoteReference"/>
        </w:rPr>
        <w:footnoteRef/>
      </w:r>
      <w:r>
        <w:t xml:space="preserve"> Prior Robert, </w:t>
      </w:r>
      <w:r>
        <w:rPr>
          <w:i/>
          <w:iCs/>
        </w:rPr>
        <w:t>Two Mediaval Lives Of St Winefride, 35</w:t>
      </w:r>
      <w:r w:rsidR="008E5C5F">
        <w:rPr>
          <w:i/>
          <w:iCs/>
        </w:rPr>
        <w:t xml:space="preserve"> - </w:t>
      </w:r>
      <w:r w:rsidR="008E5C5F" w:rsidRPr="00970DAA">
        <w:t>38</w:t>
      </w:r>
      <w:r w:rsidR="008E5C5F">
        <w:rPr>
          <w:i/>
          <w:iCs/>
        </w:rPr>
        <w:t>.</w:t>
      </w:r>
    </w:p>
  </w:footnote>
  <w:footnote w:id="24">
    <w:p w14:paraId="4963CBD9" w14:textId="7888B34A" w:rsidR="00B13B99" w:rsidRPr="00970DAA" w:rsidRDefault="00B13B99">
      <w:pPr>
        <w:pStyle w:val="FootnoteText"/>
      </w:pPr>
      <w:r>
        <w:rPr>
          <w:rStyle w:val="FootnoteReference"/>
        </w:rPr>
        <w:footnoteRef/>
      </w:r>
      <w:r w:rsidR="00EA3CC7">
        <w:t xml:space="preserve"> </w:t>
      </w:r>
      <w:r w:rsidR="00E402D4">
        <w:t>P</w:t>
      </w:r>
      <w:r w:rsidR="003331CF">
        <w:t xml:space="preserve">rior Robert, </w:t>
      </w:r>
      <w:r w:rsidR="003331CF">
        <w:rPr>
          <w:i/>
          <w:iCs/>
        </w:rPr>
        <w:t xml:space="preserve">Two Mediaval Lives Of St </w:t>
      </w:r>
      <w:r w:rsidR="0033126F">
        <w:rPr>
          <w:i/>
          <w:iCs/>
        </w:rPr>
        <w:t>Winefride 100</w:t>
      </w:r>
      <w:r w:rsidR="00970DAA">
        <w:t>.</w:t>
      </w:r>
    </w:p>
  </w:footnote>
  <w:footnote w:id="25">
    <w:p w14:paraId="2F0410F6" w14:textId="2B1A6CC3" w:rsidR="004A533C" w:rsidRPr="00556021" w:rsidRDefault="004A533C">
      <w:pPr>
        <w:pStyle w:val="FootnoteText"/>
      </w:pPr>
      <w:r>
        <w:rPr>
          <w:rStyle w:val="FootnoteReference"/>
        </w:rPr>
        <w:footnoteRef/>
      </w:r>
      <w:r w:rsidR="00242A43">
        <w:t xml:space="preserve">  Patrick T</w:t>
      </w:r>
      <w:r w:rsidR="00DE5833">
        <w:t xml:space="preserve">homas, </w:t>
      </w:r>
      <w:r w:rsidR="00FE5D73">
        <w:rPr>
          <w:i/>
          <w:iCs/>
        </w:rPr>
        <w:t>A Candle In The Darkness</w:t>
      </w:r>
      <w:r w:rsidR="00556021">
        <w:rPr>
          <w:i/>
          <w:iCs/>
        </w:rPr>
        <w:t xml:space="preserve"> </w:t>
      </w:r>
      <w:r w:rsidR="00CF3D4A">
        <w:t>(Llandysul: Gomer Press</w:t>
      </w:r>
      <w:r w:rsidR="00B647E3">
        <w:t>, 1993), 41.</w:t>
      </w:r>
    </w:p>
  </w:footnote>
  <w:footnote w:id="26">
    <w:p w14:paraId="6F9CF088" w14:textId="5791E5FB" w:rsidR="00C4447E" w:rsidRPr="000C67AE" w:rsidRDefault="00C4447E" w:rsidP="0060763B">
      <w:pPr>
        <w:pStyle w:val="FootnoteText"/>
        <w:ind w:left="720" w:hanging="720"/>
      </w:pPr>
      <w:r>
        <w:rPr>
          <w:rStyle w:val="FootnoteReference"/>
        </w:rPr>
        <w:footnoteRef/>
      </w:r>
      <w:r>
        <w:t xml:space="preserve">  Kath</w:t>
      </w:r>
      <w:r w:rsidR="00080C81">
        <w:t xml:space="preserve">leen </w:t>
      </w:r>
      <w:r w:rsidR="00AB664B">
        <w:t xml:space="preserve">M. </w:t>
      </w:r>
      <w:r w:rsidR="0033126F">
        <w:t>Evans, A</w:t>
      </w:r>
      <w:r w:rsidR="00AB664B">
        <w:rPr>
          <w:i/>
          <w:iCs/>
        </w:rPr>
        <w:t xml:space="preserve"> Book Of Welsh Saints</w:t>
      </w:r>
      <w:r w:rsidR="000C67AE">
        <w:rPr>
          <w:i/>
          <w:iCs/>
        </w:rPr>
        <w:t xml:space="preserve"> </w:t>
      </w:r>
      <w:r w:rsidR="000C67AE">
        <w:t>(</w:t>
      </w:r>
      <w:r w:rsidR="003A33FB">
        <w:t>Penarth:</w:t>
      </w:r>
      <w:r w:rsidR="00BA5D50">
        <w:t xml:space="preserve"> </w:t>
      </w:r>
      <w:r w:rsidR="001A736F">
        <w:t xml:space="preserve">The Church in </w:t>
      </w:r>
      <w:r w:rsidR="00376B91">
        <w:t>Wales Provincial</w:t>
      </w:r>
      <w:r w:rsidR="00C91C5B">
        <w:t xml:space="preserve"> Council for Educatio</w:t>
      </w:r>
      <w:r w:rsidR="00376B91">
        <w:t>n</w:t>
      </w:r>
      <w:r w:rsidR="001A736F">
        <w:t xml:space="preserve">, </w:t>
      </w:r>
      <w:r w:rsidR="0010743D">
        <w:t xml:space="preserve">1959), </w:t>
      </w:r>
      <w:r w:rsidR="001A736F">
        <w:t>71</w:t>
      </w:r>
      <w:r w:rsidR="00376B91">
        <w:t>.</w:t>
      </w:r>
    </w:p>
  </w:footnote>
  <w:footnote w:id="27">
    <w:p w14:paraId="1E7FE9FD" w14:textId="6431B05B" w:rsidR="009B72B9" w:rsidRPr="000D7617" w:rsidRDefault="009B72B9">
      <w:pPr>
        <w:pStyle w:val="FootnoteText"/>
      </w:pPr>
      <w:r>
        <w:rPr>
          <w:rStyle w:val="FootnoteReference"/>
        </w:rPr>
        <w:footnoteRef/>
      </w:r>
      <w:r>
        <w:t xml:space="preserve">  </w:t>
      </w:r>
      <w:r w:rsidR="00C41BA7">
        <w:t xml:space="preserve">Henken, </w:t>
      </w:r>
      <w:r w:rsidR="00DA038C">
        <w:rPr>
          <w:i/>
          <w:iCs/>
        </w:rPr>
        <w:t xml:space="preserve">The Welsh </w:t>
      </w:r>
      <w:r w:rsidR="004F4793">
        <w:rPr>
          <w:i/>
          <w:iCs/>
        </w:rPr>
        <w:t>Saints, 7</w:t>
      </w:r>
      <w:r w:rsidR="008560E0">
        <w:t>.</w:t>
      </w:r>
    </w:p>
  </w:footnote>
  <w:footnote w:id="28">
    <w:p w14:paraId="13DC6689" w14:textId="6AB903F8" w:rsidR="00007CC7" w:rsidRPr="002A4A4F" w:rsidRDefault="00007CC7">
      <w:pPr>
        <w:pStyle w:val="FootnoteText"/>
      </w:pPr>
      <w:r>
        <w:rPr>
          <w:rStyle w:val="FootnoteReference"/>
        </w:rPr>
        <w:footnoteRef/>
      </w:r>
      <w:r>
        <w:t xml:space="preserve"> </w:t>
      </w:r>
      <w:r w:rsidR="00EB7D94">
        <w:t>Oliver Davi</w:t>
      </w:r>
      <w:r w:rsidR="00AB474A">
        <w:t xml:space="preserve">es, </w:t>
      </w:r>
      <w:r w:rsidR="00AB474A">
        <w:rPr>
          <w:i/>
          <w:iCs/>
        </w:rPr>
        <w:t>Celtic Christianity</w:t>
      </w:r>
      <w:r w:rsidR="002A4A4F">
        <w:rPr>
          <w:i/>
          <w:iCs/>
        </w:rPr>
        <w:t xml:space="preserve"> </w:t>
      </w:r>
      <w:r w:rsidR="002A4A4F">
        <w:t>(</w:t>
      </w:r>
      <w:r w:rsidR="004D31BB">
        <w:t>Cardiff</w:t>
      </w:r>
      <w:r w:rsidR="00CC74A8">
        <w:t>: University of Wales Press</w:t>
      </w:r>
      <w:r w:rsidR="00D901B3">
        <w:t xml:space="preserve">, 1996), </w:t>
      </w:r>
      <w:r w:rsidR="00C61023">
        <w:t>18,</w:t>
      </w:r>
    </w:p>
  </w:footnote>
  <w:footnote w:id="29">
    <w:p w14:paraId="2FC04171" w14:textId="13CC63A5" w:rsidR="00CE5F4F" w:rsidRPr="00D87EE0" w:rsidRDefault="00CE5F4F" w:rsidP="0060763B">
      <w:pPr>
        <w:pStyle w:val="FootnoteText"/>
        <w:ind w:left="720" w:hanging="720"/>
      </w:pPr>
      <w:r>
        <w:rPr>
          <w:rStyle w:val="FootnoteReference"/>
        </w:rPr>
        <w:footnoteRef/>
      </w:r>
      <w:r>
        <w:t xml:space="preserve"> Dorothy Ann Bray</w:t>
      </w:r>
      <w:r w:rsidR="009A53A3">
        <w:t xml:space="preserve">, </w:t>
      </w:r>
      <w:r w:rsidR="00D1792A">
        <w:rPr>
          <w:i/>
          <w:iCs/>
        </w:rPr>
        <w:t xml:space="preserve">A </w:t>
      </w:r>
      <w:r w:rsidR="00DF44C0">
        <w:rPr>
          <w:i/>
          <w:iCs/>
        </w:rPr>
        <w:t>List Of Motifs In The Lives O</w:t>
      </w:r>
      <w:r w:rsidR="00D87EE0">
        <w:rPr>
          <w:i/>
          <w:iCs/>
        </w:rPr>
        <w:t>f</w:t>
      </w:r>
      <w:r w:rsidR="00DF44C0">
        <w:rPr>
          <w:i/>
          <w:iCs/>
        </w:rPr>
        <w:t xml:space="preserve"> The </w:t>
      </w:r>
      <w:r w:rsidR="00D87EE0">
        <w:rPr>
          <w:i/>
          <w:iCs/>
        </w:rPr>
        <w:t xml:space="preserve">Early Irish Saints </w:t>
      </w:r>
      <w:r w:rsidR="007B7CEC">
        <w:t xml:space="preserve">(Helsinki: </w:t>
      </w:r>
      <w:r w:rsidR="00091045">
        <w:t>Suomalainen Tiedea</w:t>
      </w:r>
      <w:r w:rsidR="00F84714">
        <w:t>katemia Academia Sci</w:t>
      </w:r>
      <w:r w:rsidR="0006302A">
        <w:t>entiarum Fennica</w:t>
      </w:r>
      <w:r w:rsidR="00D728B0">
        <w:t>, 1992)</w:t>
      </w:r>
      <w:r w:rsidR="00565F8A">
        <w:t>, 17.</w:t>
      </w:r>
    </w:p>
  </w:footnote>
  <w:footnote w:id="30">
    <w:p w14:paraId="3573F9F1" w14:textId="6D0FD6AB" w:rsidR="00917620" w:rsidRDefault="00917620">
      <w:pPr>
        <w:pStyle w:val="FootnoteText"/>
      </w:pPr>
      <w:r>
        <w:rPr>
          <w:rStyle w:val="FootnoteReference"/>
        </w:rPr>
        <w:footnoteRef/>
      </w:r>
      <w:r>
        <w:t xml:space="preserve"> </w:t>
      </w:r>
      <w:r w:rsidR="007407CA">
        <w:t xml:space="preserve">Prior Robert, </w:t>
      </w:r>
      <w:r w:rsidR="007407CA">
        <w:rPr>
          <w:i/>
          <w:iCs/>
        </w:rPr>
        <w:t>Two Mediaval Lives Of St Winefride, 39.</w:t>
      </w:r>
    </w:p>
  </w:footnote>
  <w:footnote w:id="31">
    <w:p w14:paraId="42D1CBAF" w14:textId="5BC7E572" w:rsidR="00411ECA" w:rsidRPr="0005023A" w:rsidRDefault="00411ECA" w:rsidP="0005023A">
      <w:pPr>
        <w:pStyle w:val="xp4"/>
        <w:shd w:val="clear" w:color="auto" w:fill="FFFFFF"/>
        <w:spacing w:before="0" w:beforeAutospacing="0" w:after="0" w:afterAutospacing="0"/>
        <w:ind w:left="720" w:hanging="720"/>
        <w:rPr>
          <w:rFonts w:ascii="UICTFontTextStyleItalicBody" w:hAnsi="UICTFontTextStyleItalicBody" w:cs="Segoe UI"/>
          <w:i/>
          <w:iCs/>
          <w:color w:val="242424"/>
          <w:sz w:val="23"/>
          <w:szCs w:val="23"/>
          <w:bdr w:val="none" w:sz="0" w:space="0" w:color="auto" w:frame="1"/>
        </w:rPr>
      </w:pPr>
      <w:r>
        <w:rPr>
          <w:rStyle w:val="FootnoteReference"/>
        </w:rPr>
        <w:footnoteRef/>
      </w:r>
      <w:r>
        <w:t xml:space="preserve"> </w:t>
      </w:r>
      <w:r w:rsidR="0065427F">
        <w:rPr>
          <w:rStyle w:val="xs3"/>
          <w:rFonts w:ascii="UICTFontTextStyleBody" w:hAnsi="UICTFontTextStyleBody" w:cs="Segoe UI"/>
          <w:color w:val="242424"/>
          <w:sz w:val="23"/>
          <w:szCs w:val="23"/>
          <w:bdr w:val="none" w:sz="0" w:space="0" w:color="auto" w:frame="1"/>
        </w:rPr>
        <w:t>Great British Gardens, </w:t>
      </w:r>
      <w:r w:rsidR="0065427F">
        <w:rPr>
          <w:rStyle w:val="xs4"/>
          <w:rFonts w:ascii="UICTFontTextStyleItalicBody" w:hAnsi="UICTFontTextStyleItalicBody" w:cs="Segoe UI"/>
          <w:i/>
          <w:iCs/>
          <w:color w:val="242424"/>
          <w:sz w:val="23"/>
          <w:szCs w:val="23"/>
          <w:bdr w:val="none" w:sz="0" w:space="0" w:color="auto" w:frame="1"/>
        </w:rPr>
        <w:t>Saith Ffynnon Farm,</w:t>
      </w:r>
      <w:r w:rsidR="003E001A">
        <w:rPr>
          <w:rStyle w:val="xs4"/>
          <w:rFonts w:ascii="UICTFontTextStyleItalicBody" w:hAnsi="UICTFontTextStyleItalicBody" w:cs="Segoe UI"/>
          <w:i/>
          <w:iCs/>
          <w:color w:val="242424"/>
          <w:sz w:val="23"/>
          <w:szCs w:val="23"/>
          <w:bdr w:val="none" w:sz="0" w:space="0" w:color="auto" w:frame="1"/>
        </w:rPr>
        <w:t xml:space="preserve"> H</w:t>
      </w:r>
      <w:r w:rsidR="0065427F">
        <w:rPr>
          <w:rStyle w:val="xs4"/>
          <w:rFonts w:ascii="UICTFontTextStyleItalicBody" w:hAnsi="UICTFontTextStyleItalicBody" w:cs="Segoe UI"/>
          <w:i/>
          <w:iCs/>
          <w:color w:val="242424"/>
          <w:sz w:val="23"/>
          <w:szCs w:val="23"/>
          <w:bdr w:val="none" w:sz="0" w:space="0" w:color="auto" w:frame="1"/>
        </w:rPr>
        <w:t xml:space="preserve">olywell </w:t>
      </w:r>
      <w:r w:rsidR="005C27F2">
        <w:rPr>
          <w:rStyle w:val="xs4"/>
          <w:rFonts w:ascii="UICTFontTextStyleItalicBody" w:hAnsi="UICTFontTextStyleItalicBody" w:cs="Segoe UI"/>
          <w:i/>
          <w:iCs/>
          <w:color w:val="242424"/>
          <w:sz w:val="23"/>
          <w:szCs w:val="23"/>
          <w:bdr w:val="none" w:sz="0" w:space="0" w:color="auto" w:frame="1"/>
        </w:rPr>
        <w:t>(</w:t>
      </w:r>
      <w:r w:rsidR="0065427F">
        <w:rPr>
          <w:rStyle w:val="xs4"/>
          <w:rFonts w:ascii="UICTFontTextStyleItalicBody" w:hAnsi="UICTFontTextStyleItalicBody" w:cs="Segoe UI"/>
          <w:i/>
          <w:iCs/>
          <w:color w:val="242424"/>
          <w:sz w:val="23"/>
          <w:szCs w:val="23"/>
          <w:bdr w:val="none" w:sz="0" w:space="0" w:color="auto" w:frame="1"/>
        </w:rPr>
        <w:t>2022</w:t>
      </w:r>
      <w:r w:rsidR="005C27F2">
        <w:rPr>
          <w:rStyle w:val="xs4"/>
          <w:rFonts w:ascii="UICTFontTextStyleItalicBody" w:hAnsi="UICTFontTextStyleItalicBody" w:cs="Segoe UI"/>
          <w:i/>
          <w:iCs/>
          <w:color w:val="242424"/>
          <w:sz w:val="23"/>
          <w:szCs w:val="23"/>
          <w:bdr w:val="none" w:sz="0" w:space="0" w:color="auto" w:frame="1"/>
        </w:rPr>
        <w:t>)</w:t>
      </w:r>
      <w:hyperlink r:id="rId2" w:history="1">
        <w:r w:rsidR="00D566F6" w:rsidRPr="00B46335">
          <w:rPr>
            <w:rStyle w:val="Hyperlink"/>
            <w:rFonts w:ascii="UICTFontTextStyleBody" w:hAnsi="UICTFontTextStyleBody" w:cs="Segoe UI"/>
            <w:sz w:val="23"/>
            <w:szCs w:val="23"/>
            <w:bdr w:val="none" w:sz="0" w:space="0" w:color="auto" w:frame="1"/>
          </w:rPr>
          <w:t>&lt;https://www.greatbritishgardens.co.uk/flintshire/item/saith-ffynnon-farm.html&gt;</w:t>
        </w:r>
      </w:hyperlink>
      <w:r w:rsidR="0065427F">
        <w:rPr>
          <w:rStyle w:val="xs3"/>
          <w:rFonts w:ascii="UICTFontTextStyleBody" w:hAnsi="UICTFontTextStyleBody" w:cs="Segoe UI"/>
          <w:color w:val="242424"/>
          <w:sz w:val="23"/>
          <w:szCs w:val="23"/>
          <w:bdr w:val="none" w:sz="0" w:space="0" w:color="auto" w:frame="1"/>
        </w:rPr>
        <w:t> [accessed 25 April 2024]</w:t>
      </w:r>
      <w:r w:rsidR="008A503D">
        <w:t xml:space="preserve"> </w:t>
      </w:r>
    </w:p>
  </w:footnote>
  <w:footnote w:id="32">
    <w:p w14:paraId="11C70523" w14:textId="280EC8A4" w:rsidR="00B32C47" w:rsidRDefault="00B32C47" w:rsidP="00470552">
      <w:pPr>
        <w:pStyle w:val="FootnoteText"/>
        <w:ind w:left="720" w:hanging="720"/>
      </w:pPr>
      <w:r>
        <w:rPr>
          <w:rStyle w:val="FootnoteReference"/>
        </w:rPr>
        <w:footnoteRef/>
      </w:r>
      <w:r w:rsidR="00165F96">
        <w:t xml:space="preserve"> </w:t>
      </w:r>
      <w:r w:rsidR="0017786F">
        <w:t>Wellhopper</w:t>
      </w:r>
      <w:r w:rsidR="00B65E0C">
        <w:t>,</w:t>
      </w:r>
      <w:r w:rsidR="00503F6C">
        <w:t xml:space="preserve"> </w:t>
      </w:r>
      <w:r w:rsidR="00496242" w:rsidRPr="00E55C69">
        <w:rPr>
          <w:i/>
          <w:iCs/>
        </w:rPr>
        <w:t>Exploring the ancient holy wells and healing wells of North Wal</w:t>
      </w:r>
      <w:r w:rsidR="00496242">
        <w:t>es</w:t>
      </w:r>
      <w:r w:rsidR="00C74709">
        <w:t xml:space="preserve"> (</w:t>
      </w:r>
      <w:r w:rsidR="00A463B0">
        <w:t>2023</w:t>
      </w:r>
      <w:r w:rsidR="00C74709">
        <w:t xml:space="preserve">) </w:t>
      </w:r>
      <w:r w:rsidR="00C82ED3">
        <w:t>&lt;</w:t>
      </w:r>
      <w:r w:rsidR="00496242">
        <w:t>htpps://wellh</w:t>
      </w:r>
      <w:r w:rsidR="00213236">
        <w:t>opper.wales/</w:t>
      </w:r>
      <w:r w:rsidR="005006AA">
        <w:t>2023/09/</w:t>
      </w:r>
      <w:r w:rsidR="008B703A">
        <w:t>15/st-</w:t>
      </w:r>
      <w:r w:rsidR="0009720F">
        <w:t>davids-well-pantasaph</w:t>
      </w:r>
      <w:r w:rsidR="00570126">
        <w:t>/</w:t>
      </w:r>
      <w:r w:rsidR="00356B72">
        <w:t>&gt;</w:t>
      </w:r>
      <w:r w:rsidR="00570126">
        <w:t xml:space="preserve"> </w:t>
      </w:r>
      <w:r w:rsidR="00BA3D67">
        <w:t>[</w:t>
      </w:r>
      <w:r w:rsidR="007F243E">
        <w:t>access</w:t>
      </w:r>
      <w:r w:rsidR="009836B0">
        <w:t xml:space="preserve">ed 23 </w:t>
      </w:r>
      <w:r w:rsidR="00570126">
        <w:t>April 2024</w:t>
      </w:r>
      <w:r w:rsidR="00BA3D67">
        <w:t>]</w:t>
      </w:r>
    </w:p>
  </w:footnote>
  <w:footnote w:id="33">
    <w:p w14:paraId="0F9F5087" w14:textId="16E7EC6E" w:rsidR="00BC10FF" w:rsidRDefault="00BC10FF" w:rsidP="00470552">
      <w:pPr>
        <w:pStyle w:val="FootnoteText"/>
        <w:ind w:left="720" w:hanging="720"/>
      </w:pPr>
      <w:r>
        <w:rPr>
          <w:rStyle w:val="FootnoteReference"/>
        </w:rPr>
        <w:footnoteRef/>
      </w:r>
      <w:r w:rsidR="000222C9">
        <w:t xml:space="preserve"> </w:t>
      </w:r>
      <w:r w:rsidR="00503F6C">
        <w:t>Wellhopper</w:t>
      </w:r>
      <w:r w:rsidR="00B65E0C">
        <w:t xml:space="preserve">, </w:t>
      </w:r>
      <w:r w:rsidR="00197808" w:rsidRPr="00B65E0C">
        <w:rPr>
          <w:i/>
          <w:iCs/>
        </w:rPr>
        <w:t xml:space="preserve">Exploring </w:t>
      </w:r>
      <w:r w:rsidR="00C85ABF" w:rsidRPr="00B65E0C">
        <w:rPr>
          <w:i/>
          <w:iCs/>
        </w:rPr>
        <w:t xml:space="preserve">the </w:t>
      </w:r>
      <w:r w:rsidR="004D4574" w:rsidRPr="00B65E0C">
        <w:rPr>
          <w:i/>
          <w:iCs/>
        </w:rPr>
        <w:t>ancient holy wells and healing wells of</w:t>
      </w:r>
      <w:r w:rsidR="004D4574">
        <w:t xml:space="preserve"> </w:t>
      </w:r>
      <w:r w:rsidR="00DD5E43" w:rsidRPr="003A54C7">
        <w:rPr>
          <w:i/>
          <w:iCs/>
        </w:rPr>
        <w:t>North Wales</w:t>
      </w:r>
      <w:r w:rsidR="00B65E0C" w:rsidRPr="003A54C7">
        <w:rPr>
          <w:i/>
          <w:iCs/>
        </w:rPr>
        <w:t xml:space="preserve"> </w:t>
      </w:r>
      <w:r w:rsidR="00C74709">
        <w:rPr>
          <w:i/>
          <w:iCs/>
        </w:rPr>
        <w:t>(</w:t>
      </w:r>
      <w:r w:rsidR="00466649">
        <w:rPr>
          <w:i/>
          <w:iCs/>
        </w:rPr>
        <w:t>2012</w:t>
      </w:r>
      <w:r w:rsidR="00C74709">
        <w:rPr>
          <w:i/>
          <w:iCs/>
        </w:rPr>
        <w:t>)</w:t>
      </w:r>
      <w:r w:rsidR="00466649">
        <w:rPr>
          <w:i/>
          <w:iCs/>
        </w:rPr>
        <w:t xml:space="preserve"> </w:t>
      </w:r>
      <w:r w:rsidR="00C82ED3">
        <w:t>&lt;</w:t>
      </w:r>
      <w:r w:rsidR="00581FE8">
        <w:t>h</w:t>
      </w:r>
      <w:r w:rsidR="00560C6C">
        <w:t>tpps</w:t>
      </w:r>
      <w:r w:rsidR="00581FE8">
        <w:t>://</w:t>
      </w:r>
      <w:r w:rsidR="00560C6C">
        <w:t>w</w:t>
      </w:r>
      <w:r w:rsidR="0030343D">
        <w:t>ellhopper</w:t>
      </w:r>
      <w:r w:rsidR="00481202">
        <w:t>.wales</w:t>
      </w:r>
      <w:r w:rsidR="00F820C3">
        <w:t>/2012/06/22</w:t>
      </w:r>
      <w:r w:rsidR="006E4B3E">
        <w:t>/st-win</w:t>
      </w:r>
      <w:r w:rsidR="00CF71AC">
        <w:t>efrides-well-holywell</w:t>
      </w:r>
      <w:r w:rsidR="006C093B">
        <w:t>/</w:t>
      </w:r>
      <w:r w:rsidR="00C82ED3">
        <w:t>&gt;</w:t>
      </w:r>
      <w:r w:rsidR="00482AA5">
        <w:t xml:space="preserve"> </w:t>
      </w:r>
      <w:r w:rsidR="00BA3D67">
        <w:t>[</w:t>
      </w:r>
      <w:r w:rsidR="009836B0">
        <w:t xml:space="preserve">accessed 23 </w:t>
      </w:r>
      <w:r w:rsidR="003562C8">
        <w:t>April 2024</w:t>
      </w:r>
      <w:r w:rsidR="00BA3D67">
        <w:t>]</w:t>
      </w:r>
    </w:p>
  </w:footnote>
  <w:footnote w:id="34">
    <w:p w14:paraId="3EF68DC7" w14:textId="58C3E7DA" w:rsidR="0030343D" w:rsidRDefault="0030343D">
      <w:pPr>
        <w:pStyle w:val="FootnoteText"/>
      </w:pPr>
      <w:r>
        <w:rPr>
          <w:rStyle w:val="FootnoteReference"/>
        </w:rPr>
        <w:footnoteRef/>
      </w:r>
      <w:r>
        <w:t xml:space="preserve"> </w:t>
      </w:r>
      <w:r w:rsidR="009821B5">
        <w:t xml:space="preserve">Nick Mayhew </w:t>
      </w:r>
      <w:r w:rsidR="0011775A">
        <w:t xml:space="preserve">Smith, </w:t>
      </w:r>
      <w:r w:rsidR="00D40E5A">
        <w:rPr>
          <w:i/>
          <w:iCs/>
        </w:rPr>
        <w:t>Britain’s H</w:t>
      </w:r>
      <w:r w:rsidR="008B35F4">
        <w:rPr>
          <w:i/>
          <w:iCs/>
        </w:rPr>
        <w:t>o</w:t>
      </w:r>
      <w:r w:rsidR="00D40E5A">
        <w:rPr>
          <w:i/>
          <w:iCs/>
        </w:rPr>
        <w:t>lies</w:t>
      </w:r>
      <w:r w:rsidR="008B35F4">
        <w:rPr>
          <w:i/>
          <w:iCs/>
        </w:rPr>
        <w:t xml:space="preserve"> Places</w:t>
      </w:r>
      <w:r w:rsidR="00DA6AB7">
        <w:rPr>
          <w:i/>
          <w:iCs/>
        </w:rPr>
        <w:t xml:space="preserve"> </w:t>
      </w:r>
      <w:r w:rsidR="00DA6AB7">
        <w:t>(</w:t>
      </w:r>
      <w:r w:rsidR="0073268D">
        <w:t>Bristol: Lifestyle Press Ltd</w:t>
      </w:r>
      <w:r w:rsidR="000961AC">
        <w:t>, 2011</w:t>
      </w:r>
      <w:r w:rsidR="00991FB1">
        <w:t>)</w:t>
      </w:r>
      <w:r w:rsidR="00920441">
        <w:t>,</w:t>
      </w:r>
      <w:r w:rsidR="00991FB1">
        <w:rPr>
          <w:i/>
          <w:iCs/>
        </w:rPr>
        <w:t xml:space="preserve"> 303.</w:t>
      </w:r>
    </w:p>
  </w:footnote>
  <w:footnote w:id="35">
    <w:p w14:paraId="5A588603" w14:textId="41017B98" w:rsidR="00DD37B6" w:rsidRPr="001C43CE" w:rsidRDefault="00DD37B6">
      <w:pPr>
        <w:pStyle w:val="FootnoteText"/>
      </w:pPr>
      <w:r>
        <w:rPr>
          <w:rStyle w:val="FootnoteReference"/>
        </w:rPr>
        <w:footnoteRef/>
      </w:r>
      <w:r>
        <w:t xml:space="preserve"> </w:t>
      </w:r>
      <w:r w:rsidR="002B081B">
        <w:t xml:space="preserve">Henken, </w:t>
      </w:r>
      <w:r w:rsidR="002B081B">
        <w:rPr>
          <w:i/>
          <w:iCs/>
        </w:rPr>
        <w:t>Traditions Of The Welsh Saints,</w:t>
      </w:r>
      <w:r w:rsidR="001C43CE">
        <w:rPr>
          <w:i/>
          <w:iCs/>
        </w:rPr>
        <w:t xml:space="preserve"> </w:t>
      </w:r>
      <w:r w:rsidR="001C43CE">
        <w:t>39.</w:t>
      </w:r>
    </w:p>
  </w:footnote>
  <w:footnote w:id="36">
    <w:p w14:paraId="7F82B33E" w14:textId="2665AD1B" w:rsidR="00C126E9" w:rsidRPr="00BF0576" w:rsidRDefault="00C126E9">
      <w:pPr>
        <w:pStyle w:val="FootnoteText"/>
      </w:pPr>
      <w:r>
        <w:rPr>
          <w:rStyle w:val="FootnoteReference"/>
        </w:rPr>
        <w:footnoteRef/>
      </w:r>
      <w:r>
        <w:t xml:space="preserve"> </w:t>
      </w:r>
      <w:r w:rsidR="00DE3037">
        <w:t>John A. S</w:t>
      </w:r>
      <w:r w:rsidR="00E15D8A">
        <w:t>haffer</w:t>
      </w:r>
      <w:r w:rsidR="007D479C">
        <w:t>,</w:t>
      </w:r>
      <w:r w:rsidR="007D479C">
        <w:rPr>
          <w:i/>
          <w:iCs/>
        </w:rPr>
        <w:t xml:space="preserve"> </w:t>
      </w:r>
      <w:r w:rsidR="00BF0576">
        <w:rPr>
          <w:i/>
          <w:iCs/>
        </w:rPr>
        <w:t xml:space="preserve">Winifred’s Well </w:t>
      </w:r>
      <w:r w:rsidR="00BF0576">
        <w:t>(</w:t>
      </w:r>
      <w:r w:rsidR="00E44A1D">
        <w:t>Nashville</w:t>
      </w:r>
      <w:r w:rsidR="003F0BBF">
        <w:t>,</w:t>
      </w:r>
      <w:r w:rsidR="00765D62">
        <w:t xml:space="preserve"> Cold</w:t>
      </w:r>
      <w:r w:rsidR="00D91EEE">
        <w:t xml:space="preserve"> Tree Press,</w:t>
      </w:r>
      <w:r w:rsidR="003F0BBF">
        <w:t xml:space="preserve"> 2008), </w:t>
      </w:r>
      <w:r w:rsidR="00765D62">
        <w:t>41-42.</w:t>
      </w:r>
    </w:p>
  </w:footnote>
  <w:footnote w:id="37">
    <w:p w14:paraId="23D8032D" w14:textId="7DA18374" w:rsidR="00A97713" w:rsidRPr="000E6A6C" w:rsidRDefault="00A97713">
      <w:pPr>
        <w:pStyle w:val="FootnoteText"/>
      </w:pPr>
      <w:r>
        <w:rPr>
          <w:rStyle w:val="FootnoteReference"/>
        </w:rPr>
        <w:footnoteRef/>
      </w:r>
      <w:r>
        <w:t xml:space="preserve"> </w:t>
      </w:r>
      <w:r w:rsidR="000E6A6C">
        <w:t xml:space="preserve"> Cartwright, </w:t>
      </w:r>
      <w:r w:rsidR="000E6A6C" w:rsidRPr="00753D47">
        <w:rPr>
          <w:i/>
          <w:iCs/>
        </w:rPr>
        <w:t>Feminine</w:t>
      </w:r>
      <w:r w:rsidR="000E6A6C">
        <w:rPr>
          <w:i/>
          <w:iCs/>
        </w:rPr>
        <w:t xml:space="preserve"> Sancitity,</w:t>
      </w:r>
      <w:r w:rsidR="000E6A6C">
        <w:t xml:space="preserve"> 78.</w:t>
      </w:r>
    </w:p>
  </w:footnote>
  <w:footnote w:id="38">
    <w:p w14:paraId="22F1865C" w14:textId="70F60C67" w:rsidR="007E4456" w:rsidRDefault="007E4456">
      <w:pPr>
        <w:pStyle w:val="FootnoteText"/>
      </w:pPr>
      <w:r>
        <w:rPr>
          <w:rStyle w:val="FootnoteReference"/>
        </w:rPr>
        <w:footnoteRef/>
      </w:r>
      <w:r>
        <w:t xml:space="preserve"> </w:t>
      </w:r>
      <w:r w:rsidR="008F48DC">
        <w:t xml:space="preserve">Oliver Davies, </w:t>
      </w:r>
      <w:r w:rsidR="008F48DC">
        <w:rPr>
          <w:i/>
          <w:iCs/>
        </w:rPr>
        <w:t xml:space="preserve">Celtic Christianity </w:t>
      </w:r>
      <w:r w:rsidR="008F48DC">
        <w:t>(Cardiff: University of Wales Press, 1996), 17.</w:t>
      </w:r>
    </w:p>
  </w:footnote>
  <w:footnote w:id="39">
    <w:p w14:paraId="244463DA" w14:textId="75EB6D50" w:rsidR="00366BE6" w:rsidRDefault="00366BE6">
      <w:pPr>
        <w:pStyle w:val="FootnoteText"/>
      </w:pPr>
      <w:r>
        <w:rPr>
          <w:rStyle w:val="FootnoteReference"/>
        </w:rPr>
        <w:footnoteRef/>
      </w:r>
      <w:r>
        <w:t xml:space="preserve"> </w:t>
      </w:r>
      <w:r w:rsidR="005C58BA">
        <w:t xml:space="preserve">Cartwright, </w:t>
      </w:r>
      <w:r w:rsidR="005C58BA" w:rsidRPr="00753D47">
        <w:rPr>
          <w:i/>
          <w:iCs/>
        </w:rPr>
        <w:t>Feminine</w:t>
      </w:r>
      <w:r w:rsidR="005C58BA">
        <w:rPr>
          <w:i/>
          <w:iCs/>
        </w:rPr>
        <w:t xml:space="preserve"> Sancitity,</w:t>
      </w:r>
      <w:r w:rsidR="005C58BA">
        <w:t xml:space="preserve"> 86.</w:t>
      </w:r>
    </w:p>
  </w:footnote>
  <w:footnote w:id="40">
    <w:p w14:paraId="49643393" w14:textId="47CCAA5B" w:rsidR="001135D1" w:rsidRDefault="00A32F6F">
      <w:pPr>
        <w:pStyle w:val="FootnoteText"/>
      </w:pPr>
      <w:r>
        <w:rPr>
          <w:rStyle w:val="FootnoteReference"/>
        </w:rPr>
        <w:footnoteRef/>
      </w:r>
      <w:r>
        <w:t xml:space="preserve"> </w:t>
      </w:r>
      <w:r w:rsidR="00DE2315">
        <w:t xml:space="preserve">Cartwright, </w:t>
      </w:r>
      <w:r w:rsidR="00DE2315" w:rsidRPr="00753D47">
        <w:rPr>
          <w:i/>
          <w:iCs/>
        </w:rPr>
        <w:t>Feminine</w:t>
      </w:r>
      <w:r w:rsidR="00DE2315">
        <w:rPr>
          <w:i/>
          <w:iCs/>
        </w:rPr>
        <w:t xml:space="preserve"> Sancitity,</w:t>
      </w:r>
      <w:r w:rsidR="00DE2315">
        <w:t xml:space="preserve"> 86 - 87.</w:t>
      </w:r>
    </w:p>
  </w:footnote>
  <w:footnote w:id="41">
    <w:p w14:paraId="42339A35" w14:textId="6A4A1D53" w:rsidR="00A90A54" w:rsidRDefault="00A90A54" w:rsidP="00A90A54">
      <w:pPr>
        <w:pStyle w:val="FootnoteText"/>
      </w:pPr>
      <w:r>
        <w:rPr>
          <w:rStyle w:val="FootnoteReference"/>
        </w:rPr>
        <w:footnoteRef/>
      </w:r>
      <w:r>
        <w:t xml:space="preserve"> Cartwright, </w:t>
      </w:r>
      <w:r w:rsidRPr="00753D47">
        <w:rPr>
          <w:i/>
          <w:iCs/>
        </w:rPr>
        <w:t>Feminine</w:t>
      </w:r>
      <w:r>
        <w:rPr>
          <w:i/>
          <w:iCs/>
        </w:rPr>
        <w:t xml:space="preserve"> Sancitity,</w:t>
      </w:r>
      <w:r>
        <w:t xml:space="preserve"> 87.</w:t>
      </w:r>
    </w:p>
  </w:footnote>
  <w:footnote w:id="42">
    <w:p w14:paraId="63A83599" w14:textId="728AC7C7" w:rsidR="00225D5C" w:rsidRDefault="00225D5C">
      <w:pPr>
        <w:pStyle w:val="FootnoteText"/>
      </w:pPr>
      <w:r>
        <w:rPr>
          <w:rStyle w:val="FootnoteReference"/>
        </w:rPr>
        <w:footnoteRef/>
      </w:r>
      <w:r>
        <w:t xml:space="preserve"> </w:t>
      </w:r>
      <w:r w:rsidR="00001555">
        <w:t xml:space="preserve">Cartwright, </w:t>
      </w:r>
      <w:r w:rsidR="00001555" w:rsidRPr="00753D47">
        <w:rPr>
          <w:i/>
          <w:iCs/>
        </w:rPr>
        <w:t>Feminine</w:t>
      </w:r>
      <w:r w:rsidR="00001555">
        <w:rPr>
          <w:i/>
          <w:iCs/>
        </w:rPr>
        <w:t xml:space="preserve"> Sancitity,</w:t>
      </w:r>
      <w:r w:rsidR="00001555">
        <w:t xml:space="preserve"> 79.</w:t>
      </w:r>
    </w:p>
  </w:footnote>
  <w:footnote w:id="43">
    <w:p w14:paraId="37C13517" w14:textId="506DC0C7" w:rsidR="00E70A5E" w:rsidRPr="00880542" w:rsidRDefault="00E70A5E">
      <w:pPr>
        <w:pStyle w:val="FootnoteText"/>
      </w:pPr>
      <w:r>
        <w:rPr>
          <w:rStyle w:val="FootnoteReference"/>
        </w:rPr>
        <w:footnoteRef/>
      </w:r>
      <w:r>
        <w:t xml:space="preserve"> </w:t>
      </w:r>
      <w:r w:rsidR="00A5051D">
        <w:t xml:space="preserve">Evans, </w:t>
      </w:r>
      <w:r w:rsidR="00281D24">
        <w:rPr>
          <w:i/>
          <w:iCs/>
        </w:rPr>
        <w:t>The Welsh Life</w:t>
      </w:r>
      <w:r w:rsidR="00CB7D7E">
        <w:rPr>
          <w:i/>
          <w:iCs/>
        </w:rPr>
        <w:t xml:space="preserve"> Of St David</w:t>
      </w:r>
      <w:r w:rsidR="00880542">
        <w:rPr>
          <w:i/>
          <w:iCs/>
        </w:rPr>
        <w:t xml:space="preserve">, </w:t>
      </w:r>
      <w:r w:rsidR="00880542">
        <w:t>58.</w:t>
      </w:r>
    </w:p>
  </w:footnote>
  <w:footnote w:id="44">
    <w:p w14:paraId="3E9B4847" w14:textId="588D210B" w:rsidR="00880542" w:rsidRDefault="00880542">
      <w:pPr>
        <w:pStyle w:val="FootnoteText"/>
      </w:pPr>
      <w:r>
        <w:rPr>
          <w:rStyle w:val="FootnoteReference"/>
        </w:rPr>
        <w:footnoteRef/>
      </w:r>
      <w:r w:rsidR="00DE25DF">
        <w:t xml:space="preserve"> Pritchard, </w:t>
      </w:r>
      <w:r w:rsidR="00DE25DF">
        <w:rPr>
          <w:i/>
          <w:iCs/>
        </w:rPr>
        <w:t xml:space="preserve">St Winefride, Her Holy Well, </w:t>
      </w:r>
      <w:r w:rsidR="00877AAB">
        <w:rPr>
          <w:i/>
          <w:iCs/>
        </w:rPr>
        <w:t>72.</w:t>
      </w:r>
    </w:p>
  </w:footnote>
  <w:footnote w:id="45">
    <w:p w14:paraId="5630FBFE" w14:textId="05E6045E" w:rsidR="00877AAB" w:rsidRDefault="00877AAB">
      <w:pPr>
        <w:pStyle w:val="FootnoteText"/>
      </w:pPr>
      <w:r>
        <w:rPr>
          <w:rStyle w:val="FootnoteReference"/>
        </w:rPr>
        <w:footnoteRef/>
      </w:r>
      <w:r w:rsidR="00006257">
        <w:t xml:space="preserve"> Pritchard, </w:t>
      </w:r>
      <w:r w:rsidR="00006257">
        <w:rPr>
          <w:i/>
          <w:iCs/>
        </w:rPr>
        <w:t>St Winefride, Her Holy Well, 73-77.</w:t>
      </w:r>
    </w:p>
  </w:footnote>
  <w:footnote w:id="46">
    <w:p w14:paraId="3CA52EB1" w14:textId="49A4BE98" w:rsidR="00006257" w:rsidRDefault="00006257">
      <w:pPr>
        <w:pStyle w:val="FootnoteText"/>
      </w:pPr>
      <w:r>
        <w:rPr>
          <w:rStyle w:val="FootnoteReference"/>
        </w:rPr>
        <w:footnoteRef/>
      </w:r>
      <w:r>
        <w:t xml:space="preserve"> </w:t>
      </w:r>
      <w:r w:rsidR="00495E5B">
        <w:t xml:space="preserve">Evans, </w:t>
      </w:r>
      <w:r w:rsidR="00495E5B">
        <w:rPr>
          <w:i/>
          <w:iCs/>
        </w:rPr>
        <w:t xml:space="preserve">The Welsh Life Of St David, </w:t>
      </w:r>
      <w:r w:rsidR="00CB647D">
        <w:t>4</w:t>
      </w:r>
      <w:r w:rsidR="00495E5B">
        <w:t>8</w:t>
      </w:r>
      <w:r w:rsidR="00CB647D">
        <w:t>.</w:t>
      </w:r>
    </w:p>
  </w:footnote>
  <w:footnote w:id="47">
    <w:p w14:paraId="345ADC8C" w14:textId="54AC2190" w:rsidR="00A559FA" w:rsidRDefault="00A559FA">
      <w:pPr>
        <w:pStyle w:val="FootnoteText"/>
      </w:pPr>
      <w:r>
        <w:rPr>
          <w:rStyle w:val="FootnoteReference"/>
        </w:rPr>
        <w:footnoteRef/>
      </w:r>
      <w:r>
        <w:t xml:space="preserve"> </w:t>
      </w:r>
      <w:r w:rsidR="00361161">
        <w:t xml:space="preserve">Evans, </w:t>
      </w:r>
      <w:r w:rsidR="00361161">
        <w:rPr>
          <w:i/>
          <w:iCs/>
        </w:rPr>
        <w:t xml:space="preserve">The Welsh Life Of St David, </w:t>
      </w:r>
      <w:r w:rsidR="00361161">
        <w:t>58.</w:t>
      </w:r>
    </w:p>
  </w:footnote>
  <w:footnote w:id="48">
    <w:p w14:paraId="498943AC" w14:textId="0C4336D9" w:rsidR="00E91A78" w:rsidRDefault="00E91A78">
      <w:pPr>
        <w:pStyle w:val="FootnoteText"/>
      </w:pPr>
      <w:r>
        <w:rPr>
          <w:rStyle w:val="FootnoteReference"/>
        </w:rPr>
        <w:footnoteRef/>
      </w:r>
      <w:r>
        <w:t xml:space="preserve"> </w:t>
      </w:r>
      <w:r w:rsidR="00A452FF">
        <w:t xml:space="preserve">Evans, </w:t>
      </w:r>
      <w:r w:rsidR="00A452FF">
        <w:rPr>
          <w:i/>
          <w:iCs/>
        </w:rPr>
        <w:t xml:space="preserve">The Welsh Life Of St David, </w:t>
      </w:r>
      <w:r w:rsidR="00A452FF">
        <w:t>58.</w:t>
      </w:r>
    </w:p>
  </w:footnote>
  <w:footnote w:id="49">
    <w:p w14:paraId="357A3141" w14:textId="510556B6" w:rsidR="0095207B" w:rsidRDefault="0095207B">
      <w:pPr>
        <w:pStyle w:val="FootnoteText"/>
      </w:pPr>
      <w:r>
        <w:rPr>
          <w:rStyle w:val="FootnoteReference"/>
        </w:rPr>
        <w:footnoteRef/>
      </w:r>
      <w:r>
        <w:t xml:space="preserve"> </w:t>
      </w:r>
      <w:r w:rsidR="00E57B92">
        <w:t xml:space="preserve">Evans, </w:t>
      </w:r>
      <w:r w:rsidR="00E57B92">
        <w:rPr>
          <w:i/>
          <w:iCs/>
        </w:rPr>
        <w:t xml:space="preserve">The Welsh Life Of St David, </w:t>
      </w:r>
      <w:r w:rsidR="00E57B92">
        <w:t>50.</w:t>
      </w:r>
    </w:p>
  </w:footnote>
  <w:footnote w:id="50">
    <w:p w14:paraId="47E5F445" w14:textId="69C60A92" w:rsidR="00642460" w:rsidRPr="00712B4E" w:rsidRDefault="00642460">
      <w:pPr>
        <w:pStyle w:val="FootnoteText"/>
      </w:pPr>
      <w:r>
        <w:rPr>
          <w:rStyle w:val="FootnoteReference"/>
        </w:rPr>
        <w:footnoteRef/>
      </w:r>
      <w:r>
        <w:t xml:space="preserve"> </w:t>
      </w:r>
      <w:r w:rsidR="000D2ABF">
        <w:t xml:space="preserve">Prior Robert, </w:t>
      </w:r>
      <w:r w:rsidR="000D2ABF">
        <w:rPr>
          <w:i/>
          <w:iCs/>
        </w:rPr>
        <w:t xml:space="preserve">Two Mediaval Lives Of St Winefride, </w:t>
      </w:r>
      <w:r w:rsidR="00712B4E" w:rsidRPr="00712B4E">
        <w:t>42-43.</w:t>
      </w:r>
    </w:p>
  </w:footnote>
  <w:footnote w:id="51">
    <w:p w14:paraId="5910D556" w14:textId="125C1AA0" w:rsidR="00712B4E" w:rsidRDefault="00712B4E">
      <w:pPr>
        <w:pStyle w:val="FootnoteText"/>
      </w:pPr>
      <w:r>
        <w:rPr>
          <w:rStyle w:val="FootnoteReference"/>
        </w:rPr>
        <w:footnoteRef/>
      </w:r>
      <w:r>
        <w:t xml:space="preserve"> </w:t>
      </w:r>
      <w:r w:rsidR="00F669E6">
        <w:t xml:space="preserve">Prior Robert, </w:t>
      </w:r>
      <w:r w:rsidR="00F669E6">
        <w:rPr>
          <w:i/>
          <w:iCs/>
        </w:rPr>
        <w:t xml:space="preserve">Two Mediaval Lives Of St Winefride, </w:t>
      </w:r>
      <w:r w:rsidR="00F669E6" w:rsidRPr="00712B4E">
        <w:t>42-43.</w:t>
      </w:r>
    </w:p>
  </w:footnote>
  <w:footnote w:id="52">
    <w:p w14:paraId="6446E025" w14:textId="3246D081" w:rsidR="00331380" w:rsidRDefault="00864714">
      <w:pPr>
        <w:pStyle w:val="FootnoteText"/>
      </w:pPr>
      <w:r>
        <w:rPr>
          <w:rStyle w:val="FootnoteReference"/>
        </w:rPr>
        <w:footnoteRef/>
      </w:r>
      <w:r w:rsidR="00EB5847">
        <w:t xml:space="preserve"> Henken, </w:t>
      </w:r>
      <w:r w:rsidR="00EB5847">
        <w:rPr>
          <w:i/>
          <w:iCs/>
        </w:rPr>
        <w:t xml:space="preserve">Traditions Of The Welsh Saints, </w:t>
      </w:r>
      <w:r w:rsidR="00EB5847">
        <w:t>37</w:t>
      </w:r>
      <w:r w:rsidR="001C6BE4">
        <w:t>.</w:t>
      </w:r>
    </w:p>
  </w:footnote>
  <w:footnote w:id="53">
    <w:p w14:paraId="1C818EE3" w14:textId="2AAA5388" w:rsidR="001C6BE4" w:rsidRDefault="001C6BE4">
      <w:pPr>
        <w:pStyle w:val="FootnoteText"/>
      </w:pPr>
      <w:r>
        <w:rPr>
          <w:rStyle w:val="FootnoteReference"/>
        </w:rPr>
        <w:footnoteRef/>
      </w:r>
      <w:r>
        <w:t xml:space="preserve"> </w:t>
      </w:r>
      <w:r w:rsidR="00840A76">
        <w:t xml:space="preserve">Henken, </w:t>
      </w:r>
      <w:r w:rsidR="00840A76">
        <w:rPr>
          <w:i/>
          <w:iCs/>
        </w:rPr>
        <w:t xml:space="preserve">Traditions Of The Welsh Saints, </w:t>
      </w:r>
      <w:r w:rsidR="00840A76">
        <w:t>72.</w:t>
      </w:r>
    </w:p>
  </w:footnote>
  <w:footnote w:id="54">
    <w:p w14:paraId="61C988EB" w14:textId="7E94A441" w:rsidR="00840A76" w:rsidRDefault="00840A76">
      <w:pPr>
        <w:pStyle w:val="FootnoteText"/>
      </w:pPr>
      <w:r>
        <w:rPr>
          <w:rStyle w:val="FootnoteReference"/>
        </w:rPr>
        <w:footnoteRef/>
      </w:r>
      <w:r>
        <w:t xml:space="preserve"> </w:t>
      </w:r>
      <w:r w:rsidR="00871823">
        <w:t xml:space="preserve">Henken, </w:t>
      </w:r>
      <w:r w:rsidR="00871823">
        <w:rPr>
          <w:i/>
          <w:iCs/>
        </w:rPr>
        <w:t xml:space="preserve">Traditions Of The Welsh Saints, </w:t>
      </w:r>
      <w:r w:rsidR="00871823">
        <w:t>85.</w:t>
      </w:r>
    </w:p>
  </w:footnote>
  <w:footnote w:id="55">
    <w:p w14:paraId="3D7452B9" w14:textId="7892B66C" w:rsidR="00871823" w:rsidRDefault="00871823">
      <w:pPr>
        <w:pStyle w:val="FootnoteText"/>
      </w:pPr>
      <w:r>
        <w:rPr>
          <w:rStyle w:val="FootnoteReference"/>
        </w:rPr>
        <w:footnoteRef/>
      </w:r>
      <w:r>
        <w:t xml:space="preserve"> </w:t>
      </w:r>
      <w:r w:rsidR="00A5168A">
        <w:t xml:space="preserve">Henken, </w:t>
      </w:r>
      <w:r w:rsidR="00A5168A">
        <w:rPr>
          <w:i/>
          <w:iCs/>
        </w:rPr>
        <w:t xml:space="preserve">Traditions Of The Welsh Saints, </w:t>
      </w:r>
      <w:r w:rsidR="00A5168A">
        <w:t>119.</w:t>
      </w:r>
    </w:p>
  </w:footnote>
  <w:footnote w:id="56">
    <w:p w14:paraId="5D887949" w14:textId="1D331C47" w:rsidR="00144013" w:rsidRDefault="00144013">
      <w:pPr>
        <w:pStyle w:val="FootnoteText"/>
      </w:pPr>
      <w:r>
        <w:rPr>
          <w:rStyle w:val="FootnoteReference"/>
        </w:rPr>
        <w:footnoteRef/>
      </w:r>
      <w:r>
        <w:t xml:space="preserve"> </w:t>
      </w:r>
      <w:r w:rsidR="00431EA9">
        <w:t xml:space="preserve">Prior Robert, </w:t>
      </w:r>
      <w:r w:rsidR="00431EA9">
        <w:rPr>
          <w:i/>
          <w:iCs/>
        </w:rPr>
        <w:t xml:space="preserve">Two Mediaval Lives Of St Winefride, </w:t>
      </w:r>
      <w:r w:rsidR="008921F8">
        <w:t>3</w:t>
      </w:r>
      <w:r w:rsidR="00431EA9" w:rsidRPr="00712B4E">
        <w:t>4</w:t>
      </w:r>
      <w:r w:rsidR="008921F8">
        <w:t>-</w:t>
      </w:r>
      <w:r w:rsidR="00431EA9" w:rsidRPr="00712B4E">
        <w:t>3</w:t>
      </w:r>
      <w:r w:rsidR="008921F8">
        <w:t>6</w:t>
      </w:r>
      <w:r w:rsidR="00431EA9" w:rsidRPr="00712B4E">
        <w:t>.</w:t>
      </w:r>
    </w:p>
  </w:footnote>
  <w:footnote w:id="57">
    <w:p w14:paraId="101AA1D8" w14:textId="3BF3C64E" w:rsidR="00BA6BA5" w:rsidRDefault="00BA6BA5">
      <w:pPr>
        <w:pStyle w:val="FootnoteText"/>
      </w:pPr>
      <w:r>
        <w:rPr>
          <w:rStyle w:val="FootnoteReference"/>
        </w:rPr>
        <w:footnoteRef/>
      </w:r>
      <w:r>
        <w:t xml:space="preserve"> </w:t>
      </w:r>
      <w:r w:rsidR="00DD7957">
        <w:t xml:space="preserve">Prior Robert, </w:t>
      </w:r>
      <w:r w:rsidR="00DD7957">
        <w:rPr>
          <w:i/>
          <w:iCs/>
        </w:rPr>
        <w:t xml:space="preserve">Two Mediaval Lives Of St Winefride, </w:t>
      </w:r>
      <w:r w:rsidR="00DD7957">
        <w:t>111</w:t>
      </w:r>
      <w:r w:rsidR="00DD7957" w:rsidRPr="00712B4E">
        <w:t>.</w:t>
      </w:r>
    </w:p>
  </w:footnote>
  <w:footnote w:id="58">
    <w:p w14:paraId="4E2BFCE8" w14:textId="77777777" w:rsidR="00726D07" w:rsidRPr="00593807" w:rsidRDefault="00726D07" w:rsidP="00726D07">
      <w:pPr>
        <w:pStyle w:val="FootnoteText"/>
      </w:pPr>
      <w:r>
        <w:rPr>
          <w:rStyle w:val="FootnoteReference"/>
        </w:rPr>
        <w:footnoteRef/>
      </w:r>
      <w:r>
        <w:t xml:space="preserve">  D. Simon Evans, </w:t>
      </w:r>
      <w:r>
        <w:rPr>
          <w:i/>
          <w:iCs/>
        </w:rPr>
        <w:t xml:space="preserve">The Welsh Life Of St David </w:t>
      </w:r>
      <w:r>
        <w:t>(Cardiff: University of Wales Press, 1988), 49-50.</w:t>
      </w:r>
    </w:p>
  </w:footnote>
  <w:footnote w:id="59">
    <w:p w14:paraId="3A9E6D78" w14:textId="3A1F916C" w:rsidR="00E267AD" w:rsidRPr="00080285" w:rsidRDefault="00E267AD">
      <w:pPr>
        <w:pStyle w:val="FootnoteText"/>
      </w:pPr>
      <w:r>
        <w:rPr>
          <w:rStyle w:val="FootnoteReference"/>
        </w:rPr>
        <w:footnoteRef/>
      </w:r>
      <w:r>
        <w:t xml:space="preserve"> </w:t>
      </w:r>
      <w:r w:rsidR="00C93E9D">
        <w:t>D</w:t>
      </w:r>
      <w:r w:rsidR="008457B1">
        <w:t xml:space="preserve">. Simon Evans, </w:t>
      </w:r>
      <w:r w:rsidR="008457B1" w:rsidRPr="00080285">
        <w:rPr>
          <w:i/>
          <w:iCs/>
        </w:rPr>
        <w:t>The Welsh Life of St David</w:t>
      </w:r>
      <w:r w:rsidR="007B739D" w:rsidRPr="00080285">
        <w:rPr>
          <w:i/>
          <w:iCs/>
        </w:rPr>
        <w:t>,</w:t>
      </w:r>
      <w:r w:rsidR="00080285">
        <w:rPr>
          <w:i/>
          <w:iCs/>
        </w:rPr>
        <w:t xml:space="preserve"> </w:t>
      </w:r>
      <w:r w:rsidR="00080285">
        <w:t>50.</w:t>
      </w:r>
    </w:p>
  </w:footnote>
  <w:footnote w:id="60">
    <w:p w14:paraId="3D531013" w14:textId="2A496FCA" w:rsidR="00CB05EC" w:rsidRPr="00ED2FB5" w:rsidRDefault="00ED2FB5">
      <w:pPr>
        <w:pStyle w:val="FootnoteText"/>
      </w:pPr>
      <w:r>
        <w:t xml:space="preserve"> </w:t>
      </w:r>
      <w:r w:rsidR="00CB05EC">
        <w:rPr>
          <w:rStyle w:val="FootnoteReference"/>
        </w:rPr>
        <w:footnoteRef/>
      </w:r>
      <w:r w:rsidR="00CB05EC">
        <w:t xml:space="preserve"> </w:t>
      </w:r>
      <w:r>
        <w:t xml:space="preserve">Prior Robert, </w:t>
      </w:r>
      <w:r>
        <w:rPr>
          <w:i/>
          <w:iCs/>
        </w:rPr>
        <w:t xml:space="preserve">Two Mediaval Lives Of St Winefride, </w:t>
      </w:r>
      <w:r>
        <w:t>42</w:t>
      </w:r>
      <w:r w:rsidR="00740641">
        <w:t>, 51.</w:t>
      </w:r>
    </w:p>
  </w:footnote>
  <w:footnote w:id="61">
    <w:p w14:paraId="1800F3E8" w14:textId="7F01A946" w:rsidR="00740641" w:rsidRPr="00426E1F" w:rsidRDefault="00740641" w:rsidP="00166354">
      <w:pPr>
        <w:pStyle w:val="xp4"/>
        <w:shd w:val="clear" w:color="auto" w:fill="FFFFFF"/>
        <w:spacing w:before="0" w:beforeAutospacing="0" w:after="0" w:afterAutospacing="0"/>
        <w:rPr>
          <w:rFonts w:ascii="Segoe UI" w:hAnsi="Segoe UI" w:cs="Segoe UI"/>
          <w:color w:val="242424"/>
          <w:sz w:val="23"/>
          <w:szCs w:val="23"/>
        </w:rPr>
      </w:pPr>
    </w:p>
  </w:footnote>
  <w:footnote w:id="62">
    <w:p w14:paraId="5BE7F232" w14:textId="3CE254C1" w:rsidR="00A74D0E" w:rsidRDefault="00A74D0E" w:rsidP="00382AD9">
      <w:pPr>
        <w:pStyle w:val="xp4"/>
        <w:shd w:val="clear" w:color="auto" w:fill="FFFFFF"/>
        <w:spacing w:before="0" w:beforeAutospacing="0" w:after="0" w:afterAutospacing="0"/>
        <w:ind w:left="720" w:hanging="720"/>
        <w:rPr>
          <w:rStyle w:val="xs3"/>
          <w:rFonts w:ascii="UICTFontTextStyleBody" w:hAnsi="UICTFontTextStyleBody" w:cs="Segoe UI"/>
          <w:color w:val="242424"/>
          <w:sz w:val="23"/>
          <w:szCs w:val="23"/>
          <w:bdr w:val="none" w:sz="0" w:space="0" w:color="auto" w:frame="1"/>
        </w:rPr>
      </w:pPr>
      <w:r>
        <w:rPr>
          <w:rStyle w:val="FootnoteReference"/>
        </w:rPr>
        <w:footnoteRef/>
      </w:r>
      <w:r>
        <w:t xml:space="preserve"> </w:t>
      </w:r>
      <w:r w:rsidR="00166354">
        <w:rPr>
          <w:rStyle w:val="xs4"/>
          <w:rFonts w:ascii="UICTFontTextStyleItalicBody" w:hAnsi="UICTFontTextStyleItalicBody" w:cs="Segoe UI"/>
          <w:i/>
          <w:iCs/>
          <w:color w:val="242424"/>
          <w:sz w:val="23"/>
          <w:szCs w:val="23"/>
          <w:bdr w:val="none" w:sz="0" w:space="0" w:color="auto" w:frame="1"/>
        </w:rPr>
        <w:t>Seintiau Cymru, Sancti Cambrensis: astudiaethau ar Seintiau Cymru</w:t>
      </w:r>
      <w:r w:rsidR="00166354">
        <w:rPr>
          <w:rStyle w:val="xs3"/>
          <w:rFonts w:ascii="UICTFontTextStyleBody" w:hAnsi="UICTFontTextStyleBody" w:cs="Segoe UI"/>
          <w:color w:val="242424"/>
          <w:sz w:val="23"/>
          <w:szCs w:val="23"/>
          <w:bdr w:val="none" w:sz="0" w:space="0" w:color="auto" w:frame="1"/>
        </w:rPr>
        <w:t>, ed. by David</w:t>
      </w:r>
      <w:r w:rsidR="009254CB">
        <w:rPr>
          <w:rStyle w:val="xs3"/>
          <w:rFonts w:ascii="UICTFontTextStyleBody" w:hAnsi="UICTFontTextStyleBody" w:cs="Segoe UI"/>
          <w:color w:val="242424"/>
          <w:sz w:val="23"/>
          <w:szCs w:val="23"/>
          <w:bdr w:val="none" w:sz="0" w:space="0" w:color="auto" w:frame="1"/>
        </w:rPr>
        <w:t xml:space="preserve"> N. </w:t>
      </w:r>
      <w:r w:rsidR="00166354">
        <w:rPr>
          <w:rStyle w:val="xs3"/>
          <w:rFonts w:ascii="UICTFontTextStyleBody" w:hAnsi="UICTFontTextStyleBody" w:cs="Segoe UI"/>
          <w:color w:val="242424"/>
          <w:sz w:val="23"/>
          <w:szCs w:val="23"/>
          <w:bdr w:val="none" w:sz="0" w:space="0" w:color="auto" w:frame="1"/>
        </w:rPr>
        <w:t xml:space="preserve">Parsons and Paul </w:t>
      </w:r>
      <w:r w:rsidR="00DC42E9">
        <w:rPr>
          <w:rStyle w:val="xs3"/>
          <w:rFonts w:ascii="UICTFontTextStyleBody" w:hAnsi="UICTFontTextStyleBody" w:cs="Segoe UI"/>
          <w:color w:val="242424"/>
          <w:sz w:val="23"/>
          <w:szCs w:val="23"/>
          <w:bdr w:val="none" w:sz="0" w:space="0" w:color="auto" w:frame="1"/>
        </w:rPr>
        <w:t xml:space="preserve">Russell </w:t>
      </w:r>
      <w:r w:rsidR="00166354">
        <w:rPr>
          <w:rStyle w:val="xs3"/>
          <w:rFonts w:ascii="UICTFontTextStyleBody" w:hAnsi="UICTFontTextStyleBody" w:cs="Segoe UI"/>
          <w:color w:val="242424"/>
          <w:sz w:val="23"/>
          <w:szCs w:val="23"/>
          <w:bdr w:val="none" w:sz="0" w:space="0" w:color="auto" w:frame="1"/>
        </w:rPr>
        <w:t>(Aberystwyth: University of Wales Centre for Advanced Welsh and Celtic Studies, 2022) &lt;</w:t>
      </w:r>
      <w:hyperlink r:id="rId3" w:tooltip="Original URL: https://repository.uwtsd.ac.uk/id/eprint/2038/1/Cartwright%2C%20Jane%20%282022%29%20The%20Welsh%20versions%20of%20the%20life%20of%20Gwenfrewy.pdf. Click or tap if you trust this link." w:history="1">
        <w:r w:rsidR="00166354">
          <w:rPr>
            <w:rStyle w:val="Hyperlink"/>
            <w:rFonts w:ascii="UICTFontTextStyleBody" w:hAnsi="UICTFontTextStyleBody" w:cs="Segoe UI"/>
            <w:sz w:val="23"/>
            <w:szCs w:val="23"/>
            <w:bdr w:val="none" w:sz="0" w:space="0" w:color="auto" w:frame="1"/>
          </w:rPr>
          <w:t>https://repository.uwtsd.ac.uk/id/eprint/2038/1/Cartwright%2C%20Jane%20%282022%29%20The%20Welsh%20versions%20of%20the%20life%20of%20Gwenfrewy.pdf</w:t>
        </w:r>
      </w:hyperlink>
      <w:r w:rsidR="00166354">
        <w:rPr>
          <w:rStyle w:val="xs3"/>
          <w:rFonts w:ascii="UICTFontTextStyleBody" w:hAnsi="UICTFontTextStyleBody" w:cs="Segoe UI"/>
          <w:color w:val="242424"/>
          <w:sz w:val="23"/>
          <w:szCs w:val="23"/>
          <w:bdr w:val="none" w:sz="0" w:space="0" w:color="auto" w:frame="1"/>
        </w:rPr>
        <w:t>&gt; [accessed 25 April 2024]</w:t>
      </w:r>
    </w:p>
    <w:p w14:paraId="6718B7B1" w14:textId="77777777" w:rsidR="00921905" w:rsidRPr="00382AD9" w:rsidRDefault="00921905" w:rsidP="00382AD9">
      <w:pPr>
        <w:pStyle w:val="xp4"/>
        <w:shd w:val="clear" w:color="auto" w:fill="FFFFFF"/>
        <w:spacing w:before="0" w:beforeAutospacing="0" w:after="0" w:afterAutospacing="0"/>
        <w:ind w:left="720" w:hanging="720"/>
        <w:rPr>
          <w:rFonts w:ascii="Segoe UI" w:hAnsi="Segoe UI" w:cs="Segoe UI"/>
          <w:color w:val="242424"/>
          <w:sz w:val="23"/>
          <w:szCs w:val="23"/>
        </w:rPr>
      </w:pPr>
    </w:p>
  </w:footnote>
  <w:footnote w:id="63">
    <w:p w14:paraId="6A7AE6AA" w14:textId="23665CB7" w:rsidR="00A77A45" w:rsidRDefault="00A77A45">
      <w:pPr>
        <w:pStyle w:val="FootnoteText"/>
      </w:pPr>
      <w:r>
        <w:rPr>
          <w:rStyle w:val="FootnoteReference"/>
        </w:rPr>
        <w:footnoteRef/>
      </w:r>
      <w:r>
        <w:t xml:space="preserve">  </w:t>
      </w:r>
      <w:r w:rsidR="00906A74">
        <w:t xml:space="preserve">Pritchard, </w:t>
      </w:r>
      <w:r w:rsidR="00906A74">
        <w:rPr>
          <w:i/>
          <w:iCs/>
        </w:rPr>
        <w:t>St Winefride, Her Holy Well,</w:t>
      </w:r>
      <w:r w:rsidR="00F9316D">
        <w:rPr>
          <w:i/>
          <w:iCs/>
        </w:rPr>
        <w:t xml:space="preserve"> 193.</w:t>
      </w:r>
    </w:p>
  </w:footnote>
  <w:footnote w:id="64">
    <w:p w14:paraId="60B5A595" w14:textId="63A58618" w:rsidR="00B52E7C" w:rsidRPr="000E087E" w:rsidRDefault="00B52E7C">
      <w:pPr>
        <w:pStyle w:val="FootnoteText"/>
      </w:pPr>
      <w:r>
        <w:rPr>
          <w:rStyle w:val="FootnoteReference"/>
        </w:rPr>
        <w:footnoteRef/>
      </w:r>
      <w:r>
        <w:t xml:space="preserve"> </w:t>
      </w:r>
      <w:r w:rsidR="008D3E69">
        <w:t xml:space="preserve">Elissa R. </w:t>
      </w:r>
      <w:r w:rsidR="00B22178">
        <w:t>Henken, A</w:t>
      </w:r>
      <w:r w:rsidR="001E2F81">
        <w:rPr>
          <w:i/>
          <w:iCs/>
        </w:rPr>
        <w:t xml:space="preserve"> Study In Patterned Lives</w:t>
      </w:r>
      <w:r w:rsidR="000E087E">
        <w:rPr>
          <w:i/>
          <w:iCs/>
        </w:rPr>
        <w:t xml:space="preserve"> </w:t>
      </w:r>
      <w:r w:rsidR="000E087E">
        <w:t>(</w:t>
      </w:r>
      <w:r w:rsidR="00826792">
        <w:t>Cambridge: D.S. Brewer, 1991</w:t>
      </w:r>
      <w:r w:rsidR="00C359D1">
        <w:t>), 49.</w:t>
      </w:r>
    </w:p>
  </w:footnote>
  <w:footnote w:id="65">
    <w:p w14:paraId="2E4CCA15" w14:textId="051B314C" w:rsidR="002215C2" w:rsidRDefault="002215C2">
      <w:pPr>
        <w:pStyle w:val="FootnoteText"/>
      </w:pPr>
      <w:r>
        <w:rPr>
          <w:rStyle w:val="FootnoteReference"/>
        </w:rPr>
        <w:footnoteRef/>
      </w:r>
      <w:r w:rsidR="00B7139C">
        <w:t xml:space="preserve"> Prior Robert, </w:t>
      </w:r>
      <w:r w:rsidR="00B7139C">
        <w:rPr>
          <w:i/>
          <w:iCs/>
        </w:rPr>
        <w:t xml:space="preserve">Two Mediaval Lives Of St Winefride, </w:t>
      </w:r>
      <w:r w:rsidR="00180162">
        <w:t>15</w:t>
      </w:r>
      <w:r w:rsidR="00B7139C" w:rsidRPr="00712B4E">
        <w:t>.</w:t>
      </w:r>
    </w:p>
  </w:footnote>
  <w:footnote w:id="66">
    <w:p w14:paraId="35A8AE2C" w14:textId="458A096E" w:rsidR="00E27ABC" w:rsidRDefault="00E27ABC">
      <w:pPr>
        <w:pStyle w:val="FootnoteText"/>
      </w:pPr>
      <w:r>
        <w:rPr>
          <w:rStyle w:val="FootnoteReference"/>
        </w:rPr>
        <w:footnoteRef/>
      </w:r>
      <w:r>
        <w:t xml:space="preserve"> </w:t>
      </w:r>
      <w:r w:rsidR="00C35705">
        <w:t xml:space="preserve">Pritchard, </w:t>
      </w:r>
      <w:r w:rsidR="00C35705">
        <w:rPr>
          <w:i/>
          <w:iCs/>
        </w:rPr>
        <w:t>St Winefride, Her Holy Well,</w:t>
      </w:r>
      <w:r w:rsidR="005A7650">
        <w:rPr>
          <w:i/>
          <w:iCs/>
        </w:rPr>
        <w:t xml:space="preserve"> </w:t>
      </w:r>
      <w:r w:rsidR="005A7650">
        <w:t>8</w:t>
      </w:r>
      <w:r w:rsidR="00C35705">
        <w:rPr>
          <w:i/>
          <w:iCs/>
        </w:rPr>
        <w:t>.</w:t>
      </w:r>
    </w:p>
  </w:footnote>
  <w:footnote w:id="67">
    <w:p w14:paraId="0F5DB202" w14:textId="319C9F5D" w:rsidR="002D0E3B" w:rsidRPr="00426E1F" w:rsidRDefault="002D0E3B" w:rsidP="00426E1F">
      <w:pPr>
        <w:pStyle w:val="xp4"/>
        <w:shd w:val="clear" w:color="auto" w:fill="FFFFFF"/>
        <w:spacing w:before="0" w:beforeAutospacing="0" w:after="0" w:afterAutospacing="0"/>
        <w:ind w:left="720" w:hanging="720"/>
        <w:rPr>
          <w:rFonts w:ascii="Segoe UI" w:hAnsi="Segoe UI" w:cs="Segoe UI"/>
          <w:color w:val="242424"/>
          <w:sz w:val="23"/>
          <w:szCs w:val="23"/>
        </w:rPr>
      </w:pPr>
      <w:r>
        <w:rPr>
          <w:rStyle w:val="FootnoteReference"/>
        </w:rPr>
        <w:footnoteRef/>
      </w:r>
      <w:r>
        <w:t xml:space="preserve"> </w:t>
      </w:r>
      <w:r w:rsidR="008E721C">
        <w:rPr>
          <w:rStyle w:val="xs4"/>
          <w:rFonts w:ascii="UICTFontTextStyleItalicBody" w:hAnsi="UICTFontTextStyleItalicBody" w:cs="Segoe UI"/>
          <w:i/>
          <w:iCs/>
          <w:color w:val="242424"/>
          <w:sz w:val="23"/>
          <w:szCs w:val="23"/>
          <w:bdr w:val="none" w:sz="0" w:space="0" w:color="auto" w:frame="1"/>
        </w:rPr>
        <w:t>Seintiau Cymru, Sancti Cambrensis: astudiaethau ar Seintiau Cymru</w:t>
      </w:r>
      <w:r w:rsidR="008E721C">
        <w:rPr>
          <w:rStyle w:val="xs3"/>
          <w:rFonts w:ascii="UICTFontTextStyleBody" w:hAnsi="UICTFontTextStyleBody" w:cs="Segoe UI"/>
          <w:color w:val="242424"/>
          <w:sz w:val="23"/>
          <w:szCs w:val="23"/>
          <w:bdr w:val="none" w:sz="0" w:space="0" w:color="auto" w:frame="1"/>
        </w:rPr>
        <w:t xml:space="preserve">, ed. by David </w:t>
      </w:r>
      <w:r w:rsidR="00E1666C">
        <w:rPr>
          <w:rStyle w:val="xs3"/>
          <w:rFonts w:ascii="UICTFontTextStyleBody" w:hAnsi="UICTFontTextStyleBody" w:cs="Segoe UI"/>
          <w:color w:val="242424"/>
          <w:sz w:val="23"/>
          <w:szCs w:val="23"/>
          <w:bdr w:val="none" w:sz="0" w:space="0" w:color="auto" w:frame="1"/>
        </w:rPr>
        <w:t>N</w:t>
      </w:r>
      <w:r w:rsidR="00BC131C">
        <w:rPr>
          <w:rStyle w:val="xs3"/>
          <w:rFonts w:ascii="UICTFontTextStyleBody" w:hAnsi="UICTFontTextStyleBody" w:cs="Segoe UI"/>
          <w:color w:val="242424"/>
          <w:sz w:val="23"/>
          <w:szCs w:val="23"/>
          <w:bdr w:val="none" w:sz="0" w:space="0" w:color="auto" w:frame="1"/>
        </w:rPr>
        <w:t xml:space="preserve">. </w:t>
      </w:r>
      <w:r w:rsidR="008E721C">
        <w:rPr>
          <w:rStyle w:val="xs3"/>
          <w:rFonts w:ascii="UICTFontTextStyleBody" w:hAnsi="UICTFontTextStyleBody" w:cs="Segoe UI"/>
          <w:color w:val="242424"/>
          <w:sz w:val="23"/>
          <w:szCs w:val="23"/>
          <w:bdr w:val="none" w:sz="0" w:space="0" w:color="auto" w:frame="1"/>
        </w:rPr>
        <w:t xml:space="preserve">Parsons and Paul </w:t>
      </w:r>
      <w:r w:rsidR="00BC131C">
        <w:rPr>
          <w:rStyle w:val="xs3"/>
          <w:rFonts w:ascii="UICTFontTextStyleBody" w:hAnsi="UICTFontTextStyleBody" w:cs="Segoe UI"/>
          <w:color w:val="242424"/>
          <w:sz w:val="23"/>
          <w:szCs w:val="23"/>
          <w:bdr w:val="none" w:sz="0" w:space="0" w:color="auto" w:frame="1"/>
        </w:rPr>
        <w:t xml:space="preserve">Russell </w:t>
      </w:r>
      <w:r w:rsidR="008E721C">
        <w:rPr>
          <w:rStyle w:val="xs3"/>
          <w:rFonts w:ascii="UICTFontTextStyleBody" w:hAnsi="UICTFontTextStyleBody" w:cs="Segoe UI"/>
          <w:color w:val="242424"/>
          <w:sz w:val="23"/>
          <w:szCs w:val="23"/>
          <w:bdr w:val="none" w:sz="0" w:space="0" w:color="auto" w:frame="1"/>
        </w:rPr>
        <w:t xml:space="preserve"> (Aberystwyth: University of Wales Centre for Advanced Welsh and Celtic Studies, 2022)</w:t>
      </w:r>
      <w:r w:rsidR="005A1F03">
        <w:rPr>
          <w:rStyle w:val="xs3"/>
          <w:rFonts w:ascii="UICTFontTextStyleBody" w:hAnsi="UICTFontTextStyleBody" w:cs="Segoe UI"/>
          <w:color w:val="242424"/>
          <w:sz w:val="23"/>
          <w:szCs w:val="23"/>
          <w:bdr w:val="none" w:sz="0" w:space="0" w:color="auto" w:frame="1"/>
        </w:rPr>
        <w:t xml:space="preserve"> </w:t>
      </w:r>
      <w:r w:rsidR="008E721C">
        <w:rPr>
          <w:rStyle w:val="xs3"/>
          <w:rFonts w:ascii="UICTFontTextStyleBody" w:hAnsi="UICTFontTextStyleBody" w:cs="Segoe UI"/>
          <w:color w:val="242424"/>
          <w:sz w:val="23"/>
          <w:szCs w:val="23"/>
          <w:bdr w:val="none" w:sz="0" w:space="0" w:color="auto" w:frame="1"/>
        </w:rPr>
        <w:t>&lt;</w:t>
      </w:r>
      <w:hyperlink r:id="rId4" w:tooltip="Original URL: https://repository.uwtsd.ac.uk/id/eprint/2038/1/Cartwright%2C%20Jane%20%282022%29%20The%20Welsh%20versions%20of%20the%20life%20of%20Gwenfrewy.pdf. Click or tap if you trust this link." w:history="1">
        <w:r w:rsidR="008E721C">
          <w:rPr>
            <w:rStyle w:val="Hyperlink"/>
            <w:rFonts w:ascii="UICTFontTextStyleBody" w:hAnsi="UICTFontTextStyleBody" w:cs="Segoe UI"/>
            <w:sz w:val="23"/>
            <w:szCs w:val="23"/>
            <w:bdr w:val="none" w:sz="0" w:space="0" w:color="auto" w:frame="1"/>
          </w:rPr>
          <w:t>https://repository.uwtsd.ac.uk/id/eprint/2038/1/Cartwright%2C%20Jane%20%282022%29%20The%20Welsh%20versions%20of%20the%20life%20of%20Gwenfrewy.pdf</w:t>
        </w:r>
      </w:hyperlink>
      <w:r w:rsidR="008E721C">
        <w:rPr>
          <w:rStyle w:val="xs3"/>
          <w:rFonts w:ascii="UICTFontTextStyleBody" w:hAnsi="UICTFontTextStyleBody" w:cs="Segoe UI"/>
          <w:color w:val="242424"/>
          <w:sz w:val="23"/>
          <w:szCs w:val="23"/>
          <w:bdr w:val="none" w:sz="0" w:space="0" w:color="auto" w:frame="1"/>
        </w:rPr>
        <w:t>&gt; [accessed 25 April 2024]</w:t>
      </w:r>
    </w:p>
  </w:footnote>
  <w:footnote w:id="68">
    <w:p w14:paraId="6748B8C0" w14:textId="14939ECD" w:rsidR="00F70FD3" w:rsidRDefault="00F70FD3">
      <w:pPr>
        <w:pStyle w:val="FootnoteText"/>
      </w:pPr>
      <w:r>
        <w:rPr>
          <w:rStyle w:val="FootnoteReference"/>
        </w:rPr>
        <w:footnoteRef/>
      </w:r>
      <w:r>
        <w:t xml:space="preserve"> </w:t>
      </w:r>
      <w:r w:rsidR="00426188">
        <w:t xml:space="preserve"> </w:t>
      </w:r>
      <w:r w:rsidR="000D6AB6">
        <w:t xml:space="preserve">Prior Robert, </w:t>
      </w:r>
      <w:r w:rsidR="000D6AB6">
        <w:rPr>
          <w:i/>
          <w:iCs/>
        </w:rPr>
        <w:t xml:space="preserve">Two Mediaval Lives Of St Winefride, </w:t>
      </w:r>
      <w:r w:rsidR="000D6AB6">
        <w:t>39</w:t>
      </w:r>
      <w:r w:rsidR="000D6AB6" w:rsidRPr="00712B4E">
        <w:t>.</w:t>
      </w:r>
    </w:p>
  </w:footnote>
  <w:footnote w:id="69">
    <w:p w14:paraId="245A07EC" w14:textId="6B784500" w:rsidR="009A4089" w:rsidRDefault="009A4089" w:rsidP="00D83318">
      <w:pPr>
        <w:pStyle w:val="FootnoteText"/>
      </w:pPr>
      <w:r>
        <w:rPr>
          <w:rStyle w:val="FootnoteReference"/>
        </w:rPr>
        <w:footnoteRef/>
      </w:r>
      <w:r>
        <w:t xml:space="preserve"> </w:t>
      </w:r>
      <w:r w:rsidR="00176031">
        <w:t xml:space="preserve"> </w:t>
      </w:r>
      <w:r w:rsidR="00756170">
        <w:t xml:space="preserve">Pritchard, </w:t>
      </w:r>
      <w:r w:rsidR="00756170">
        <w:rPr>
          <w:i/>
          <w:iCs/>
        </w:rPr>
        <w:t xml:space="preserve">St Winefride, Her </w:t>
      </w:r>
      <w:r w:rsidR="00864C7B">
        <w:rPr>
          <w:i/>
          <w:iCs/>
        </w:rPr>
        <w:t>H</w:t>
      </w:r>
      <w:r w:rsidR="00632058">
        <w:rPr>
          <w:i/>
          <w:iCs/>
        </w:rPr>
        <w:t>o</w:t>
      </w:r>
      <w:r w:rsidR="00864C7B">
        <w:rPr>
          <w:i/>
          <w:iCs/>
        </w:rPr>
        <w:t>ly Well</w:t>
      </w:r>
      <w:r w:rsidR="00470789">
        <w:rPr>
          <w:i/>
          <w:iCs/>
        </w:rPr>
        <w:t>,</w:t>
      </w:r>
      <w:r w:rsidR="00D83318">
        <w:rPr>
          <w:i/>
          <w:iCs/>
        </w:rPr>
        <w:t xml:space="preserve"> </w:t>
      </w:r>
      <w:r w:rsidR="00864C7B">
        <w:t>33-34</w:t>
      </w:r>
      <w:r w:rsidR="00D83318" w:rsidRPr="00712B4E">
        <w:t>.</w:t>
      </w:r>
    </w:p>
  </w:footnote>
  <w:footnote w:id="70">
    <w:p w14:paraId="282BC04F" w14:textId="7FFBFBC5" w:rsidR="000A550C" w:rsidRDefault="000A550C">
      <w:pPr>
        <w:pStyle w:val="FootnoteText"/>
      </w:pPr>
      <w:r>
        <w:rPr>
          <w:rStyle w:val="FootnoteReference"/>
        </w:rPr>
        <w:footnoteRef/>
      </w:r>
      <w:r w:rsidR="00783566">
        <w:t xml:space="preserve"> </w:t>
      </w:r>
      <w:r w:rsidR="00176031">
        <w:t xml:space="preserve"> </w:t>
      </w:r>
      <w:r w:rsidR="00783566">
        <w:t xml:space="preserve">Pritchard, </w:t>
      </w:r>
      <w:r w:rsidR="00783566">
        <w:rPr>
          <w:i/>
          <w:iCs/>
        </w:rPr>
        <w:t xml:space="preserve">St Winefride, Her </w:t>
      </w:r>
      <w:r w:rsidR="00632058">
        <w:rPr>
          <w:i/>
          <w:iCs/>
        </w:rPr>
        <w:t>Holy Well</w:t>
      </w:r>
      <w:r w:rsidR="00470789">
        <w:rPr>
          <w:i/>
          <w:iCs/>
        </w:rPr>
        <w:t>,</w:t>
      </w:r>
      <w:r w:rsidR="00632058">
        <w:rPr>
          <w:i/>
          <w:iCs/>
        </w:rPr>
        <w:t xml:space="preserve"> 33-34</w:t>
      </w:r>
      <w:r w:rsidR="00176031">
        <w:rPr>
          <w:i/>
          <w:iCs/>
        </w:rPr>
        <w:t>.</w:t>
      </w:r>
      <w:r w:rsidR="00783566">
        <w:rPr>
          <w:i/>
          <w:iCs/>
        </w:rPr>
        <w:t>,</w:t>
      </w:r>
    </w:p>
  </w:footnote>
  <w:footnote w:id="71">
    <w:p w14:paraId="68FA8856" w14:textId="1559E8F6" w:rsidR="001B2B79" w:rsidRPr="00B30603" w:rsidRDefault="001B2B79">
      <w:pPr>
        <w:pStyle w:val="FootnoteText"/>
        <w:rPr>
          <w:i/>
          <w:iCs/>
        </w:rPr>
      </w:pPr>
      <w:r>
        <w:rPr>
          <w:rStyle w:val="FootnoteReference"/>
        </w:rPr>
        <w:footnoteRef/>
      </w:r>
      <w:r>
        <w:t xml:space="preserve"> </w:t>
      </w:r>
      <w:r w:rsidR="00B30603">
        <w:t xml:space="preserve">Shaffer, </w:t>
      </w:r>
      <w:r w:rsidR="00B30603">
        <w:rPr>
          <w:i/>
          <w:iCs/>
        </w:rPr>
        <w:t>Winefre</w:t>
      </w:r>
      <w:r w:rsidR="00AD3718">
        <w:rPr>
          <w:i/>
          <w:iCs/>
        </w:rPr>
        <w:t>d’s Well, 84-85.</w:t>
      </w:r>
    </w:p>
  </w:footnote>
  <w:footnote w:id="72">
    <w:p w14:paraId="5404AFF9" w14:textId="132D1E8A" w:rsidR="00C64148" w:rsidRPr="00663172" w:rsidRDefault="00C64148">
      <w:pPr>
        <w:pStyle w:val="FootnoteText"/>
      </w:pPr>
      <w:r>
        <w:rPr>
          <w:rStyle w:val="FootnoteReference"/>
        </w:rPr>
        <w:footnoteRef/>
      </w:r>
      <w:r>
        <w:t xml:space="preserve"> </w:t>
      </w:r>
      <w:r w:rsidR="0095038F">
        <w:t xml:space="preserve">John </w:t>
      </w:r>
      <w:r w:rsidR="003226B3">
        <w:t xml:space="preserve">Mawdsley, </w:t>
      </w:r>
      <w:r w:rsidR="003226B3">
        <w:rPr>
          <w:i/>
          <w:iCs/>
        </w:rPr>
        <w:t>The</w:t>
      </w:r>
      <w:r w:rsidR="0095038F">
        <w:rPr>
          <w:i/>
          <w:iCs/>
        </w:rPr>
        <w:t xml:space="preserve"> Legend Of St Winifred</w:t>
      </w:r>
      <w:r w:rsidR="00663172">
        <w:rPr>
          <w:i/>
          <w:iCs/>
        </w:rPr>
        <w:t xml:space="preserve">  </w:t>
      </w:r>
      <w:r w:rsidR="00663172">
        <w:t xml:space="preserve">(Bristol </w:t>
      </w:r>
      <w:r w:rsidR="0045574B">
        <w:t xml:space="preserve">Cedric </w:t>
      </w:r>
      <w:r w:rsidR="004721FB">
        <w:t>Chivers Ltd), 29.</w:t>
      </w:r>
    </w:p>
  </w:footnote>
  <w:footnote w:id="73">
    <w:p w14:paraId="793D7A97" w14:textId="5F78F94E" w:rsidR="00166F6C" w:rsidRPr="001F37DA" w:rsidRDefault="00166F6C">
      <w:pPr>
        <w:pStyle w:val="FootnoteText"/>
      </w:pPr>
      <w:r>
        <w:rPr>
          <w:rStyle w:val="FootnoteReference"/>
        </w:rPr>
        <w:footnoteRef/>
      </w:r>
      <w:r>
        <w:t xml:space="preserve"> </w:t>
      </w:r>
      <w:r w:rsidR="005F2BBB">
        <w:t xml:space="preserve">Pritchard, </w:t>
      </w:r>
      <w:r w:rsidR="005F2BBB">
        <w:rPr>
          <w:i/>
          <w:iCs/>
        </w:rPr>
        <w:t>St Winefride, Her Holy Well</w:t>
      </w:r>
      <w:r w:rsidR="001F37DA">
        <w:rPr>
          <w:i/>
          <w:iCs/>
        </w:rPr>
        <w:t xml:space="preserve">, </w:t>
      </w:r>
      <w:r w:rsidR="001F37DA" w:rsidRPr="001F37DA">
        <w:t>32-33.</w:t>
      </w:r>
    </w:p>
  </w:footnote>
  <w:footnote w:id="74">
    <w:p w14:paraId="4F6A371E" w14:textId="64DDB6BB" w:rsidR="00C108DC" w:rsidRPr="00B91C7C" w:rsidRDefault="00C108DC">
      <w:pPr>
        <w:pStyle w:val="FootnoteText"/>
      </w:pPr>
      <w:r>
        <w:rPr>
          <w:rStyle w:val="FootnoteReference"/>
        </w:rPr>
        <w:footnoteRef/>
      </w:r>
      <w:r>
        <w:t xml:space="preserve"> </w:t>
      </w:r>
      <w:r w:rsidR="003226B3">
        <w:t xml:space="preserve">Thomas </w:t>
      </w:r>
      <w:r w:rsidR="009740F9">
        <w:t xml:space="preserve">Swift, </w:t>
      </w:r>
      <w:r w:rsidR="009740F9">
        <w:rPr>
          <w:i/>
          <w:iCs/>
        </w:rPr>
        <w:t>Life</w:t>
      </w:r>
      <w:r w:rsidR="00DA510E">
        <w:rPr>
          <w:i/>
          <w:iCs/>
        </w:rPr>
        <w:t xml:space="preserve"> of St Weinfride</w:t>
      </w:r>
      <w:r w:rsidR="00B91C7C">
        <w:rPr>
          <w:i/>
          <w:iCs/>
        </w:rPr>
        <w:t xml:space="preserve"> </w:t>
      </w:r>
      <w:r w:rsidR="00B91C7C">
        <w:t>(Holywell: Roehampton</w:t>
      </w:r>
      <w:r w:rsidR="00490166">
        <w:t>, 1910), 5.</w:t>
      </w:r>
    </w:p>
  </w:footnote>
  <w:footnote w:id="75">
    <w:p w14:paraId="5D4A8809" w14:textId="245320CD" w:rsidR="001F0FAF" w:rsidRDefault="001F0FAF" w:rsidP="001F37DA">
      <w:pPr>
        <w:pStyle w:val="FootnoteText"/>
        <w:ind w:left="720" w:hanging="720"/>
      </w:pPr>
      <w:r>
        <w:rPr>
          <w:rStyle w:val="FootnoteReference"/>
        </w:rPr>
        <w:footnoteRef/>
      </w:r>
      <w:r w:rsidR="008C255E">
        <w:t xml:space="preserve"> International  Anglica</w:t>
      </w:r>
      <w:r w:rsidR="004D611E">
        <w:t>n</w:t>
      </w:r>
      <w:r w:rsidR="00740A44">
        <w:t>-Roman Catholic Commission</w:t>
      </w:r>
      <w:r w:rsidR="00E34EC7">
        <w:t xml:space="preserve"> for Mission and Unity</w:t>
      </w:r>
      <w:r w:rsidR="00844204">
        <w:t xml:space="preserve">  </w:t>
      </w:r>
      <w:r w:rsidR="00326D35">
        <w:rPr>
          <w:i/>
          <w:iCs/>
        </w:rPr>
        <w:t>Statement of Intent</w:t>
      </w:r>
      <w:r w:rsidR="00844204">
        <w:t xml:space="preserve"> </w:t>
      </w:r>
      <w:r w:rsidR="00A72C06">
        <w:t>(2023)</w:t>
      </w:r>
      <w:r w:rsidR="00793FF9">
        <w:t xml:space="preserve"> </w:t>
      </w:r>
      <w:r w:rsidR="0079128B" w:rsidRPr="00793FF9">
        <w:t>&lt;</w:t>
      </w:r>
      <w:hyperlink r:id="rId5" w:history="1">
        <w:r w:rsidR="008E2E95" w:rsidRPr="00793FF9">
          <w:rPr>
            <w:rStyle w:val="Hyperlink"/>
            <w:u w:val="none"/>
          </w:rPr>
          <w:t>https://iarccum.org/2023/wales-roman-catholic-and -anglican-bishops-to-work-co-operatively-for-flintshire-holy-well-site/xxc</w:t>
        </w:r>
      </w:hyperlink>
      <w:r w:rsidR="00F77EC2">
        <w:t xml:space="preserve"> </w:t>
      </w:r>
      <w:r w:rsidR="002916DC">
        <w:t xml:space="preserve">&gt; </w:t>
      </w:r>
      <w:r w:rsidR="00F93FBE">
        <w:t>[accessed 23</w:t>
      </w:r>
      <w:r w:rsidR="00720D55">
        <w:t xml:space="preserve"> </w:t>
      </w:r>
      <w:r w:rsidR="00F93FBE">
        <w:t>April 2024</w:t>
      </w:r>
      <w:r w:rsidR="00121781">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2EC6"/>
    <w:rsid w:val="00000A4D"/>
    <w:rsid w:val="00001555"/>
    <w:rsid w:val="000018F3"/>
    <w:rsid w:val="00005AA5"/>
    <w:rsid w:val="00006257"/>
    <w:rsid w:val="00007CC7"/>
    <w:rsid w:val="00010E95"/>
    <w:rsid w:val="00011ACB"/>
    <w:rsid w:val="000137B1"/>
    <w:rsid w:val="000145E2"/>
    <w:rsid w:val="00014836"/>
    <w:rsid w:val="00015CDC"/>
    <w:rsid w:val="000170F4"/>
    <w:rsid w:val="00017C37"/>
    <w:rsid w:val="00021E5E"/>
    <w:rsid w:val="000222C9"/>
    <w:rsid w:val="000235F8"/>
    <w:rsid w:val="000251D5"/>
    <w:rsid w:val="0002543D"/>
    <w:rsid w:val="0002705F"/>
    <w:rsid w:val="0003281A"/>
    <w:rsid w:val="00034008"/>
    <w:rsid w:val="0003459F"/>
    <w:rsid w:val="0003643B"/>
    <w:rsid w:val="000370D7"/>
    <w:rsid w:val="000406D4"/>
    <w:rsid w:val="00042B48"/>
    <w:rsid w:val="0004348F"/>
    <w:rsid w:val="00044FA8"/>
    <w:rsid w:val="0005023A"/>
    <w:rsid w:val="00050E48"/>
    <w:rsid w:val="00051F46"/>
    <w:rsid w:val="00053D49"/>
    <w:rsid w:val="00054B1B"/>
    <w:rsid w:val="00057501"/>
    <w:rsid w:val="00060754"/>
    <w:rsid w:val="000618D2"/>
    <w:rsid w:val="00062129"/>
    <w:rsid w:val="0006302A"/>
    <w:rsid w:val="0006589B"/>
    <w:rsid w:val="000668ED"/>
    <w:rsid w:val="0007247A"/>
    <w:rsid w:val="00077E41"/>
    <w:rsid w:val="00077EB1"/>
    <w:rsid w:val="00080285"/>
    <w:rsid w:val="00080949"/>
    <w:rsid w:val="00080B79"/>
    <w:rsid w:val="00080C81"/>
    <w:rsid w:val="000811AD"/>
    <w:rsid w:val="00085081"/>
    <w:rsid w:val="00086A8D"/>
    <w:rsid w:val="00087850"/>
    <w:rsid w:val="00091045"/>
    <w:rsid w:val="00091DEA"/>
    <w:rsid w:val="00094E07"/>
    <w:rsid w:val="000953C3"/>
    <w:rsid w:val="000959F7"/>
    <w:rsid w:val="000961AC"/>
    <w:rsid w:val="000962AA"/>
    <w:rsid w:val="00096313"/>
    <w:rsid w:val="0009720F"/>
    <w:rsid w:val="0009722F"/>
    <w:rsid w:val="00097F73"/>
    <w:rsid w:val="00097F9D"/>
    <w:rsid w:val="000A0BAF"/>
    <w:rsid w:val="000A12A2"/>
    <w:rsid w:val="000A13E9"/>
    <w:rsid w:val="000A1C81"/>
    <w:rsid w:val="000A32D7"/>
    <w:rsid w:val="000A51FC"/>
    <w:rsid w:val="000A550C"/>
    <w:rsid w:val="000A5818"/>
    <w:rsid w:val="000B2648"/>
    <w:rsid w:val="000B2B4B"/>
    <w:rsid w:val="000B37D6"/>
    <w:rsid w:val="000B3FA4"/>
    <w:rsid w:val="000B4863"/>
    <w:rsid w:val="000B65BB"/>
    <w:rsid w:val="000B6C42"/>
    <w:rsid w:val="000B6EFF"/>
    <w:rsid w:val="000C42F0"/>
    <w:rsid w:val="000C45BE"/>
    <w:rsid w:val="000C5940"/>
    <w:rsid w:val="000C67AE"/>
    <w:rsid w:val="000D2444"/>
    <w:rsid w:val="000D2551"/>
    <w:rsid w:val="000D2ABF"/>
    <w:rsid w:val="000D355C"/>
    <w:rsid w:val="000D39E6"/>
    <w:rsid w:val="000D6AB6"/>
    <w:rsid w:val="000D7617"/>
    <w:rsid w:val="000E087E"/>
    <w:rsid w:val="000E10EB"/>
    <w:rsid w:val="000E41A1"/>
    <w:rsid w:val="000E5414"/>
    <w:rsid w:val="000E6A6C"/>
    <w:rsid w:val="000E6CBF"/>
    <w:rsid w:val="000F24C5"/>
    <w:rsid w:val="000F2BE4"/>
    <w:rsid w:val="000F350B"/>
    <w:rsid w:val="000F362C"/>
    <w:rsid w:val="000F5E3F"/>
    <w:rsid w:val="000F5FC5"/>
    <w:rsid w:val="000F60DE"/>
    <w:rsid w:val="000F67B6"/>
    <w:rsid w:val="000F7450"/>
    <w:rsid w:val="00100CB6"/>
    <w:rsid w:val="00104C50"/>
    <w:rsid w:val="00105678"/>
    <w:rsid w:val="00105EB9"/>
    <w:rsid w:val="0010743D"/>
    <w:rsid w:val="00111177"/>
    <w:rsid w:val="001116E4"/>
    <w:rsid w:val="001124FA"/>
    <w:rsid w:val="001135D1"/>
    <w:rsid w:val="00113C5E"/>
    <w:rsid w:val="0011775A"/>
    <w:rsid w:val="00117A9D"/>
    <w:rsid w:val="00121781"/>
    <w:rsid w:val="001236E8"/>
    <w:rsid w:val="00123EE8"/>
    <w:rsid w:val="00124B14"/>
    <w:rsid w:val="001252C0"/>
    <w:rsid w:val="001310C3"/>
    <w:rsid w:val="001314F1"/>
    <w:rsid w:val="001317B4"/>
    <w:rsid w:val="00131D98"/>
    <w:rsid w:val="00132CDE"/>
    <w:rsid w:val="001336A3"/>
    <w:rsid w:val="00136859"/>
    <w:rsid w:val="0014064C"/>
    <w:rsid w:val="00142091"/>
    <w:rsid w:val="001420D9"/>
    <w:rsid w:val="0014343E"/>
    <w:rsid w:val="00144013"/>
    <w:rsid w:val="0015022A"/>
    <w:rsid w:val="00152964"/>
    <w:rsid w:val="00154C03"/>
    <w:rsid w:val="00155047"/>
    <w:rsid w:val="0015596A"/>
    <w:rsid w:val="00156D84"/>
    <w:rsid w:val="0016115E"/>
    <w:rsid w:val="00162F26"/>
    <w:rsid w:val="0016420C"/>
    <w:rsid w:val="00164A1B"/>
    <w:rsid w:val="00165F96"/>
    <w:rsid w:val="001661D2"/>
    <w:rsid w:val="00166354"/>
    <w:rsid w:val="00166CC4"/>
    <w:rsid w:val="00166F6C"/>
    <w:rsid w:val="0016733A"/>
    <w:rsid w:val="00171903"/>
    <w:rsid w:val="00174308"/>
    <w:rsid w:val="00174820"/>
    <w:rsid w:val="00176031"/>
    <w:rsid w:val="0017674E"/>
    <w:rsid w:val="0017786F"/>
    <w:rsid w:val="00180162"/>
    <w:rsid w:val="00180B10"/>
    <w:rsid w:val="00181637"/>
    <w:rsid w:val="0018215F"/>
    <w:rsid w:val="001824B4"/>
    <w:rsid w:val="00183028"/>
    <w:rsid w:val="00183685"/>
    <w:rsid w:val="00184AAC"/>
    <w:rsid w:val="00185D19"/>
    <w:rsid w:val="00185F6F"/>
    <w:rsid w:val="00186353"/>
    <w:rsid w:val="0018675D"/>
    <w:rsid w:val="0018679A"/>
    <w:rsid w:val="001903D5"/>
    <w:rsid w:val="00192A0C"/>
    <w:rsid w:val="0019589A"/>
    <w:rsid w:val="00196993"/>
    <w:rsid w:val="00197808"/>
    <w:rsid w:val="001A0A72"/>
    <w:rsid w:val="001A0E68"/>
    <w:rsid w:val="001A257D"/>
    <w:rsid w:val="001A3C9C"/>
    <w:rsid w:val="001A5F06"/>
    <w:rsid w:val="001A736F"/>
    <w:rsid w:val="001B0B05"/>
    <w:rsid w:val="001B29E5"/>
    <w:rsid w:val="001B2B79"/>
    <w:rsid w:val="001B3C56"/>
    <w:rsid w:val="001B5B41"/>
    <w:rsid w:val="001B6924"/>
    <w:rsid w:val="001B6FD3"/>
    <w:rsid w:val="001B7D22"/>
    <w:rsid w:val="001C1262"/>
    <w:rsid w:val="001C2B8B"/>
    <w:rsid w:val="001C43CE"/>
    <w:rsid w:val="001C52E1"/>
    <w:rsid w:val="001C6BE4"/>
    <w:rsid w:val="001C7F39"/>
    <w:rsid w:val="001D0694"/>
    <w:rsid w:val="001D196D"/>
    <w:rsid w:val="001D2168"/>
    <w:rsid w:val="001D2B5A"/>
    <w:rsid w:val="001D336D"/>
    <w:rsid w:val="001D402C"/>
    <w:rsid w:val="001D4BB0"/>
    <w:rsid w:val="001D5BD6"/>
    <w:rsid w:val="001D6E47"/>
    <w:rsid w:val="001E1CA7"/>
    <w:rsid w:val="001E292C"/>
    <w:rsid w:val="001E2F81"/>
    <w:rsid w:val="001E57D2"/>
    <w:rsid w:val="001E60E0"/>
    <w:rsid w:val="001E66FD"/>
    <w:rsid w:val="001F0FAF"/>
    <w:rsid w:val="001F3273"/>
    <w:rsid w:val="001F37DA"/>
    <w:rsid w:val="001F452E"/>
    <w:rsid w:val="001F511D"/>
    <w:rsid w:val="00200589"/>
    <w:rsid w:val="00200F3E"/>
    <w:rsid w:val="00202748"/>
    <w:rsid w:val="00203ECE"/>
    <w:rsid w:val="00204622"/>
    <w:rsid w:val="002053A2"/>
    <w:rsid w:val="00205DAB"/>
    <w:rsid w:val="002078A9"/>
    <w:rsid w:val="00211AD4"/>
    <w:rsid w:val="00212238"/>
    <w:rsid w:val="00212896"/>
    <w:rsid w:val="00212CBA"/>
    <w:rsid w:val="00213236"/>
    <w:rsid w:val="00214544"/>
    <w:rsid w:val="00214EDE"/>
    <w:rsid w:val="002151CD"/>
    <w:rsid w:val="00221486"/>
    <w:rsid w:val="002215C2"/>
    <w:rsid w:val="00225623"/>
    <w:rsid w:val="00225D5C"/>
    <w:rsid w:val="002263DA"/>
    <w:rsid w:val="0022796D"/>
    <w:rsid w:val="002301B3"/>
    <w:rsid w:val="002301EA"/>
    <w:rsid w:val="002349A8"/>
    <w:rsid w:val="00234CE4"/>
    <w:rsid w:val="00235721"/>
    <w:rsid w:val="00235BA0"/>
    <w:rsid w:val="002401A8"/>
    <w:rsid w:val="00242A43"/>
    <w:rsid w:val="002430AD"/>
    <w:rsid w:val="00244903"/>
    <w:rsid w:val="00244AAC"/>
    <w:rsid w:val="00244B47"/>
    <w:rsid w:val="002469AF"/>
    <w:rsid w:val="00250A5C"/>
    <w:rsid w:val="002514DD"/>
    <w:rsid w:val="00252D10"/>
    <w:rsid w:val="00252E5A"/>
    <w:rsid w:val="00255BA2"/>
    <w:rsid w:val="00257AFA"/>
    <w:rsid w:val="00260818"/>
    <w:rsid w:val="00261C94"/>
    <w:rsid w:val="00265B46"/>
    <w:rsid w:val="0026668B"/>
    <w:rsid w:val="0026684C"/>
    <w:rsid w:val="00266C7A"/>
    <w:rsid w:val="00272180"/>
    <w:rsid w:val="0027230D"/>
    <w:rsid w:val="00273FB0"/>
    <w:rsid w:val="00277749"/>
    <w:rsid w:val="00281374"/>
    <w:rsid w:val="00281D24"/>
    <w:rsid w:val="0028523C"/>
    <w:rsid w:val="002877BD"/>
    <w:rsid w:val="00287F92"/>
    <w:rsid w:val="00290ACB"/>
    <w:rsid w:val="00290FE0"/>
    <w:rsid w:val="002916DC"/>
    <w:rsid w:val="00291B89"/>
    <w:rsid w:val="0029217C"/>
    <w:rsid w:val="00294806"/>
    <w:rsid w:val="0029657D"/>
    <w:rsid w:val="00296D9F"/>
    <w:rsid w:val="002971DE"/>
    <w:rsid w:val="002A0487"/>
    <w:rsid w:val="002A05C3"/>
    <w:rsid w:val="002A064E"/>
    <w:rsid w:val="002A0B84"/>
    <w:rsid w:val="002A1748"/>
    <w:rsid w:val="002A23CC"/>
    <w:rsid w:val="002A4A4F"/>
    <w:rsid w:val="002A4F6C"/>
    <w:rsid w:val="002B02DE"/>
    <w:rsid w:val="002B0593"/>
    <w:rsid w:val="002B081B"/>
    <w:rsid w:val="002B1C88"/>
    <w:rsid w:val="002B7660"/>
    <w:rsid w:val="002B7720"/>
    <w:rsid w:val="002B7743"/>
    <w:rsid w:val="002C1112"/>
    <w:rsid w:val="002C24BD"/>
    <w:rsid w:val="002C41E6"/>
    <w:rsid w:val="002C4555"/>
    <w:rsid w:val="002C4EE4"/>
    <w:rsid w:val="002C4FBD"/>
    <w:rsid w:val="002C50F1"/>
    <w:rsid w:val="002C71A5"/>
    <w:rsid w:val="002C73CB"/>
    <w:rsid w:val="002D0324"/>
    <w:rsid w:val="002D0E3B"/>
    <w:rsid w:val="002D0EC8"/>
    <w:rsid w:val="002D1F37"/>
    <w:rsid w:val="002D2393"/>
    <w:rsid w:val="002D3290"/>
    <w:rsid w:val="002D3380"/>
    <w:rsid w:val="002D3F26"/>
    <w:rsid w:val="002D50FF"/>
    <w:rsid w:val="002D5E32"/>
    <w:rsid w:val="002E1A9D"/>
    <w:rsid w:val="002E2D61"/>
    <w:rsid w:val="002E350E"/>
    <w:rsid w:val="002E5A51"/>
    <w:rsid w:val="002E61A8"/>
    <w:rsid w:val="002F2023"/>
    <w:rsid w:val="002F2C58"/>
    <w:rsid w:val="002F2E09"/>
    <w:rsid w:val="002F3AA7"/>
    <w:rsid w:val="002F4F88"/>
    <w:rsid w:val="002F62E8"/>
    <w:rsid w:val="002F7804"/>
    <w:rsid w:val="00300D0F"/>
    <w:rsid w:val="0030343D"/>
    <w:rsid w:val="00307C3E"/>
    <w:rsid w:val="003121B5"/>
    <w:rsid w:val="00314B89"/>
    <w:rsid w:val="003154E9"/>
    <w:rsid w:val="00317781"/>
    <w:rsid w:val="00317FE4"/>
    <w:rsid w:val="00320C07"/>
    <w:rsid w:val="003211AD"/>
    <w:rsid w:val="003226B3"/>
    <w:rsid w:val="00322E5E"/>
    <w:rsid w:val="00323786"/>
    <w:rsid w:val="00324AD7"/>
    <w:rsid w:val="00324B4B"/>
    <w:rsid w:val="00326D35"/>
    <w:rsid w:val="00326E41"/>
    <w:rsid w:val="0032769D"/>
    <w:rsid w:val="0033126F"/>
    <w:rsid w:val="00331380"/>
    <w:rsid w:val="00331E37"/>
    <w:rsid w:val="003331CF"/>
    <w:rsid w:val="00334067"/>
    <w:rsid w:val="0033711C"/>
    <w:rsid w:val="00340EF4"/>
    <w:rsid w:val="00342303"/>
    <w:rsid w:val="00342E8B"/>
    <w:rsid w:val="00342F70"/>
    <w:rsid w:val="003431EC"/>
    <w:rsid w:val="00344687"/>
    <w:rsid w:val="00344A33"/>
    <w:rsid w:val="00345A5C"/>
    <w:rsid w:val="003471D8"/>
    <w:rsid w:val="003538AC"/>
    <w:rsid w:val="00355DB7"/>
    <w:rsid w:val="003562C8"/>
    <w:rsid w:val="00356837"/>
    <w:rsid w:val="00356B72"/>
    <w:rsid w:val="003578DB"/>
    <w:rsid w:val="0036097C"/>
    <w:rsid w:val="00361071"/>
    <w:rsid w:val="00361161"/>
    <w:rsid w:val="00366196"/>
    <w:rsid w:val="00366BE6"/>
    <w:rsid w:val="00370ABF"/>
    <w:rsid w:val="00373291"/>
    <w:rsid w:val="00376B91"/>
    <w:rsid w:val="00382AD9"/>
    <w:rsid w:val="00384926"/>
    <w:rsid w:val="00386AC2"/>
    <w:rsid w:val="0039028F"/>
    <w:rsid w:val="003903F4"/>
    <w:rsid w:val="00390C84"/>
    <w:rsid w:val="00395522"/>
    <w:rsid w:val="003A0F22"/>
    <w:rsid w:val="003A1344"/>
    <w:rsid w:val="003A202A"/>
    <w:rsid w:val="003A33FB"/>
    <w:rsid w:val="003A3EC9"/>
    <w:rsid w:val="003A54C7"/>
    <w:rsid w:val="003A5520"/>
    <w:rsid w:val="003B249E"/>
    <w:rsid w:val="003B794D"/>
    <w:rsid w:val="003C1EF6"/>
    <w:rsid w:val="003C28A4"/>
    <w:rsid w:val="003C2DF6"/>
    <w:rsid w:val="003C3DD5"/>
    <w:rsid w:val="003C5920"/>
    <w:rsid w:val="003C666F"/>
    <w:rsid w:val="003C693F"/>
    <w:rsid w:val="003C6D11"/>
    <w:rsid w:val="003C6D5F"/>
    <w:rsid w:val="003C760E"/>
    <w:rsid w:val="003D044C"/>
    <w:rsid w:val="003D25A3"/>
    <w:rsid w:val="003D2C64"/>
    <w:rsid w:val="003D3B2D"/>
    <w:rsid w:val="003D7EE3"/>
    <w:rsid w:val="003E001A"/>
    <w:rsid w:val="003E3A2F"/>
    <w:rsid w:val="003E3C83"/>
    <w:rsid w:val="003E4337"/>
    <w:rsid w:val="003E6100"/>
    <w:rsid w:val="003E7C4D"/>
    <w:rsid w:val="003F0BBF"/>
    <w:rsid w:val="003F3559"/>
    <w:rsid w:val="003F611F"/>
    <w:rsid w:val="004017CE"/>
    <w:rsid w:val="00407081"/>
    <w:rsid w:val="00407D88"/>
    <w:rsid w:val="004103F3"/>
    <w:rsid w:val="0041121D"/>
    <w:rsid w:val="00411A7C"/>
    <w:rsid w:val="00411ECA"/>
    <w:rsid w:val="0041268E"/>
    <w:rsid w:val="00416DED"/>
    <w:rsid w:val="004201CC"/>
    <w:rsid w:val="0042214F"/>
    <w:rsid w:val="00425E56"/>
    <w:rsid w:val="00426188"/>
    <w:rsid w:val="00426E1F"/>
    <w:rsid w:val="00430600"/>
    <w:rsid w:val="004309DC"/>
    <w:rsid w:val="00431EA9"/>
    <w:rsid w:val="0043219D"/>
    <w:rsid w:val="004324F4"/>
    <w:rsid w:val="00437CF1"/>
    <w:rsid w:val="004415A5"/>
    <w:rsid w:val="00441D44"/>
    <w:rsid w:val="0044675E"/>
    <w:rsid w:val="004467FD"/>
    <w:rsid w:val="004468AF"/>
    <w:rsid w:val="0045129C"/>
    <w:rsid w:val="00451A7D"/>
    <w:rsid w:val="00451F05"/>
    <w:rsid w:val="00452F94"/>
    <w:rsid w:val="00454A0F"/>
    <w:rsid w:val="0045574B"/>
    <w:rsid w:val="004563E4"/>
    <w:rsid w:val="00460BC4"/>
    <w:rsid w:val="004627B4"/>
    <w:rsid w:val="004648DE"/>
    <w:rsid w:val="00464EC4"/>
    <w:rsid w:val="00465445"/>
    <w:rsid w:val="004660C7"/>
    <w:rsid w:val="00466649"/>
    <w:rsid w:val="004677ED"/>
    <w:rsid w:val="00470552"/>
    <w:rsid w:val="00470789"/>
    <w:rsid w:val="004713F3"/>
    <w:rsid w:val="004721FB"/>
    <w:rsid w:val="00475180"/>
    <w:rsid w:val="00475A24"/>
    <w:rsid w:val="00480E96"/>
    <w:rsid w:val="00481202"/>
    <w:rsid w:val="00482AA5"/>
    <w:rsid w:val="004857E5"/>
    <w:rsid w:val="00490166"/>
    <w:rsid w:val="004924F9"/>
    <w:rsid w:val="00495089"/>
    <w:rsid w:val="004958A3"/>
    <w:rsid w:val="00495A03"/>
    <w:rsid w:val="00495E5B"/>
    <w:rsid w:val="00496242"/>
    <w:rsid w:val="004976B4"/>
    <w:rsid w:val="004A098E"/>
    <w:rsid w:val="004A2BE3"/>
    <w:rsid w:val="004A3345"/>
    <w:rsid w:val="004A533C"/>
    <w:rsid w:val="004A5979"/>
    <w:rsid w:val="004A5F13"/>
    <w:rsid w:val="004B2EC6"/>
    <w:rsid w:val="004B5EAB"/>
    <w:rsid w:val="004B74B7"/>
    <w:rsid w:val="004C2B2E"/>
    <w:rsid w:val="004C4959"/>
    <w:rsid w:val="004C6BE5"/>
    <w:rsid w:val="004C714F"/>
    <w:rsid w:val="004C73B4"/>
    <w:rsid w:val="004D29A8"/>
    <w:rsid w:val="004D2EF4"/>
    <w:rsid w:val="004D31BB"/>
    <w:rsid w:val="004D3BF6"/>
    <w:rsid w:val="004D4574"/>
    <w:rsid w:val="004D611E"/>
    <w:rsid w:val="004D64E0"/>
    <w:rsid w:val="004D7E7E"/>
    <w:rsid w:val="004E4F08"/>
    <w:rsid w:val="004E6738"/>
    <w:rsid w:val="004E6FF3"/>
    <w:rsid w:val="004E741A"/>
    <w:rsid w:val="004E771A"/>
    <w:rsid w:val="004E7F57"/>
    <w:rsid w:val="004F3CDD"/>
    <w:rsid w:val="004F3EC0"/>
    <w:rsid w:val="004F4793"/>
    <w:rsid w:val="004F487B"/>
    <w:rsid w:val="004F59E2"/>
    <w:rsid w:val="004F7843"/>
    <w:rsid w:val="004F7A7E"/>
    <w:rsid w:val="005000A7"/>
    <w:rsid w:val="005000EE"/>
    <w:rsid w:val="005006AA"/>
    <w:rsid w:val="00503F6C"/>
    <w:rsid w:val="0050708A"/>
    <w:rsid w:val="005115B5"/>
    <w:rsid w:val="00515658"/>
    <w:rsid w:val="005173A7"/>
    <w:rsid w:val="0052220C"/>
    <w:rsid w:val="00524FC5"/>
    <w:rsid w:val="005252B4"/>
    <w:rsid w:val="0053274F"/>
    <w:rsid w:val="00533F41"/>
    <w:rsid w:val="00535483"/>
    <w:rsid w:val="00536BF8"/>
    <w:rsid w:val="00536E90"/>
    <w:rsid w:val="00537F45"/>
    <w:rsid w:val="00540E21"/>
    <w:rsid w:val="00541E05"/>
    <w:rsid w:val="00543639"/>
    <w:rsid w:val="00543EF2"/>
    <w:rsid w:val="00544377"/>
    <w:rsid w:val="005449C3"/>
    <w:rsid w:val="0054591E"/>
    <w:rsid w:val="00546FA3"/>
    <w:rsid w:val="00550D4E"/>
    <w:rsid w:val="00550F81"/>
    <w:rsid w:val="005511DE"/>
    <w:rsid w:val="005524FF"/>
    <w:rsid w:val="00552FC6"/>
    <w:rsid w:val="0055482B"/>
    <w:rsid w:val="00555C77"/>
    <w:rsid w:val="00556021"/>
    <w:rsid w:val="00560C6C"/>
    <w:rsid w:val="00561DB6"/>
    <w:rsid w:val="005620CE"/>
    <w:rsid w:val="00562295"/>
    <w:rsid w:val="00563D32"/>
    <w:rsid w:val="0056515D"/>
    <w:rsid w:val="005656A2"/>
    <w:rsid w:val="00565F8A"/>
    <w:rsid w:val="00565FF0"/>
    <w:rsid w:val="00566A36"/>
    <w:rsid w:val="00567DFA"/>
    <w:rsid w:val="00570126"/>
    <w:rsid w:val="0057099B"/>
    <w:rsid w:val="00573B09"/>
    <w:rsid w:val="00574690"/>
    <w:rsid w:val="00576254"/>
    <w:rsid w:val="00581BDA"/>
    <w:rsid w:val="00581D1B"/>
    <w:rsid w:val="00581FE8"/>
    <w:rsid w:val="00582364"/>
    <w:rsid w:val="00583F9B"/>
    <w:rsid w:val="0058465F"/>
    <w:rsid w:val="00584AAA"/>
    <w:rsid w:val="00585DE2"/>
    <w:rsid w:val="0059077F"/>
    <w:rsid w:val="00590806"/>
    <w:rsid w:val="005924D4"/>
    <w:rsid w:val="00592B44"/>
    <w:rsid w:val="00593807"/>
    <w:rsid w:val="00593B20"/>
    <w:rsid w:val="00596C20"/>
    <w:rsid w:val="00597415"/>
    <w:rsid w:val="00597520"/>
    <w:rsid w:val="005A1F03"/>
    <w:rsid w:val="005A2F00"/>
    <w:rsid w:val="005A40B1"/>
    <w:rsid w:val="005A4D12"/>
    <w:rsid w:val="005A4D62"/>
    <w:rsid w:val="005A4ED4"/>
    <w:rsid w:val="005A4FB6"/>
    <w:rsid w:val="005A7650"/>
    <w:rsid w:val="005B2CB5"/>
    <w:rsid w:val="005B4E92"/>
    <w:rsid w:val="005B672E"/>
    <w:rsid w:val="005B6FF6"/>
    <w:rsid w:val="005C1348"/>
    <w:rsid w:val="005C27F2"/>
    <w:rsid w:val="005C58BA"/>
    <w:rsid w:val="005C6E59"/>
    <w:rsid w:val="005C7CF5"/>
    <w:rsid w:val="005C7D40"/>
    <w:rsid w:val="005D0E2A"/>
    <w:rsid w:val="005D23B8"/>
    <w:rsid w:val="005D2606"/>
    <w:rsid w:val="005D3512"/>
    <w:rsid w:val="005D40DF"/>
    <w:rsid w:val="005D784B"/>
    <w:rsid w:val="005D799B"/>
    <w:rsid w:val="005E11B9"/>
    <w:rsid w:val="005E420C"/>
    <w:rsid w:val="005E6570"/>
    <w:rsid w:val="005F1F30"/>
    <w:rsid w:val="005F2AE2"/>
    <w:rsid w:val="005F2BBB"/>
    <w:rsid w:val="005F34E0"/>
    <w:rsid w:val="005F4BB7"/>
    <w:rsid w:val="005F55E5"/>
    <w:rsid w:val="006001A5"/>
    <w:rsid w:val="006011AB"/>
    <w:rsid w:val="00602CE5"/>
    <w:rsid w:val="00604E90"/>
    <w:rsid w:val="0060763B"/>
    <w:rsid w:val="006102A6"/>
    <w:rsid w:val="00611307"/>
    <w:rsid w:val="006131E8"/>
    <w:rsid w:val="00613852"/>
    <w:rsid w:val="00613956"/>
    <w:rsid w:val="00614BD3"/>
    <w:rsid w:val="0061655D"/>
    <w:rsid w:val="006177F8"/>
    <w:rsid w:val="00620302"/>
    <w:rsid w:val="006236A3"/>
    <w:rsid w:val="00630185"/>
    <w:rsid w:val="006309BB"/>
    <w:rsid w:val="006309DD"/>
    <w:rsid w:val="00630E1E"/>
    <w:rsid w:val="00632058"/>
    <w:rsid w:val="006326B8"/>
    <w:rsid w:val="006338EC"/>
    <w:rsid w:val="00633A09"/>
    <w:rsid w:val="006347F9"/>
    <w:rsid w:val="00637815"/>
    <w:rsid w:val="00642460"/>
    <w:rsid w:val="0064263F"/>
    <w:rsid w:val="00645645"/>
    <w:rsid w:val="00646434"/>
    <w:rsid w:val="00646ECE"/>
    <w:rsid w:val="00647C25"/>
    <w:rsid w:val="0065082E"/>
    <w:rsid w:val="0065427F"/>
    <w:rsid w:val="00654692"/>
    <w:rsid w:val="0065622C"/>
    <w:rsid w:val="0065645A"/>
    <w:rsid w:val="00657275"/>
    <w:rsid w:val="006578B5"/>
    <w:rsid w:val="00661DF7"/>
    <w:rsid w:val="00662522"/>
    <w:rsid w:val="00662A77"/>
    <w:rsid w:val="00663172"/>
    <w:rsid w:val="00664786"/>
    <w:rsid w:val="00665B04"/>
    <w:rsid w:val="0066765B"/>
    <w:rsid w:val="00667C45"/>
    <w:rsid w:val="00670242"/>
    <w:rsid w:val="006718D1"/>
    <w:rsid w:val="00671FB5"/>
    <w:rsid w:val="00673864"/>
    <w:rsid w:val="0067433F"/>
    <w:rsid w:val="00675D79"/>
    <w:rsid w:val="0067716C"/>
    <w:rsid w:val="00677BC2"/>
    <w:rsid w:val="006834EA"/>
    <w:rsid w:val="00685621"/>
    <w:rsid w:val="00690CB9"/>
    <w:rsid w:val="00690FFC"/>
    <w:rsid w:val="0069245C"/>
    <w:rsid w:val="006929BB"/>
    <w:rsid w:val="0069432D"/>
    <w:rsid w:val="00694464"/>
    <w:rsid w:val="006A098A"/>
    <w:rsid w:val="006A102D"/>
    <w:rsid w:val="006A2861"/>
    <w:rsid w:val="006A35A2"/>
    <w:rsid w:val="006A4AC7"/>
    <w:rsid w:val="006A4EA6"/>
    <w:rsid w:val="006A5A62"/>
    <w:rsid w:val="006A69E5"/>
    <w:rsid w:val="006A6C67"/>
    <w:rsid w:val="006B111D"/>
    <w:rsid w:val="006B2694"/>
    <w:rsid w:val="006B2A3C"/>
    <w:rsid w:val="006B2F76"/>
    <w:rsid w:val="006B3081"/>
    <w:rsid w:val="006B4BB3"/>
    <w:rsid w:val="006B4CD0"/>
    <w:rsid w:val="006B7D71"/>
    <w:rsid w:val="006C093B"/>
    <w:rsid w:val="006C09AF"/>
    <w:rsid w:val="006C0AC0"/>
    <w:rsid w:val="006C0E1A"/>
    <w:rsid w:val="006C23E1"/>
    <w:rsid w:val="006C3A07"/>
    <w:rsid w:val="006C5D01"/>
    <w:rsid w:val="006C70EB"/>
    <w:rsid w:val="006D0A00"/>
    <w:rsid w:val="006D190B"/>
    <w:rsid w:val="006D1E6A"/>
    <w:rsid w:val="006D1F57"/>
    <w:rsid w:val="006D4580"/>
    <w:rsid w:val="006D47D3"/>
    <w:rsid w:val="006E0328"/>
    <w:rsid w:val="006E041A"/>
    <w:rsid w:val="006E39FD"/>
    <w:rsid w:val="006E3DB9"/>
    <w:rsid w:val="006E4B3E"/>
    <w:rsid w:val="006F2953"/>
    <w:rsid w:val="006F326F"/>
    <w:rsid w:val="006F57A9"/>
    <w:rsid w:val="006F7213"/>
    <w:rsid w:val="006F76E6"/>
    <w:rsid w:val="007008AB"/>
    <w:rsid w:val="00700A4D"/>
    <w:rsid w:val="00700FB7"/>
    <w:rsid w:val="007024BB"/>
    <w:rsid w:val="00706AF8"/>
    <w:rsid w:val="00706FA4"/>
    <w:rsid w:val="00707071"/>
    <w:rsid w:val="00707A0C"/>
    <w:rsid w:val="00710C92"/>
    <w:rsid w:val="007115BD"/>
    <w:rsid w:val="00712B4E"/>
    <w:rsid w:val="00713183"/>
    <w:rsid w:val="00713A4F"/>
    <w:rsid w:val="00713FF5"/>
    <w:rsid w:val="00714D17"/>
    <w:rsid w:val="00715479"/>
    <w:rsid w:val="00715B8A"/>
    <w:rsid w:val="00715CD7"/>
    <w:rsid w:val="00717D74"/>
    <w:rsid w:val="00720D55"/>
    <w:rsid w:val="007218F0"/>
    <w:rsid w:val="0072599D"/>
    <w:rsid w:val="00725AC4"/>
    <w:rsid w:val="00725F06"/>
    <w:rsid w:val="007263D5"/>
    <w:rsid w:val="00726D07"/>
    <w:rsid w:val="00727E5B"/>
    <w:rsid w:val="007321A8"/>
    <w:rsid w:val="0073268D"/>
    <w:rsid w:val="0073291D"/>
    <w:rsid w:val="00732AD8"/>
    <w:rsid w:val="0073486B"/>
    <w:rsid w:val="00735BCC"/>
    <w:rsid w:val="00740641"/>
    <w:rsid w:val="007407CA"/>
    <w:rsid w:val="00740A44"/>
    <w:rsid w:val="007440CF"/>
    <w:rsid w:val="0074729A"/>
    <w:rsid w:val="0075170E"/>
    <w:rsid w:val="00753D47"/>
    <w:rsid w:val="00755479"/>
    <w:rsid w:val="00756170"/>
    <w:rsid w:val="007568F7"/>
    <w:rsid w:val="00757968"/>
    <w:rsid w:val="00757D62"/>
    <w:rsid w:val="0076069E"/>
    <w:rsid w:val="00763896"/>
    <w:rsid w:val="0076433A"/>
    <w:rsid w:val="00765D62"/>
    <w:rsid w:val="0076648A"/>
    <w:rsid w:val="007715CE"/>
    <w:rsid w:val="0077187A"/>
    <w:rsid w:val="007743B0"/>
    <w:rsid w:val="00774A10"/>
    <w:rsid w:val="0077581C"/>
    <w:rsid w:val="007774EA"/>
    <w:rsid w:val="00777725"/>
    <w:rsid w:val="00777F67"/>
    <w:rsid w:val="00782D94"/>
    <w:rsid w:val="00783566"/>
    <w:rsid w:val="0078640B"/>
    <w:rsid w:val="00786B72"/>
    <w:rsid w:val="0078750C"/>
    <w:rsid w:val="00787FEE"/>
    <w:rsid w:val="007904CE"/>
    <w:rsid w:val="00790BFB"/>
    <w:rsid w:val="0079128B"/>
    <w:rsid w:val="00791ABF"/>
    <w:rsid w:val="00791ED3"/>
    <w:rsid w:val="00792B6A"/>
    <w:rsid w:val="00793DC0"/>
    <w:rsid w:val="00793FF9"/>
    <w:rsid w:val="0079510B"/>
    <w:rsid w:val="007954C1"/>
    <w:rsid w:val="0079674F"/>
    <w:rsid w:val="0079676D"/>
    <w:rsid w:val="007A5914"/>
    <w:rsid w:val="007A6D17"/>
    <w:rsid w:val="007B28A3"/>
    <w:rsid w:val="007B337B"/>
    <w:rsid w:val="007B38D2"/>
    <w:rsid w:val="007B3A3B"/>
    <w:rsid w:val="007B522D"/>
    <w:rsid w:val="007B739D"/>
    <w:rsid w:val="007B75FD"/>
    <w:rsid w:val="007B7CEC"/>
    <w:rsid w:val="007C1A38"/>
    <w:rsid w:val="007C1F39"/>
    <w:rsid w:val="007C35FD"/>
    <w:rsid w:val="007C45AB"/>
    <w:rsid w:val="007C4A58"/>
    <w:rsid w:val="007C5DAE"/>
    <w:rsid w:val="007C6F0F"/>
    <w:rsid w:val="007C7A46"/>
    <w:rsid w:val="007D3A07"/>
    <w:rsid w:val="007D3EB9"/>
    <w:rsid w:val="007D40A6"/>
    <w:rsid w:val="007D43C2"/>
    <w:rsid w:val="007D479C"/>
    <w:rsid w:val="007D5974"/>
    <w:rsid w:val="007D74AF"/>
    <w:rsid w:val="007E1A8C"/>
    <w:rsid w:val="007E2B00"/>
    <w:rsid w:val="007E3B94"/>
    <w:rsid w:val="007E41EC"/>
    <w:rsid w:val="007E4456"/>
    <w:rsid w:val="007E5A36"/>
    <w:rsid w:val="007E6592"/>
    <w:rsid w:val="007E766B"/>
    <w:rsid w:val="007E77B5"/>
    <w:rsid w:val="007E7F73"/>
    <w:rsid w:val="007F08C6"/>
    <w:rsid w:val="007F0CD8"/>
    <w:rsid w:val="007F0F72"/>
    <w:rsid w:val="007F243E"/>
    <w:rsid w:val="007F45BB"/>
    <w:rsid w:val="007F4943"/>
    <w:rsid w:val="007F785F"/>
    <w:rsid w:val="00800960"/>
    <w:rsid w:val="008018A4"/>
    <w:rsid w:val="00802933"/>
    <w:rsid w:val="00804C10"/>
    <w:rsid w:val="008053F0"/>
    <w:rsid w:val="008103D3"/>
    <w:rsid w:val="00811323"/>
    <w:rsid w:val="008121F2"/>
    <w:rsid w:val="00812D35"/>
    <w:rsid w:val="00812E1E"/>
    <w:rsid w:val="008151C3"/>
    <w:rsid w:val="00816F43"/>
    <w:rsid w:val="00820946"/>
    <w:rsid w:val="008223E7"/>
    <w:rsid w:val="00822CA8"/>
    <w:rsid w:val="00826792"/>
    <w:rsid w:val="00830AE9"/>
    <w:rsid w:val="00833068"/>
    <w:rsid w:val="008331AA"/>
    <w:rsid w:val="008335F9"/>
    <w:rsid w:val="008350B2"/>
    <w:rsid w:val="00840A76"/>
    <w:rsid w:val="008412B4"/>
    <w:rsid w:val="00841564"/>
    <w:rsid w:val="00841FAD"/>
    <w:rsid w:val="00842E13"/>
    <w:rsid w:val="00844204"/>
    <w:rsid w:val="008457B1"/>
    <w:rsid w:val="008463B7"/>
    <w:rsid w:val="008466BA"/>
    <w:rsid w:val="008468B5"/>
    <w:rsid w:val="00847029"/>
    <w:rsid w:val="008473C8"/>
    <w:rsid w:val="00850D9F"/>
    <w:rsid w:val="008516DD"/>
    <w:rsid w:val="0085232B"/>
    <w:rsid w:val="008560E0"/>
    <w:rsid w:val="00856A73"/>
    <w:rsid w:val="00857B3B"/>
    <w:rsid w:val="00860663"/>
    <w:rsid w:val="00861002"/>
    <w:rsid w:val="00863F2F"/>
    <w:rsid w:val="00864714"/>
    <w:rsid w:val="00864C7B"/>
    <w:rsid w:val="00865AD4"/>
    <w:rsid w:val="008717D6"/>
    <w:rsid w:val="00871823"/>
    <w:rsid w:val="00872E06"/>
    <w:rsid w:val="00874659"/>
    <w:rsid w:val="00875C53"/>
    <w:rsid w:val="00877AAB"/>
    <w:rsid w:val="00880542"/>
    <w:rsid w:val="00881106"/>
    <w:rsid w:val="00883A78"/>
    <w:rsid w:val="00883F8E"/>
    <w:rsid w:val="00884BDD"/>
    <w:rsid w:val="00885164"/>
    <w:rsid w:val="008855B1"/>
    <w:rsid w:val="00886589"/>
    <w:rsid w:val="0088676A"/>
    <w:rsid w:val="00891B2B"/>
    <w:rsid w:val="008921F8"/>
    <w:rsid w:val="00895DC4"/>
    <w:rsid w:val="00896671"/>
    <w:rsid w:val="00896AF6"/>
    <w:rsid w:val="008974CB"/>
    <w:rsid w:val="008A2D4C"/>
    <w:rsid w:val="008A3B3D"/>
    <w:rsid w:val="008A4597"/>
    <w:rsid w:val="008A46D2"/>
    <w:rsid w:val="008A503D"/>
    <w:rsid w:val="008B2A7B"/>
    <w:rsid w:val="008B2D4C"/>
    <w:rsid w:val="008B35F4"/>
    <w:rsid w:val="008B703A"/>
    <w:rsid w:val="008B791B"/>
    <w:rsid w:val="008B7A50"/>
    <w:rsid w:val="008C1724"/>
    <w:rsid w:val="008C255E"/>
    <w:rsid w:val="008C335D"/>
    <w:rsid w:val="008C346F"/>
    <w:rsid w:val="008C3660"/>
    <w:rsid w:val="008C531A"/>
    <w:rsid w:val="008C712A"/>
    <w:rsid w:val="008D3E69"/>
    <w:rsid w:val="008D400B"/>
    <w:rsid w:val="008D5C5F"/>
    <w:rsid w:val="008E1747"/>
    <w:rsid w:val="008E273C"/>
    <w:rsid w:val="008E2E95"/>
    <w:rsid w:val="008E4B3E"/>
    <w:rsid w:val="008E5C5F"/>
    <w:rsid w:val="008E721C"/>
    <w:rsid w:val="008E74A2"/>
    <w:rsid w:val="008E7E15"/>
    <w:rsid w:val="008F0D08"/>
    <w:rsid w:val="008F48DC"/>
    <w:rsid w:val="008F55DF"/>
    <w:rsid w:val="008F5D5D"/>
    <w:rsid w:val="008F717B"/>
    <w:rsid w:val="008F7E01"/>
    <w:rsid w:val="0090068D"/>
    <w:rsid w:val="00904958"/>
    <w:rsid w:val="009050CF"/>
    <w:rsid w:val="00905ADD"/>
    <w:rsid w:val="00906A74"/>
    <w:rsid w:val="00907404"/>
    <w:rsid w:val="00912DC7"/>
    <w:rsid w:val="00912F3C"/>
    <w:rsid w:val="00913053"/>
    <w:rsid w:val="0091756F"/>
    <w:rsid w:val="00917620"/>
    <w:rsid w:val="00920441"/>
    <w:rsid w:val="00920981"/>
    <w:rsid w:val="00921905"/>
    <w:rsid w:val="00923443"/>
    <w:rsid w:val="009254CB"/>
    <w:rsid w:val="009274C7"/>
    <w:rsid w:val="00930C62"/>
    <w:rsid w:val="009314DE"/>
    <w:rsid w:val="009328C4"/>
    <w:rsid w:val="00935AD0"/>
    <w:rsid w:val="00937552"/>
    <w:rsid w:val="00941840"/>
    <w:rsid w:val="009418E4"/>
    <w:rsid w:val="009421BC"/>
    <w:rsid w:val="0094284A"/>
    <w:rsid w:val="00945444"/>
    <w:rsid w:val="00945665"/>
    <w:rsid w:val="0095038F"/>
    <w:rsid w:val="0095207B"/>
    <w:rsid w:val="009529AC"/>
    <w:rsid w:val="00953691"/>
    <w:rsid w:val="009543A7"/>
    <w:rsid w:val="00954AB4"/>
    <w:rsid w:val="00955EB2"/>
    <w:rsid w:val="009650F1"/>
    <w:rsid w:val="009653F4"/>
    <w:rsid w:val="00965EEC"/>
    <w:rsid w:val="00966920"/>
    <w:rsid w:val="00970A3A"/>
    <w:rsid w:val="00970DAA"/>
    <w:rsid w:val="009723C5"/>
    <w:rsid w:val="009737B4"/>
    <w:rsid w:val="009740F9"/>
    <w:rsid w:val="00975489"/>
    <w:rsid w:val="009757FF"/>
    <w:rsid w:val="00975C17"/>
    <w:rsid w:val="00976705"/>
    <w:rsid w:val="009778AC"/>
    <w:rsid w:val="00977993"/>
    <w:rsid w:val="00981014"/>
    <w:rsid w:val="0098147B"/>
    <w:rsid w:val="0098204F"/>
    <w:rsid w:val="009821B5"/>
    <w:rsid w:val="009836B0"/>
    <w:rsid w:val="00983D8A"/>
    <w:rsid w:val="0098519C"/>
    <w:rsid w:val="00985CA2"/>
    <w:rsid w:val="00991FB1"/>
    <w:rsid w:val="009926B8"/>
    <w:rsid w:val="00993BF4"/>
    <w:rsid w:val="009952D0"/>
    <w:rsid w:val="009961D9"/>
    <w:rsid w:val="00996855"/>
    <w:rsid w:val="009976B4"/>
    <w:rsid w:val="009977EE"/>
    <w:rsid w:val="009A2AD7"/>
    <w:rsid w:val="009A36B0"/>
    <w:rsid w:val="009A3EA7"/>
    <w:rsid w:val="009A4089"/>
    <w:rsid w:val="009A53A3"/>
    <w:rsid w:val="009A6558"/>
    <w:rsid w:val="009A73A6"/>
    <w:rsid w:val="009B016D"/>
    <w:rsid w:val="009B1245"/>
    <w:rsid w:val="009B4C02"/>
    <w:rsid w:val="009B72B9"/>
    <w:rsid w:val="009B7329"/>
    <w:rsid w:val="009C12DD"/>
    <w:rsid w:val="009C2862"/>
    <w:rsid w:val="009C34ED"/>
    <w:rsid w:val="009C48F0"/>
    <w:rsid w:val="009C6C3D"/>
    <w:rsid w:val="009D032A"/>
    <w:rsid w:val="009D1A54"/>
    <w:rsid w:val="009D1DAC"/>
    <w:rsid w:val="009D35BA"/>
    <w:rsid w:val="009D3D1A"/>
    <w:rsid w:val="009D44AF"/>
    <w:rsid w:val="009D697D"/>
    <w:rsid w:val="009E00F4"/>
    <w:rsid w:val="009E33E2"/>
    <w:rsid w:val="009E3999"/>
    <w:rsid w:val="009E5B1C"/>
    <w:rsid w:val="009E5CF5"/>
    <w:rsid w:val="009F111D"/>
    <w:rsid w:val="009F1334"/>
    <w:rsid w:val="009F2B45"/>
    <w:rsid w:val="009F38A3"/>
    <w:rsid w:val="009F4A01"/>
    <w:rsid w:val="009F6CB0"/>
    <w:rsid w:val="00A01037"/>
    <w:rsid w:val="00A02891"/>
    <w:rsid w:val="00A02D18"/>
    <w:rsid w:val="00A05102"/>
    <w:rsid w:val="00A07AF9"/>
    <w:rsid w:val="00A07BF7"/>
    <w:rsid w:val="00A137B1"/>
    <w:rsid w:val="00A1567E"/>
    <w:rsid w:val="00A2034E"/>
    <w:rsid w:val="00A21D72"/>
    <w:rsid w:val="00A225CB"/>
    <w:rsid w:val="00A26969"/>
    <w:rsid w:val="00A2731F"/>
    <w:rsid w:val="00A276F9"/>
    <w:rsid w:val="00A30578"/>
    <w:rsid w:val="00A316DA"/>
    <w:rsid w:val="00A31F6D"/>
    <w:rsid w:val="00A321C6"/>
    <w:rsid w:val="00A32F6F"/>
    <w:rsid w:val="00A33489"/>
    <w:rsid w:val="00A341F8"/>
    <w:rsid w:val="00A36E01"/>
    <w:rsid w:val="00A451D6"/>
    <w:rsid w:val="00A452FF"/>
    <w:rsid w:val="00A4572D"/>
    <w:rsid w:val="00A463B0"/>
    <w:rsid w:val="00A47A8C"/>
    <w:rsid w:val="00A5051D"/>
    <w:rsid w:val="00A5168A"/>
    <w:rsid w:val="00A51E60"/>
    <w:rsid w:val="00A52B9F"/>
    <w:rsid w:val="00A52D6C"/>
    <w:rsid w:val="00A559FA"/>
    <w:rsid w:val="00A56243"/>
    <w:rsid w:val="00A568CA"/>
    <w:rsid w:val="00A60179"/>
    <w:rsid w:val="00A606B5"/>
    <w:rsid w:val="00A61201"/>
    <w:rsid w:val="00A62D74"/>
    <w:rsid w:val="00A62FB3"/>
    <w:rsid w:val="00A6342C"/>
    <w:rsid w:val="00A648E9"/>
    <w:rsid w:val="00A64C4F"/>
    <w:rsid w:val="00A64EBF"/>
    <w:rsid w:val="00A6554A"/>
    <w:rsid w:val="00A659F9"/>
    <w:rsid w:val="00A66B8B"/>
    <w:rsid w:val="00A70B62"/>
    <w:rsid w:val="00A71784"/>
    <w:rsid w:val="00A72C06"/>
    <w:rsid w:val="00A74D0E"/>
    <w:rsid w:val="00A76046"/>
    <w:rsid w:val="00A76487"/>
    <w:rsid w:val="00A76F39"/>
    <w:rsid w:val="00A7757C"/>
    <w:rsid w:val="00A77693"/>
    <w:rsid w:val="00A7795E"/>
    <w:rsid w:val="00A77A45"/>
    <w:rsid w:val="00A808F1"/>
    <w:rsid w:val="00A812CD"/>
    <w:rsid w:val="00A81A86"/>
    <w:rsid w:val="00A82DD4"/>
    <w:rsid w:val="00A84E5F"/>
    <w:rsid w:val="00A90A54"/>
    <w:rsid w:val="00A9150E"/>
    <w:rsid w:val="00A92167"/>
    <w:rsid w:val="00A922D5"/>
    <w:rsid w:val="00A925D1"/>
    <w:rsid w:val="00A92919"/>
    <w:rsid w:val="00A9366F"/>
    <w:rsid w:val="00A93B7D"/>
    <w:rsid w:val="00A94EF6"/>
    <w:rsid w:val="00A955CF"/>
    <w:rsid w:val="00A9567D"/>
    <w:rsid w:val="00A96819"/>
    <w:rsid w:val="00A97713"/>
    <w:rsid w:val="00AA0B09"/>
    <w:rsid w:val="00AA17B6"/>
    <w:rsid w:val="00AA1865"/>
    <w:rsid w:val="00AA2349"/>
    <w:rsid w:val="00AA3AC4"/>
    <w:rsid w:val="00AA4EB7"/>
    <w:rsid w:val="00AA7B7E"/>
    <w:rsid w:val="00AA7DAD"/>
    <w:rsid w:val="00AB060B"/>
    <w:rsid w:val="00AB0914"/>
    <w:rsid w:val="00AB18E3"/>
    <w:rsid w:val="00AB1C45"/>
    <w:rsid w:val="00AB27EC"/>
    <w:rsid w:val="00AB474A"/>
    <w:rsid w:val="00AB4781"/>
    <w:rsid w:val="00AB664B"/>
    <w:rsid w:val="00AB6DDD"/>
    <w:rsid w:val="00AB7358"/>
    <w:rsid w:val="00AC3625"/>
    <w:rsid w:val="00AC4CEB"/>
    <w:rsid w:val="00AC7582"/>
    <w:rsid w:val="00AD13F1"/>
    <w:rsid w:val="00AD1C7F"/>
    <w:rsid w:val="00AD28D9"/>
    <w:rsid w:val="00AD3718"/>
    <w:rsid w:val="00AD3E7A"/>
    <w:rsid w:val="00AD5F43"/>
    <w:rsid w:val="00AD6990"/>
    <w:rsid w:val="00AE1335"/>
    <w:rsid w:val="00AE26D0"/>
    <w:rsid w:val="00AE3693"/>
    <w:rsid w:val="00AE400D"/>
    <w:rsid w:val="00AE475A"/>
    <w:rsid w:val="00AE4D8A"/>
    <w:rsid w:val="00AE54AB"/>
    <w:rsid w:val="00AE5618"/>
    <w:rsid w:val="00AE5FBB"/>
    <w:rsid w:val="00AE649E"/>
    <w:rsid w:val="00AE6912"/>
    <w:rsid w:val="00AE6C0F"/>
    <w:rsid w:val="00AF200F"/>
    <w:rsid w:val="00AF214E"/>
    <w:rsid w:val="00AF2A72"/>
    <w:rsid w:val="00AF2B70"/>
    <w:rsid w:val="00AF368C"/>
    <w:rsid w:val="00AF382C"/>
    <w:rsid w:val="00AF7679"/>
    <w:rsid w:val="00B04B50"/>
    <w:rsid w:val="00B0503B"/>
    <w:rsid w:val="00B0515D"/>
    <w:rsid w:val="00B06036"/>
    <w:rsid w:val="00B0702F"/>
    <w:rsid w:val="00B10D2F"/>
    <w:rsid w:val="00B13B99"/>
    <w:rsid w:val="00B15773"/>
    <w:rsid w:val="00B158AA"/>
    <w:rsid w:val="00B159D0"/>
    <w:rsid w:val="00B208B9"/>
    <w:rsid w:val="00B22178"/>
    <w:rsid w:val="00B2244B"/>
    <w:rsid w:val="00B252C3"/>
    <w:rsid w:val="00B26C80"/>
    <w:rsid w:val="00B27489"/>
    <w:rsid w:val="00B27FA4"/>
    <w:rsid w:val="00B30603"/>
    <w:rsid w:val="00B30998"/>
    <w:rsid w:val="00B32630"/>
    <w:rsid w:val="00B32C47"/>
    <w:rsid w:val="00B34E1A"/>
    <w:rsid w:val="00B34F92"/>
    <w:rsid w:val="00B3632E"/>
    <w:rsid w:val="00B37AE3"/>
    <w:rsid w:val="00B40CD2"/>
    <w:rsid w:val="00B441A7"/>
    <w:rsid w:val="00B4694D"/>
    <w:rsid w:val="00B47EFC"/>
    <w:rsid w:val="00B50C01"/>
    <w:rsid w:val="00B520C5"/>
    <w:rsid w:val="00B52E7C"/>
    <w:rsid w:val="00B55F0C"/>
    <w:rsid w:val="00B563CA"/>
    <w:rsid w:val="00B5659A"/>
    <w:rsid w:val="00B57FD2"/>
    <w:rsid w:val="00B61E75"/>
    <w:rsid w:val="00B62249"/>
    <w:rsid w:val="00B634B1"/>
    <w:rsid w:val="00B647E3"/>
    <w:rsid w:val="00B65E0C"/>
    <w:rsid w:val="00B664F6"/>
    <w:rsid w:val="00B66C24"/>
    <w:rsid w:val="00B703D7"/>
    <w:rsid w:val="00B70BAB"/>
    <w:rsid w:val="00B7139C"/>
    <w:rsid w:val="00B71651"/>
    <w:rsid w:val="00B71752"/>
    <w:rsid w:val="00B717A5"/>
    <w:rsid w:val="00B71B6F"/>
    <w:rsid w:val="00B7553D"/>
    <w:rsid w:val="00B768A1"/>
    <w:rsid w:val="00B77FB1"/>
    <w:rsid w:val="00B83F33"/>
    <w:rsid w:val="00B85913"/>
    <w:rsid w:val="00B859BC"/>
    <w:rsid w:val="00B862E5"/>
    <w:rsid w:val="00B86EA0"/>
    <w:rsid w:val="00B91C7C"/>
    <w:rsid w:val="00B953E2"/>
    <w:rsid w:val="00B95872"/>
    <w:rsid w:val="00B95FB1"/>
    <w:rsid w:val="00BA0811"/>
    <w:rsid w:val="00BA0D7E"/>
    <w:rsid w:val="00BA3478"/>
    <w:rsid w:val="00BA37BA"/>
    <w:rsid w:val="00BA3D67"/>
    <w:rsid w:val="00BA4B0C"/>
    <w:rsid w:val="00BA4C58"/>
    <w:rsid w:val="00BA5D50"/>
    <w:rsid w:val="00BA6BA5"/>
    <w:rsid w:val="00BA7D8B"/>
    <w:rsid w:val="00BB05D9"/>
    <w:rsid w:val="00BB41EE"/>
    <w:rsid w:val="00BB678F"/>
    <w:rsid w:val="00BC10FF"/>
    <w:rsid w:val="00BC131C"/>
    <w:rsid w:val="00BC53DB"/>
    <w:rsid w:val="00BD34A4"/>
    <w:rsid w:val="00BD3988"/>
    <w:rsid w:val="00BD43F5"/>
    <w:rsid w:val="00BD6DB5"/>
    <w:rsid w:val="00BE12A0"/>
    <w:rsid w:val="00BE297F"/>
    <w:rsid w:val="00BE40E9"/>
    <w:rsid w:val="00BE5771"/>
    <w:rsid w:val="00BF0576"/>
    <w:rsid w:val="00BF065E"/>
    <w:rsid w:val="00BF2286"/>
    <w:rsid w:val="00BF499E"/>
    <w:rsid w:val="00BF73D4"/>
    <w:rsid w:val="00C00066"/>
    <w:rsid w:val="00C00999"/>
    <w:rsid w:val="00C0132E"/>
    <w:rsid w:val="00C02595"/>
    <w:rsid w:val="00C04A6A"/>
    <w:rsid w:val="00C050D9"/>
    <w:rsid w:val="00C075DD"/>
    <w:rsid w:val="00C108DC"/>
    <w:rsid w:val="00C11900"/>
    <w:rsid w:val="00C126E9"/>
    <w:rsid w:val="00C13784"/>
    <w:rsid w:val="00C156D6"/>
    <w:rsid w:val="00C22B58"/>
    <w:rsid w:val="00C23093"/>
    <w:rsid w:val="00C2315F"/>
    <w:rsid w:val="00C23B83"/>
    <w:rsid w:val="00C24587"/>
    <w:rsid w:val="00C269C0"/>
    <w:rsid w:val="00C26B36"/>
    <w:rsid w:val="00C26E23"/>
    <w:rsid w:val="00C302AE"/>
    <w:rsid w:val="00C30C05"/>
    <w:rsid w:val="00C33E8E"/>
    <w:rsid w:val="00C35705"/>
    <w:rsid w:val="00C359D1"/>
    <w:rsid w:val="00C35EB1"/>
    <w:rsid w:val="00C36F9A"/>
    <w:rsid w:val="00C37658"/>
    <w:rsid w:val="00C41BA7"/>
    <w:rsid w:val="00C4430C"/>
    <w:rsid w:val="00C44392"/>
    <w:rsid w:val="00C4447E"/>
    <w:rsid w:val="00C4504D"/>
    <w:rsid w:val="00C450A9"/>
    <w:rsid w:val="00C466FE"/>
    <w:rsid w:val="00C50DC4"/>
    <w:rsid w:val="00C52A92"/>
    <w:rsid w:val="00C562E0"/>
    <w:rsid w:val="00C56D50"/>
    <w:rsid w:val="00C578FD"/>
    <w:rsid w:val="00C60316"/>
    <w:rsid w:val="00C61023"/>
    <w:rsid w:val="00C618B4"/>
    <w:rsid w:val="00C64148"/>
    <w:rsid w:val="00C64A8A"/>
    <w:rsid w:val="00C70010"/>
    <w:rsid w:val="00C71B8B"/>
    <w:rsid w:val="00C73830"/>
    <w:rsid w:val="00C744B2"/>
    <w:rsid w:val="00C74709"/>
    <w:rsid w:val="00C824F6"/>
    <w:rsid w:val="00C82ED3"/>
    <w:rsid w:val="00C85ABF"/>
    <w:rsid w:val="00C9040C"/>
    <w:rsid w:val="00C913F1"/>
    <w:rsid w:val="00C91C5B"/>
    <w:rsid w:val="00C93E9D"/>
    <w:rsid w:val="00C949F6"/>
    <w:rsid w:val="00C9635A"/>
    <w:rsid w:val="00CA05E8"/>
    <w:rsid w:val="00CA14C6"/>
    <w:rsid w:val="00CA2D3E"/>
    <w:rsid w:val="00CA3AF9"/>
    <w:rsid w:val="00CA59E1"/>
    <w:rsid w:val="00CA6692"/>
    <w:rsid w:val="00CB05EC"/>
    <w:rsid w:val="00CB647D"/>
    <w:rsid w:val="00CB6516"/>
    <w:rsid w:val="00CB73D7"/>
    <w:rsid w:val="00CB7D7E"/>
    <w:rsid w:val="00CC02A6"/>
    <w:rsid w:val="00CC1511"/>
    <w:rsid w:val="00CC1FEA"/>
    <w:rsid w:val="00CC300B"/>
    <w:rsid w:val="00CC420A"/>
    <w:rsid w:val="00CC503D"/>
    <w:rsid w:val="00CC6149"/>
    <w:rsid w:val="00CC74A8"/>
    <w:rsid w:val="00CD05CD"/>
    <w:rsid w:val="00CD51BE"/>
    <w:rsid w:val="00CE0E1B"/>
    <w:rsid w:val="00CE3C2A"/>
    <w:rsid w:val="00CE5F4F"/>
    <w:rsid w:val="00CE6A90"/>
    <w:rsid w:val="00CE7A9A"/>
    <w:rsid w:val="00CE7DC8"/>
    <w:rsid w:val="00CF0237"/>
    <w:rsid w:val="00CF1E71"/>
    <w:rsid w:val="00CF3B81"/>
    <w:rsid w:val="00CF3D4A"/>
    <w:rsid w:val="00CF5597"/>
    <w:rsid w:val="00CF71AC"/>
    <w:rsid w:val="00D03E2A"/>
    <w:rsid w:val="00D041A8"/>
    <w:rsid w:val="00D05345"/>
    <w:rsid w:val="00D11B27"/>
    <w:rsid w:val="00D1792A"/>
    <w:rsid w:val="00D20A3A"/>
    <w:rsid w:val="00D21484"/>
    <w:rsid w:val="00D24876"/>
    <w:rsid w:val="00D271C0"/>
    <w:rsid w:val="00D27C54"/>
    <w:rsid w:val="00D27D6B"/>
    <w:rsid w:val="00D326DA"/>
    <w:rsid w:val="00D344CB"/>
    <w:rsid w:val="00D40E5A"/>
    <w:rsid w:val="00D43FB8"/>
    <w:rsid w:val="00D44CB8"/>
    <w:rsid w:val="00D4624F"/>
    <w:rsid w:val="00D47234"/>
    <w:rsid w:val="00D4791C"/>
    <w:rsid w:val="00D503DA"/>
    <w:rsid w:val="00D50BB0"/>
    <w:rsid w:val="00D51894"/>
    <w:rsid w:val="00D53176"/>
    <w:rsid w:val="00D53DC7"/>
    <w:rsid w:val="00D566F6"/>
    <w:rsid w:val="00D571FE"/>
    <w:rsid w:val="00D5741D"/>
    <w:rsid w:val="00D5752C"/>
    <w:rsid w:val="00D60083"/>
    <w:rsid w:val="00D60AF3"/>
    <w:rsid w:val="00D62AFD"/>
    <w:rsid w:val="00D633A8"/>
    <w:rsid w:val="00D64E6F"/>
    <w:rsid w:val="00D719D0"/>
    <w:rsid w:val="00D728B0"/>
    <w:rsid w:val="00D729C1"/>
    <w:rsid w:val="00D73729"/>
    <w:rsid w:val="00D73AF4"/>
    <w:rsid w:val="00D745B5"/>
    <w:rsid w:val="00D7657B"/>
    <w:rsid w:val="00D809C2"/>
    <w:rsid w:val="00D83318"/>
    <w:rsid w:val="00D86FCB"/>
    <w:rsid w:val="00D872B6"/>
    <w:rsid w:val="00D87EE0"/>
    <w:rsid w:val="00D901B3"/>
    <w:rsid w:val="00D91EEE"/>
    <w:rsid w:val="00D9226D"/>
    <w:rsid w:val="00D93F82"/>
    <w:rsid w:val="00D96509"/>
    <w:rsid w:val="00DA038C"/>
    <w:rsid w:val="00DA069E"/>
    <w:rsid w:val="00DA15E0"/>
    <w:rsid w:val="00DA510E"/>
    <w:rsid w:val="00DA5B51"/>
    <w:rsid w:val="00DA6AB7"/>
    <w:rsid w:val="00DA7E92"/>
    <w:rsid w:val="00DB11F9"/>
    <w:rsid w:val="00DB2574"/>
    <w:rsid w:val="00DB475D"/>
    <w:rsid w:val="00DB4D72"/>
    <w:rsid w:val="00DC1303"/>
    <w:rsid w:val="00DC3E27"/>
    <w:rsid w:val="00DC42E9"/>
    <w:rsid w:val="00DD37B6"/>
    <w:rsid w:val="00DD46DF"/>
    <w:rsid w:val="00DD4A73"/>
    <w:rsid w:val="00DD5E43"/>
    <w:rsid w:val="00DD5FE0"/>
    <w:rsid w:val="00DD7957"/>
    <w:rsid w:val="00DE13D3"/>
    <w:rsid w:val="00DE1BC9"/>
    <w:rsid w:val="00DE2315"/>
    <w:rsid w:val="00DE25DF"/>
    <w:rsid w:val="00DE2FF6"/>
    <w:rsid w:val="00DE3037"/>
    <w:rsid w:val="00DE35F6"/>
    <w:rsid w:val="00DE3709"/>
    <w:rsid w:val="00DE39D4"/>
    <w:rsid w:val="00DE52DB"/>
    <w:rsid w:val="00DE5652"/>
    <w:rsid w:val="00DE5833"/>
    <w:rsid w:val="00DF012E"/>
    <w:rsid w:val="00DF04F5"/>
    <w:rsid w:val="00DF18B8"/>
    <w:rsid w:val="00DF44C0"/>
    <w:rsid w:val="00DF4633"/>
    <w:rsid w:val="00DF4A20"/>
    <w:rsid w:val="00DF702D"/>
    <w:rsid w:val="00E004F0"/>
    <w:rsid w:val="00E00AC3"/>
    <w:rsid w:val="00E00FF8"/>
    <w:rsid w:val="00E012E0"/>
    <w:rsid w:val="00E017A4"/>
    <w:rsid w:val="00E03126"/>
    <w:rsid w:val="00E07D9D"/>
    <w:rsid w:val="00E12E22"/>
    <w:rsid w:val="00E13A67"/>
    <w:rsid w:val="00E14CD7"/>
    <w:rsid w:val="00E15118"/>
    <w:rsid w:val="00E15D8A"/>
    <w:rsid w:val="00E1666C"/>
    <w:rsid w:val="00E16B7C"/>
    <w:rsid w:val="00E2034E"/>
    <w:rsid w:val="00E21409"/>
    <w:rsid w:val="00E2277D"/>
    <w:rsid w:val="00E230BD"/>
    <w:rsid w:val="00E23517"/>
    <w:rsid w:val="00E23F0F"/>
    <w:rsid w:val="00E2530B"/>
    <w:rsid w:val="00E267AD"/>
    <w:rsid w:val="00E27261"/>
    <w:rsid w:val="00E27ABC"/>
    <w:rsid w:val="00E3029C"/>
    <w:rsid w:val="00E30C51"/>
    <w:rsid w:val="00E32184"/>
    <w:rsid w:val="00E33337"/>
    <w:rsid w:val="00E34EC7"/>
    <w:rsid w:val="00E3642B"/>
    <w:rsid w:val="00E3689B"/>
    <w:rsid w:val="00E402D4"/>
    <w:rsid w:val="00E4085F"/>
    <w:rsid w:val="00E44417"/>
    <w:rsid w:val="00E44A1D"/>
    <w:rsid w:val="00E454FE"/>
    <w:rsid w:val="00E45514"/>
    <w:rsid w:val="00E4600B"/>
    <w:rsid w:val="00E47128"/>
    <w:rsid w:val="00E509B7"/>
    <w:rsid w:val="00E53608"/>
    <w:rsid w:val="00E54743"/>
    <w:rsid w:val="00E54DEF"/>
    <w:rsid w:val="00E553C6"/>
    <w:rsid w:val="00E556F3"/>
    <w:rsid w:val="00E55C69"/>
    <w:rsid w:val="00E57B92"/>
    <w:rsid w:val="00E608D3"/>
    <w:rsid w:val="00E62252"/>
    <w:rsid w:val="00E62E0A"/>
    <w:rsid w:val="00E63658"/>
    <w:rsid w:val="00E63757"/>
    <w:rsid w:val="00E65059"/>
    <w:rsid w:val="00E67735"/>
    <w:rsid w:val="00E6779E"/>
    <w:rsid w:val="00E679EB"/>
    <w:rsid w:val="00E70A5E"/>
    <w:rsid w:val="00E71272"/>
    <w:rsid w:val="00E72905"/>
    <w:rsid w:val="00E72CF9"/>
    <w:rsid w:val="00E74DC6"/>
    <w:rsid w:val="00E74ED3"/>
    <w:rsid w:val="00E8251F"/>
    <w:rsid w:val="00E83F67"/>
    <w:rsid w:val="00E84C44"/>
    <w:rsid w:val="00E87AF3"/>
    <w:rsid w:val="00E91240"/>
    <w:rsid w:val="00E91A78"/>
    <w:rsid w:val="00E938FA"/>
    <w:rsid w:val="00E9543D"/>
    <w:rsid w:val="00E96129"/>
    <w:rsid w:val="00E963BD"/>
    <w:rsid w:val="00EA0E4C"/>
    <w:rsid w:val="00EA2F74"/>
    <w:rsid w:val="00EA3AEC"/>
    <w:rsid w:val="00EA3CC7"/>
    <w:rsid w:val="00EA5553"/>
    <w:rsid w:val="00EA5AA7"/>
    <w:rsid w:val="00EA633E"/>
    <w:rsid w:val="00EB2CC3"/>
    <w:rsid w:val="00EB2D93"/>
    <w:rsid w:val="00EB3F56"/>
    <w:rsid w:val="00EB48A9"/>
    <w:rsid w:val="00EB50D4"/>
    <w:rsid w:val="00EB5847"/>
    <w:rsid w:val="00EB61B2"/>
    <w:rsid w:val="00EB62F8"/>
    <w:rsid w:val="00EB66D8"/>
    <w:rsid w:val="00EB7D94"/>
    <w:rsid w:val="00EC0B8A"/>
    <w:rsid w:val="00EC1A59"/>
    <w:rsid w:val="00EC2936"/>
    <w:rsid w:val="00EC3AFB"/>
    <w:rsid w:val="00EC4A12"/>
    <w:rsid w:val="00EC58B5"/>
    <w:rsid w:val="00EC74B0"/>
    <w:rsid w:val="00EC7E51"/>
    <w:rsid w:val="00ED29B6"/>
    <w:rsid w:val="00ED2FB5"/>
    <w:rsid w:val="00ED6560"/>
    <w:rsid w:val="00ED65A9"/>
    <w:rsid w:val="00ED6F2B"/>
    <w:rsid w:val="00ED7B37"/>
    <w:rsid w:val="00ED7C17"/>
    <w:rsid w:val="00EE0BD4"/>
    <w:rsid w:val="00EE2BF9"/>
    <w:rsid w:val="00EE3443"/>
    <w:rsid w:val="00EE5589"/>
    <w:rsid w:val="00EE77BC"/>
    <w:rsid w:val="00EF0B16"/>
    <w:rsid w:val="00EF32EF"/>
    <w:rsid w:val="00EF34B7"/>
    <w:rsid w:val="00EF4864"/>
    <w:rsid w:val="00EF7CB3"/>
    <w:rsid w:val="00F00E4B"/>
    <w:rsid w:val="00F03F05"/>
    <w:rsid w:val="00F05519"/>
    <w:rsid w:val="00F05975"/>
    <w:rsid w:val="00F12D5B"/>
    <w:rsid w:val="00F138D0"/>
    <w:rsid w:val="00F14D66"/>
    <w:rsid w:val="00F16614"/>
    <w:rsid w:val="00F16C43"/>
    <w:rsid w:val="00F20B33"/>
    <w:rsid w:val="00F21BE9"/>
    <w:rsid w:val="00F224E6"/>
    <w:rsid w:val="00F22EA2"/>
    <w:rsid w:val="00F246D1"/>
    <w:rsid w:val="00F3086A"/>
    <w:rsid w:val="00F30BE9"/>
    <w:rsid w:val="00F31A7A"/>
    <w:rsid w:val="00F3212A"/>
    <w:rsid w:val="00F33B45"/>
    <w:rsid w:val="00F36CD7"/>
    <w:rsid w:val="00F3747B"/>
    <w:rsid w:val="00F374F0"/>
    <w:rsid w:val="00F378C2"/>
    <w:rsid w:val="00F37CF5"/>
    <w:rsid w:val="00F400AD"/>
    <w:rsid w:val="00F4194C"/>
    <w:rsid w:val="00F430AF"/>
    <w:rsid w:val="00F43AC1"/>
    <w:rsid w:val="00F4769F"/>
    <w:rsid w:val="00F5225B"/>
    <w:rsid w:val="00F52404"/>
    <w:rsid w:val="00F52904"/>
    <w:rsid w:val="00F55665"/>
    <w:rsid w:val="00F61942"/>
    <w:rsid w:val="00F61AC8"/>
    <w:rsid w:val="00F62E09"/>
    <w:rsid w:val="00F638AF"/>
    <w:rsid w:val="00F669E6"/>
    <w:rsid w:val="00F67326"/>
    <w:rsid w:val="00F70FD3"/>
    <w:rsid w:val="00F71424"/>
    <w:rsid w:val="00F71BA4"/>
    <w:rsid w:val="00F77EC2"/>
    <w:rsid w:val="00F80C3B"/>
    <w:rsid w:val="00F80E3A"/>
    <w:rsid w:val="00F816A6"/>
    <w:rsid w:val="00F817EE"/>
    <w:rsid w:val="00F81B8E"/>
    <w:rsid w:val="00F820C3"/>
    <w:rsid w:val="00F8350B"/>
    <w:rsid w:val="00F84630"/>
    <w:rsid w:val="00F84714"/>
    <w:rsid w:val="00F849E3"/>
    <w:rsid w:val="00F90866"/>
    <w:rsid w:val="00F91BA6"/>
    <w:rsid w:val="00F9316D"/>
    <w:rsid w:val="00F93FBE"/>
    <w:rsid w:val="00F9432D"/>
    <w:rsid w:val="00FA20D7"/>
    <w:rsid w:val="00FA2BA9"/>
    <w:rsid w:val="00FA4EC6"/>
    <w:rsid w:val="00FA5D8F"/>
    <w:rsid w:val="00FB1189"/>
    <w:rsid w:val="00FB4EAF"/>
    <w:rsid w:val="00FB5AA1"/>
    <w:rsid w:val="00FB5FB0"/>
    <w:rsid w:val="00FB7DD2"/>
    <w:rsid w:val="00FC0C0B"/>
    <w:rsid w:val="00FC5045"/>
    <w:rsid w:val="00FC5172"/>
    <w:rsid w:val="00FC619D"/>
    <w:rsid w:val="00FC7460"/>
    <w:rsid w:val="00FD22AB"/>
    <w:rsid w:val="00FD28E3"/>
    <w:rsid w:val="00FD3E22"/>
    <w:rsid w:val="00FD5D68"/>
    <w:rsid w:val="00FD7F92"/>
    <w:rsid w:val="00FE1AD8"/>
    <w:rsid w:val="00FE1F92"/>
    <w:rsid w:val="00FE42E1"/>
    <w:rsid w:val="00FE5D73"/>
    <w:rsid w:val="00FE7E96"/>
    <w:rsid w:val="00FF082D"/>
    <w:rsid w:val="00FF10F1"/>
    <w:rsid w:val="00FF163E"/>
    <w:rsid w:val="00FF3494"/>
    <w:rsid w:val="00FF4B8E"/>
    <w:rsid w:val="00FF7064"/>
    <w:rsid w:val="00FF7FF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66E429"/>
  <w15:docId w15:val="{10DAE4C1-AF85-42FB-9865-2FAD72412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975"/>
  </w:style>
  <w:style w:type="paragraph" w:styleId="Heading1">
    <w:name w:val="heading 1"/>
    <w:basedOn w:val="Normal"/>
    <w:next w:val="Normal"/>
    <w:link w:val="Heading1Char"/>
    <w:uiPriority w:val="9"/>
    <w:qFormat/>
    <w:rsid w:val="00F05975"/>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F05975"/>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F05975"/>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F05975"/>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F05975"/>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F05975"/>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F05975"/>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F05975"/>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F05975"/>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spacing w:after="0" w:line="240" w:lineRule="auto"/>
    </w:pPr>
    <w:rPr>
      <w:rFonts w:ascii="Helvetica Neue" w:eastAsia="Arial Unicode MS"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0" w:line="240" w:lineRule="auto"/>
    </w:pPr>
    <w:rPr>
      <w:rFonts w:ascii="Helvetica Neue" w:eastAsia="Arial Unicode MS" w:hAnsi="Helvetica Neue" w:cs="Arial Unicode MS"/>
      <w:color w:val="000000"/>
      <w:lang w:val="en-US"/>
      <w14:textOutline w14:w="0" w14:cap="flat" w14:cmpd="sng" w14:algn="ctr">
        <w14:noFill/>
        <w14:prstDash w14:val="solid"/>
        <w14:bevel/>
      </w14:textOutline>
    </w:rPr>
  </w:style>
  <w:style w:type="paragraph" w:styleId="FootnoteText">
    <w:name w:val="footnote text"/>
    <w:basedOn w:val="Normal"/>
    <w:link w:val="FootnoteTextChar"/>
    <w:uiPriority w:val="99"/>
    <w:unhideWhenUsed/>
    <w:rsid w:val="00C824F6"/>
    <w:rPr>
      <w:sz w:val="20"/>
      <w:szCs w:val="20"/>
    </w:rPr>
  </w:style>
  <w:style w:type="character" w:customStyle="1" w:styleId="FootnoteTextChar">
    <w:name w:val="Footnote Text Char"/>
    <w:basedOn w:val="DefaultParagraphFont"/>
    <w:link w:val="FootnoteText"/>
    <w:uiPriority w:val="99"/>
    <w:rsid w:val="00C824F6"/>
    <w:rPr>
      <w:lang w:val="en-US" w:eastAsia="en-US"/>
    </w:rPr>
  </w:style>
  <w:style w:type="character" w:styleId="FootnoteReference">
    <w:name w:val="footnote reference"/>
    <w:basedOn w:val="DefaultParagraphFont"/>
    <w:uiPriority w:val="99"/>
    <w:semiHidden/>
    <w:unhideWhenUsed/>
    <w:rsid w:val="00C824F6"/>
    <w:rPr>
      <w:vertAlign w:val="superscript"/>
    </w:rPr>
  </w:style>
  <w:style w:type="character" w:customStyle="1" w:styleId="Heading1Char">
    <w:name w:val="Heading 1 Char"/>
    <w:basedOn w:val="DefaultParagraphFont"/>
    <w:link w:val="Heading1"/>
    <w:uiPriority w:val="9"/>
    <w:rsid w:val="00F05975"/>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F05975"/>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F05975"/>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F05975"/>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F05975"/>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F05975"/>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F05975"/>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F05975"/>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F05975"/>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F05975"/>
    <w:pPr>
      <w:spacing w:line="240" w:lineRule="auto"/>
    </w:pPr>
    <w:rPr>
      <w:b/>
      <w:bCs/>
      <w:smallCaps/>
      <w:color w:val="595959" w:themeColor="text1" w:themeTint="A6"/>
    </w:rPr>
  </w:style>
  <w:style w:type="paragraph" w:styleId="Title">
    <w:name w:val="Title"/>
    <w:basedOn w:val="Normal"/>
    <w:next w:val="Normal"/>
    <w:link w:val="TitleChar"/>
    <w:uiPriority w:val="10"/>
    <w:qFormat/>
    <w:rsid w:val="00F05975"/>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F05975"/>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F05975"/>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F05975"/>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F05975"/>
    <w:rPr>
      <w:b/>
      <w:bCs/>
    </w:rPr>
  </w:style>
  <w:style w:type="character" w:styleId="Emphasis">
    <w:name w:val="Emphasis"/>
    <w:basedOn w:val="DefaultParagraphFont"/>
    <w:uiPriority w:val="20"/>
    <w:qFormat/>
    <w:rsid w:val="00F05975"/>
    <w:rPr>
      <w:i/>
      <w:iCs/>
    </w:rPr>
  </w:style>
  <w:style w:type="paragraph" w:styleId="NoSpacing">
    <w:name w:val="No Spacing"/>
    <w:uiPriority w:val="1"/>
    <w:qFormat/>
    <w:rsid w:val="00F05975"/>
    <w:pPr>
      <w:spacing w:after="0" w:line="240" w:lineRule="auto"/>
    </w:pPr>
  </w:style>
  <w:style w:type="paragraph" w:styleId="Quote">
    <w:name w:val="Quote"/>
    <w:basedOn w:val="Normal"/>
    <w:next w:val="Normal"/>
    <w:link w:val="QuoteChar"/>
    <w:uiPriority w:val="29"/>
    <w:qFormat/>
    <w:rsid w:val="00F05975"/>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F05975"/>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F05975"/>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F05975"/>
    <w:rPr>
      <w:color w:val="404040" w:themeColor="text1" w:themeTint="BF"/>
      <w:sz w:val="32"/>
      <w:szCs w:val="32"/>
    </w:rPr>
  </w:style>
  <w:style w:type="character" w:styleId="SubtleEmphasis">
    <w:name w:val="Subtle Emphasis"/>
    <w:basedOn w:val="DefaultParagraphFont"/>
    <w:uiPriority w:val="19"/>
    <w:qFormat/>
    <w:rsid w:val="00F05975"/>
    <w:rPr>
      <w:i/>
      <w:iCs/>
      <w:color w:val="595959" w:themeColor="text1" w:themeTint="A6"/>
    </w:rPr>
  </w:style>
  <w:style w:type="character" w:styleId="IntenseEmphasis">
    <w:name w:val="Intense Emphasis"/>
    <w:basedOn w:val="DefaultParagraphFont"/>
    <w:uiPriority w:val="21"/>
    <w:qFormat/>
    <w:rsid w:val="00F05975"/>
    <w:rPr>
      <w:b/>
      <w:bCs/>
      <w:i/>
      <w:iCs/>
    </w:rPr>
  </w:style>
  <w:style w:type="character" w:styleId="SubtleReference">
    <w:name w:val="Subtle Reference"/>
    <w:basedOn w:val="DefaultParagraphFont"/>
    <w:uiPriority w:val="31"/>
    <w:qFormat/>
    <w:rsid w:val="00F0597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05975"/>
    <w:rPr>
      <w:b/>
      <w:bCs/>
      <w:caps w:val="0"/>
      <w:smallCaps/>
      <w:color w:val="auto"/>
      <w:spacing w:val="3"/>
      <w:u w:val="single"/>
    </w:rPr>
  </w:style>
  <w:style w:type="character" w:styleId="BookTitle">
    <w:name w:val="Book Title"/>
    <w:basedOn w:val="DefaultParagraphFont"/>
    <w:uiPriority w:val="33"/>
    <w:qFormat/>
    <w:rsid w:val="00F05975"/>
    <w:rPr>
      <w:b/>
      <w:bCs/>
      <w:smallCaps/>
      <w:spacing w:val="7"/>
    </w:rPr>
  </w:style>
  <w:style w:type="paragraph" w:styleId="TOCHeading">
    <w:name w:val="TOC Heading"/>
    <w:basedOn w:val="Heading1"/>
    <w:next w:val="Normal"/>
    <w:uiPriority w:val="39"/>
    <w:semiHidden/>
    <w:unhideWhenUsed/>
    <w:qFormat/>
    <w:rsid w:val="00F05975"/>
    <w:pPr>
      <w:outlineLvl w:val="9"/>
    </w:pPr>
  </w:style>
  <w:style w:type="paragraph" w:styleId="Bibliography">
    <w:name w:val="Bibliography"/>
    <w:basedOn w:val="Normal"/>
    <w:next w:val="Normal"/>
    <w:uiPriority w:val="37"/>
    <w:unhideWhenUsed/>
    <w:rsid w:val="00E13A67"/>
  </w:style>
  <w:style w:type="paragraph" w:styleId="Header">
    <w:name w:val="header"/>
    <w:basedOn w:val="Normal"/>
    <w:link w:val="HeaderChar"/>
    <w:uiPriority w:val="99"/>
    <w:unhideWhenUsed/>
    <w:rsid w:val="001D3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36D"/>
  </w:style>
  <w:style w:type="paragraph" w:styleId="Footer">
    <w:name w:val="footer"/>
    <w:basedOn w:val="Normal"/>
    <w:link w:val="FooterChar"/>
    <w:uiPriority w:val="99"/>
    <w:unhideWhenUsed/>
    <w:rsid w:val="001D3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36D"/>
  </w:style>
  <w:style w:type="paragraph" w:styleId="EndnoteText">
    <w:name w:val="endnote text"/>
    <w:basedOn w:val="Normal"/>
    <w:link w:val="EndnoteTextChar"/>
    <w:uiPriority w:val="99"/>
    <w:semiHidden/>
    <w:unhideWhenUsed/>
    <w:rsid w:val="00B3263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32630"/>
    <w:rPr>
      <w:sz w:val="20"/>
      <w:szCs w:val="20"/>
    </w:rPr>
  </w:style>
  <w:style w:type="character" w:styleId="EndnoteReference">
    <w:name w:val="endnote reference"/>
    <w:basedOn w:val="DefaultParagraphFont"/>
    <w:uiPriority w:val="99"/>
    <w:semiHidden/>
    <w:unhideWhenUsed/>
    <w:rsid w:val="00B32630"/>
    <w:rPr>
      <w:vertAlign w:val="superscript"/>
    </w:rPr>
  </w:style>
  <w:style w:type="character" w:styleId="UnresolvedMention">
    <w:name w:val="Unresolved Mention"/>
    <w:basedOn w:val="DefaultParagraphFont"/>
    <w:uiPriority w:val="99"/>
    <w:semiHidden/>
    <w:unhideWhenUsed/>
    <w:rsid w:val="00080B79"/>
    <w:rPr>
      <w:color w:val="605E5C"/>
      <w:shd w:val="clear" w:color="auto" w:fill="E1DFDD"/>
    </w:rPr>
  </w:style>
  <w:style w:type="paragraph" w:customStyle="1" w:styleId="xp4">
    <w:name w:val="x_p4"/>
    <w:basedOn w:val="Normal"/>
    <w:rsid w:val="008E721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xs4">
    <w:name w:val="x_s4"/>
    <w:basedOn w:val="DefaultParagraphFont"/>
    <w:rsid w:val="008E721C"/>
  </w:style>
  <w:style w:type="character" w:customStyle="1" w:styleId="xs3">
    <w:name w:val="x_s3"/>
    <w:basedOn w:val="DefaultParagraphFont"/>
    <w:rsid w:val="008E72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87126">
      <w:bodyDiv w:val="1"/>
      <w:marLeft w:val="0"/>
      <w:marRight w:val="0"/>
      <w:marTop w:val="0"/>
      <w:marBottom w:val="0"/>
      <w:divBdr>
        <w:top w:val="none" w:sz="0" w:space="0" w:color="auto"/>
        <w:left w:val="none" w:sz="0" w:space="0" w:color="auto"/>
        <w:bottom w:val="none" w:sz="0" w:space="0" w:color="auto"/>
        <w:right w:val="none" w:sz="0" w:space="0" w:color="auto"/>
      </w:divBdr>
    </w:div>
    <w:div w:id="242879272">
      <w:bodyDiv w:val="1"/>
      <w:marLeft w:val="0"/>
      <w:marRight w:val="0"/>
      <w:marTop w:val="0"/>
      <w:marBottom w:val="0"/>
      <w:divBdr>
        <w:top w:val="none" w:sz="0" w:space="0" w:color="auto"/>
        <w:left w:val="none" w:sz="0" w:space="0" w:color="auto"/>
        <w:bottom w:val="none" w:sz="0" w:space="0" w:color="auto"/>
        <w:right w:val="none" w:sz="0" w:space="0" w:color="auto"/>
      </w:divBdr>
    </w:div>
    <w:div w:id="476648200">
      <w:bodyDiv w:val="1"/>
      <w:marLeft w:val="0"/>
      <w:marRight w:val="0"/>
      <w:marTop w:val="0"/>
      <w:marBottom w:val="0"/>
      <w:divBdr>
        <w:top w:val="none" w:sz="0" w:space="0" w:color="auto"/>
        <w:left w:val="none" w:sz="0" w:space="0" w:color="auto"/>
        <w:bottom w:val="none" w:sz="0" w:space="0" w:color="auto"/>
        <w:right w:val="none" w:sz="0" w:space="0" w:color="auto"/>
      </w:divBdr>
    </w:div>
    <w:div w:id="649749018">
      <w:bodyDiv w:val="1"/>
      <w:marLeft w:val="0"/>
      <w:marRight w:val="0"/>
      <w:marTop w:val="0"/>
      <w:marBottom w:val="0"/>
      <w:divBdr>
        <w:top w:val="none" w:sz="0" w:space="0" w:color="auto"/>
        <w:left w:val="none" w:sz="0" w:space="0" w:color="auto"/>
        <w:bottom w:val="none" w:sz="0" w:space="0" w:color="auto"/>
        <w:right w:val="none" w:sz="0" w:space="0" w:color="auto"/>
      </w:divBdr>
    </w:div>
    <w:div w:id="903374783">
      <w:bodyDiv w:val="1"/>
      <w:marLeft w:val="0"/>
      <w:marRight w:val="0"/>
      <w:marTop w:val="0"/>
      <w:marBottom w:val="0"/>
      <w:divBdr>
        <w:top w:val="none" w:sz="0" w:space="0" w:color="auto"/>
        <w:left w:val="none" w:sz="0" w:space="0" w:color="auto"/>
        <w:bottom w:val="none" w:sz="0" w:space="0" w:color="auto"/>
        <w:right w:val="none" w:sz="0" w:space="0" w:color="auto"/>
      </w:divBdr>
    </w:div>
    <w:div w:id="932470276">
      <w:bodyDiv w:val="1"/>
      <w:marLeft w:val="0"/>
      <w:marRight w:val="0"/>
      <w:marTop w:val="0"/>
      <w:marBottom w:val="0"/>
      <w:divBdr>
        <w:top w:val="none" w:sz="0" w:space="0" w:color="auto"/>
        <w:left w:val="none" w:sz="0" w:space="0" w:color="auto"/>
        <w:bottom w:val="none" w:sz="0" w:space="0" w:color="auto"/>
        <w:right w:val="none" w:sz="0" w:space="0" w:color="auto"/>
      </w:divBdr>
    </w:div>
    <w:div w:id="1134255504">
      <w:bodyDiv w:val="1"/>
      <w:marLeft w:val="0"/>
      <w:marRight w:val="0"/>
      <w:marTop w:val="0"/>
      <w:marBottom w:val="0"/>
      <w:divBdr>
        <w:top w:val="none" w:sz="0" w:space="0" w:color="auto"/>
        <w:left w:val="none" w:sz="0" w:space="0" w:color="auto"/>
        <w:bottom w:val="none" w:sz="0" w:space="0" w:color="auto"/>
        <w:right w:val="none" w:sz="0" w:space="0" w:color="auto"/>
      </w:divBdr>
    </w:div>
    <w:div w:id="1484810324">
      <w:bodyDiv w:val="1"/>
      <w:marLeft w:val="0"/>
      <w:marRight w:val="0"/>
      <w:marTop w:val="0"/>
      <w:marBottom w:val="0"/>
      <w:divBdr>
        <w:top w:val="none" w:sz="0" w:space="0" w:color="auto"/>
        <w:left w:val="none" w:sz="0" w:space="0" w:color="auto"/>
        <w:bottom w:val="none" w:sz="0" w:space="0" w:color="auto"/>
        <w:right w:val="none" w:sz="0" w:space="0" w:color="auto"/>
      </w:divBdr>
    </w:div>
    <w:div w:id="1725519320">
      <w:bodyDiv w:val="1"/>
      <w:marLeft w:val="0"/>
      <w:marRight w:val="0"/>
      <w:marTop w:val="0"/>
      <w:marBottom w:val="0"/>
      <w:divBdr>
        <w:top w:val="none" w:sz="0" w:space="0" w:color="auto"/>
        <w:left w:val="none" w:sz="0" w:space="0" w:color="auto"/>
        <w:bottom w:val="none" w:sz="0" w:space="0" w:color="auto"/>
        <w:right w:val="none" w:sz="0" w:space="0" w:color="auto"/>
      </w:divBdr>
    </w:div>
    <w:div w:id="1909075131">
      <w:bodyDiv w:val="1"/>
      <w:marLeft w:val="0"/>
      <w:marRight w:val="0"/>
      <w:marTop w:val="0"/>
      <w:marBottom w:val="0"/>
      <w:divBdr>
        <w:top w:val="none" w:sz="0" w:space="0" w:color="auto"/>
        <w:left w:val="none" w:sz="0" w:space="0" w:color="auto"/>
        <w:bottom w:val="none" w:sz="0" w:space="0" w:color="auto"/>
        <w:right w:val="none" w:sz="0" w:space="0" w:color="auto"/>
      </w:divBdr>
    </w:div>
    <w:div w:id="1949660279">
      <w:bodyDiv w:val="1"/>
      <w:marLeft w:val="0"/>
      <w:marRight w:val="0"/>
      <w:marTop w:val="0"/>
      <w:marBottom w:val="0"/>
      <w:divBdr>
        <w:top w:val="none" w:sz="0" w:space="0" w:color="auto"/>
        <w:left w:val="none" w:sz="0" w:space="0" w:color="auto"/>
        <w:bottom w:val="none" w:sz="0" w:space="0" w:color="auto"/>
        <w:right w:val="none" w:sz="0" w:space="0" w:color="auto"/>
      </w:divBdr>
    </w:div>
    <w:div w:id="20527992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3chttps://www.greatbritishgardens.co.uk/flintshire/item/saith-ffynnon-farm.html%3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eur01.safelinks.protection.outlook.com/?url=https%3A%2F%2Frepository.uwtsd.ac.uk%2Fid%2Feprint%2F2038%2F1%2FCartwright%252C%2520Jane%2520%25282022%2529%2520The%2520Welsh%2520versions%2520of%2520the%2520life%2520of%2520Gwenfrewy.pdf&amp;data=05%7C02%7C2116218%40student.uwtsd.ac.uk%7C6889637562dd4a0decde08dc654bd3f1%7C4e0f11f9046e45059cb8db2152311e21%7C0%7C0%7C638496623709946509%7CUnknown%7CTWFpbGZsb3d8eyJWIjoiMC4wLjAwMDAiLCJQIjoiV2luMzIiLCJBTiI6Ik1haWwiLCJXVCI6Mn0%3D%7C0%7C%7C%7C&amp;sdata=j0%2BnYeYN9eCW1vsM5JN40o85XElAj4fJJh8AJdZOJKo%3D&amp;reserved=0" TargetMode="External"/><Relationship Id="rId4" Type="http://schemas.openxmlformats.org/officeDocument/2006/relationships/settings" Target="settings.xml"/><Relationship Id="rId9" Type="http://schemas.openxmlformats.org/officeDocument/2006/relationships/hyperlink" Target="https://iarccum.org/2023/wales-roman-catholic-and%20-anglican-bishops-to-work-co-operatively-for-flintshire-holy-well-site/xxc"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eur01.safelinks.protection.outlook.com/?url=https%3A%2F%2Frepository.uwtsd.ac.uk%2Fid%2Feprint%2F2038%2F1%2FCartwright%252C%2520Jane%2520%25282022%2529%2520The%2520Welsh%2520versions%2520of%2520the%2520life%2520of%2520Gwenfrewy.pdf&amp;data=05%7C02%7C2116218%40student.uwtsd.ac.uk%7C6889637562dd4a0decde08dc654bd3f1%7C4e0f11f9046e45059cb8db2152311e21%7C0%7C0%7C638496623709936420%7CUnknown%7CTWFpbGZsb3d8eyJWIjoiMC4wLjAwMDAiLCJQIjoiV2luMzIiLCJBTiI6Ik1haWwiLCJXVCI6Mn0%3D%7C0%7C%7C%7C&amp;sdata=YaKUe8XM48HQolaL7L22GTHfdh4BnZLS9JXvB8rFAKw%3D&amp;reserved=0" TargetMode="External"/><Relationship Id="rId2" Type="http://schemas.openxmlformats.org/officeDocument/2006/relationships/hyperlink" Target="%3chttps://www.greatbritishgardens.co.uk/flintshire/item/saith-ffynnon-farm.html%3e" TargetMode="External"/><Relationship Id="rId1" Type="http://schemas.openxmlformats.org/officeDocument/2006/relationships/hyperlink" Target="https://eur01.safelinks.protection.outlook.com/?url=https%3A%2F%2Frepository.uwtsd.ac.uk%2Fid%2Feprint%2F2038%2F1%2FCartwright%252C%2520Jane%2520%25282022%2529%2520The%2520Welsh%2520versions%2520of%2520the%2520life%2520of%2520Gwenfrewy.pdf&amp;data=05%7C02%7C2116218%40student.uwtsd.ac.uk%7C6889637562dd4a0decde08dc654bd3f1%7C4e0f11f9046e45059cb8db2152311e21%7C0%7C0%7C638496623709936420%7CUnknown%7CTWFpbGZsb3d8eyJWIjoiMC4wLjAwMDAiLCJQIjoiV2luMzIiLCJBTiI6Ik1haWwiLCJXVCI6Mn0%3D%7C0%7C%7C%7C&amp;sdata=YaKUe8XM48HQolaL7L22GTHfdh4BnZLS9JXvB8rFAKw%3D&amp;reserved=0" TargetMode="External"/><Relationship Id="rId5" Type="http://schemas.openxmlformats.org/officeDocument/2006/relationships/hyperlink" Target="https://iarccum.org/2023/wales-roman-catholic-and%20-anglican-bishops-to-work-co-operatively-for-flintshire-holy-well-site/xxc" TargetMode="External"/><Relationship Id="rId4" Type="http://schemas.openxmlformats.org/officeDocument/2006/relationships/hyperlink" Target="https://eur01.safelinks.protection.outlook.com/?url=https%3A%2F%2Frepository.uwtsd.ac.uk%2Fid%2Feprint%2F2038%2F1%2FCartwright%252C%2520Jane%2520%25282022%2529%2520The%2520Welsh%2520versions%2520of%2520the%2520life%2520of%2520Gwenfrewy.pdf&amp;data=05%7C02%7C2116218%40student.uwtsd.ac.uk%7C6889637562dd4a0decde08dc654bd3f1%7C4e0f11f9046e45059cb8db2152311e21%7C0%7C0%7C638496623709936420%7CUnknown%7CTWFpbGZsb3d8eyJWIjoiMC4wLjAwMDAiLCJQIjoiV2luMzIiLCJBTiI6Ik1haWwiLCJXVCI6Mn0%3D%7C0%7C%7C%7C&amp;sdata=YaKUe8XM48HQolaL7L22GTHfdh4BnZLS9JXvB8rFAKw%3D&amp;reserved=0"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217E345-3A27-484C-8D97-CCC1A9361708}">
  <we:reference id="wa104382081" version="1.55.1.0" store="en-US" storeType="OMEX"/>
  <we:alternateReferences>
    <we:reference id="wa104382081" version="1.55.1.0" store="en-US"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Pri09</b:Tag>
    <b:SourceType>Book</b:SourceType>
    <b:Guid>{F45594A1-8748-4ACA-B6C4-A9EA3B900E14}</b:Guid>
    <b:Title>St Winefred, Her Holy Well And The Jesuit Mission c. 650 - 1930</b:Title>
    <b:Year> 2009</b:Year>
    <b:Publisher>Bridge Books</b:Publisher>
    <b:City>Wrexham</b:City>
    <b:Author>
      <b:Author>
        <b:NameList>
          <b:Person>
            <b:Last>A</b:Last>
            <b:First>Prithand</b:First>
            <b:Middle>Thomas</b:Middle>
          </b:Person>
        </b:NameList>
      </b:Author>
    </b:Author>
    <b:RefOrder>1</b:RefOrder>
  </b:Source>
  <b:Source>
    <b:Tag>War76</b:Tag>
    <b:SourceType>Book</b:SourceType>
    <b:Guid>{A46E9E48-46C8-47F5-8ADB-AB33732E79A8}</b:Guid>
    <b:Author>
      <b:Author>
        <b:NameList>
          <b:Person>
            <b:Last>Marina</b:Last>
            <b:First>Warner</b:First>
          </b:Person>
        </b:NameList>
      </b:Author>
    </b:Author>
    <b:Title>The Cult of Emerging Mary</b:Title>
    <b:Year>1976</b:Year>
    <b:City>London</b:City>
    <b:Publisher>Weidenfeid and Nicolson</b:Publisher>
    <b:RefOrder>2</b:RefOrder>
  </b:Source>
</b:Sources>
</file>

<file path=customXml/itemProps1.xml><?xml version="1.0" encoding="utf-8"?>
<ds:datastoreItem xmlns:ds="http://schemas.openxmlformats.org/officeDocument/2006/customXml" ds:itemID="{72049981-6D80-450D-9329-AEE54BA53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3120</TotalTime>
  <Pages>16</Pages>
  <Words>5557</Words>
  <Characters>31679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Conway (2116218)</dc:creator>
  <cp:keywords/>
  <cp:lastModifiedBy>Glyn Conway (2116218)</cp:lastModifiedBy>
  <cp:revision>1599</cp:revision>
  <cp:lastPrinted>2024-04-26T09:08:00Z</cp:lastPrinted>
  <dcterms:created xsi:type="dcterms:W3CDTF">2024-04-21T13:48:00Z</dcterms:created>
  <dcterms:modified xsi:type="dcterms:W3CDTF">2024-04-26T16:11:00Z</dcterms:modified>
</cp:coreProperties>
</file>