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0C72D5" w14:textId="65BE47D4" w:rsidR="002733D0" w:rsidRPr="0006788A" w:rsidRDefault="002733D0" w:rsidP="002733D0">
      <w:pPr>
        <w:jc w:val="center"/>
        <w:rPr>
          <w:rFonts w:ascii="Verdana" w:hAnsi="Verdana"/>
          <w:sz w:val="52"/>
          <w:szCs w:val="52"/>
        </w:rPr>
      </w:pPr>
      <w:r w:rsidRPr="0006788A">
        <w:rPr>
          <w:rFonts w:ascii="Verdana" w:hAnsi="Verdana"/>
          <w:sz w:val="52"/>
          <w:szCs w:val="52"/>
        </w:rPr>
        <w:t>Louise Steans</w:t>
      </w:r>
    </w:p>
    <w:p w14:paraId="259E0EC7" w14:textId="77777777" w:rsidR="002733D0" w:rsidRPr="0006788A" w:rsidRDefault="002733D0" w:rsidP="002733D0">
      <w:pPr>
        <w:jc w:val="center"/>
        <w:rPr>
          <w:rFonts w:ascii="Verdana" w:hAnsi="Verdana"/>
          <w:sz w:val="52"/>
          <w:szCs w:val="52"/>
        </w:rPr>
      </w:pPr>
    </w:p>
    <w:p w14:paraId="3BA9A104" w14:textId="77777777" w:rsidR="002733D0" w:rsidRPr="0006788A" w:rsidRDefault="002733D0" w:rsidP="002733D0">
      <w:pPr>
        <w:jc w:val="center"/>
        <w:rPr>
          <w:rFonts w:ascii="Verdana" w:hAnsi="Verdana"/>
          <w:sz w:val="52"/>
          <w:szCs w:val="52"/>
        </w:rPr>
      </w:pPr>
      <w:r w:rsidRPr="0006788A">
        <w:rPr>
          <w:rFonts w:ascii="Verdana" w:hAnsi="Verdana"/>
          <w:sz w:val="52"/>
          <w:szCs w:val="52"/>
        </w:rPr>
        <w:t>Membership No: 91948896</w:t>
      </w:r>
    </w:p>
    <w:p w14:paraId="7592DD2F" w14:textId="77777777" w:rsidR="002733D0" w:rsidRPr="0006788A" w:rsidRDefault="002733D0" w:rsidP="002733D0">
      <w:pPr>
        <w:jc w:val="center"/>
        <w:rPr>
          <w:rFonts w:ascii="Verdana" w:hAnsi="Verdana"/>
          <w:sz w:val="52"/>
          <w:szCs w:val="52"/>
        </w:rPr>
      </w:pPr>
    </w:p>
    <w:p w14:paraId="1E3C3FE6" w14:textId="5A343E67" w:rsidR="002733D0" w:rsidRPr="0006788A" w:rsidRDefault="002733D0" w:rsidP="002733D0">
      <w:pPr>
        <w:jc w:val="center"/>
        <w:rPr>
          <w:rFonts w:ascii="Verdana" w:hAnsi="Verdana"/>
          <w:sz w:val="52"/>
          <w:szCs w:val="52"/>
        </w:rPr>
      </w:pPr>
      <w:r w:rsidRPr="0006788A">
        <w:rPr>
          <w:rFonts w:ascii="Verdana" w:hAnsi="Verdana" w:cs="Arial"/>
          <w:sz w:val="52"/>
          <w:szCs w:val="52"/>
        </w:rPr>
        <w:t>5OS07</w:t>
      </w:r>
      <w:r w:rsidRPr="0006788A">
        <w:rPr>
          <w:rFonts w:ascii="Verdana" w:hAnsi="Verdana"/>
          <w:sz w:val="52"/>
          <w:szCs w:val="52"/>
        </w:rPr>
        <w:t>: Wellbeing at Work</w:t>
      </w:r>
    </w:p>
    <w:p w14:paraId="086C1CB8" w14:textId="77777777" w:rsidR="002733D0" w:rsidRPr="0006788A" w:rsidRDefault="002733D0" w:rsidP="002733D0">
      <w:pPr>
        <w:jc w:val="center"/>
        <w:rPr>
          <w:rFonts w:ascii="Verdana" w:hAnsi="Verdana"/>
          <w:sz w:val="52"/>
          <w:szCs w:val="52"/>
        </w:rPr>
      </w:pPr>
    </w:p>
    <w:p w14:paraId="3696813B" w14:textId="77777777" w:rsidR="002733D0" w:rsidRPr="0006788A" w:rsidRDefault="002733D0" w:rsidP="002733D0">
      <w:pPr>
        <w:rPr>
          <w:rFonts w:ascii="Verdana" w:hAnsi="Verdana"/>
          <w:sz w:val="36"/>
          <w:szCs w:val="36"/>
        </w:rPr>
      </w:pPr>
      <w:r w:rsidRPr="0006788A">
        <w:rPr>
          <w:rFonts w:ascii="Verdana" w:hAnsi="Verdana"/>
          <w:sz w:val="36"/>
          <w:szCs w:val="36"/>
        </w:rPr>
        <w:t>Word Count:</w:t>
      </w:r>
    </w:p>
    <w:p w14:paraId="46E88BBA" w14:textId="5ABF998C" w:rsidR="002733D0" w:rsidRPr="0006788A" w:rsidRDefault="002733D0" w:rsidP="002733D0">
      <w:pPr>
        <w:rPr>
          <w:rFonts w:ascii="Verdana" w:hAnsi="Verdana"/>
          <w:sz w:val="36"/>
          <w:szCs w:val="36"/>
        </w:rPr>
      </w:pPr>
      <w:r w:rsidRPr="0006788A">
        <w:rPr>
          <w:rFonts w:ascii="Verdana" w:hAnsi="Verdana"/>
          <w:sz w:val="36"/>
          <w:szCs w:val="36"/>
        </w:rPr>
        <w:t xml:space="preserve">Part 1: </w:t>
      </w:r>
      <w:r w:rsidR="005A59E4" w:rsidRPr="0006788A">
        <w:rPr>
          <w:rFonts w:ascii="Verdana" w:hAnsi="Verdana"/>
          <w:sz w:val="36"/>
          <w:szCs w:val="36"/>
        </w:rPr>
        <w:t xml:space="preserve"> 2,</w:t>
      </w:r>
      <w:r w:rsidR="00273150">
        <w:rPr>
          <w:rFonts w:ascii="Verdana" w:hAnsi="Verdana"/>
          <w:sz w:val="36"/>
          <w:szCs w:val="36"/>
        </w:rPr>
        <w:t>1</w:t>
      </w:r>
      <w:r w:rsidR="00466713">
        <w:rPr>
          <w:rFonts w:ascii="Verdana" w:hAnsi="Verdana"/>
          <w:sz w:val="36"/>
          <w:szCs w:val="36"/>
        </w:rPr>
        <w:t>48</w:t>
      </w:r>
    </w:p>
    <w:p w14:paraId="6245297F" w14:textId="43245964" w:rsidR="002733D0" w:rsidRPr="0006788A" w:rsidRDefault="002733D0" w:rsidP="002733D0">
      <w:pPr>
        <w:rPr>
          <w:rFonts w:ascii="Verdana" w:hAnsi="Verdana"/>
          <w:sz w:val="36"/>
          <w:szCs w:val="36"/>
        </w:rPr>
      </w:pPr>
      <w:r w:rsidRPr="0006788A">
        <w:rPr>
          <w:rFonts w:ascii="Verdana" w:hAnsi="Verdana"/>
          <w:sz w:val="36"/>
          <w:szCs w:val="36"/>
        </w:rPr>
        <w:t xml:space="preserve">Part 2:  </w:t>
      </w:r>
      <w:r w:rsidR="00F0001E">
        <w:rPr>
          <w:rFonts w:ascii="Verdana" w:hAnsi="Verdana"/>
          <w:sz w:val="36"/>
          <w:szCs w:val="36"/>
        </w:rPr>
        <w:t>1,8</w:t>
      </w:r>
      <w:r w:rsidR="00715A5B">
        <w:rPr>
          <w:rFonts w:ascii="Verdana" w:hAnsi="Verdana"/>
          <w:sz w:val="36"/>
          <w:szCs w:val="36"/>
        </w:rPr>
        <w:t>53</w:t>
      </w:r>
    </w:p>
    <w:p w14:paraId="37D6AAD1" w14:textId="77777777" w:rsidR="002733D0" w:rsidRPr="0006788A" w:rsidRDefault="002733D0" w:rsidP="002733D0">
      <w:pPr>
        <w:rPr>
          <w:rFonts w:ascii="Verdana" w:hAnsi="Verdana"/>
        </w:rPr>
      </w:pPr>
    </w:p>
    <w:p w14:paraId="4BECD9AA" w14:textId="6E0FE62D" w:rsidR="002733D0" w:rsidRPr="0006788A" w:rsidRDefault="006C71C3">
      <w:pPr>
        <w:rPr>
          <w:rFonts w:ascii="Verdana" w:hAnsi="Verdana" w:cstheme="majorHAnsi"/>
          <w:sz w:val="36"/>
          <w:szCs w:val="36"/>
        </w:rPr>
      </w:pPr>
      <w:r w:rsidRPr="0006788A">
        <w:rPr>
          <w:rFonts w:ascii="Verdana" w:hAnsi="Verdana" w:cstheme="majorHAnsi"/>
          <w:sz w:val="36"/>
          <w:szCs w:val="36"/>
        </w:rPr>
        <w:t>Total</w:t>
      </w:r>
      <w:r w:rsidR="0006788A">
        <w:rPr>
          <w:rFonts w:ascii="Verdana" w:hAnsi="Verdana" w:cstheme="majorHAnsi"/>
          <w:sz w:val="36"/>
          <w:szCs w:val="36"/>
        </w:rPr>
        <w:t>:</w:t>
      </w:r>
      <w:r w:rsidRPr="0006788A">
        <w:rPr>
          <w:rFonts w:ascii="Verdana" w:hAnsi="Verdana" w:cstheme="majorHAnsi"/>
          <w:sz w:val="36"/>
          <w:szCs w:val="36"/>
        </w:rPr>
        <w:t xml:space="preserve"> </w:t>
      </w:r>
      <w:r w:rsidR="004A6366">
        <w:rPr>
          <w:rFonts w:ascii="Verdana" w:hAnsi="Verdana" w:cstheme="majorHAnsi"/>
          <w:sz w:val="36"/>
          <w:szCs w:val="36"/>
        </w:rPr>
        <w:t>4,001</w:t>
      </w:r>
      <w:r w:rsidR="002733D0" w:rsidRPr="0006788A">
        <w:rPr>
          <w:rFonts w:ascii="Verdana" w:hAnsi="Verdana" w:cstheme="majorHAnsi"/>
          <w:sz w:val="36"/>
          <w:szCs w:val="36"/>
        </w:rPr>
        <w:br w:type="page"/>
      </w:r>
    </w:p>
    <w:p w14:paraId="577282A9" w14:textId="2D95657F" w:rsidR="002733D0" w:rsidRPr="00DD6C79" w:rsidRDefault="002733D0" w:rsidP="004A6366">
      <w:pPr>
        <w:pStyle w:val="ListParagraph"/>
        <w:numPr>
          <w:ilvl w:val="0"/>
          <w:numId w:val="2"/>
        </w:numPr>
        <w:spacing w:after="120" w:line="240" w:lineRule="auto"/>
        <w:rPr>
          <w:rFonts w:ascii="Verdana" w:hAnsi="Verdana" w:cstheme="minorHAnsi"/>
          <w:b/>
        </w:rPr>
      </w:pPr>
      <w:bookmarkStart w:id="0" w:name="_Hlk123056205"/>
      <w:r w:rsidRPr="00DD6C79">
        <w:rPr>
          <w:rFonts w:ascii="Verdana" w:hAnsi="Verdana" w:cstheme="minorHAnsi"/>
          <w:b/>
        </w:rPr>
        <w:lastRenderedPageBreak/>
        <w:t>Explain two key ‘wellbeing’ theories, including how they can be applied to current issues of wellbeing in the workplace. (AC 1.1)</w:t>
      </w:r>
    </w:p>
    <w:p w14:paraId="51D8611B" w14:textId="77777777" w:rsidR="00764C7D" w:rsidRPr="0006788A" w:rsidRDefault="00764C7D" w:rsidP="00764C7D">
      <w:pPr>
        <w:pStyle w:val="Nornal"/>
        <w:spacing w:after="120" w:line="276" w:lineRule="auto"/>
        <w:rPr>
          <w:rFonts w:ascii="Verdana" w:hAnsi="Verdana" w:cstheme="minorHAnsi"/>
          <w:bCs/>
          <w:sz w:val="24"/>
          <w:szCs w:val="24"/>
        </w:rPr>
      </w:pPr>
    </w:p>
    <w:p w14:paraId="7EBE80AE" w14:textId="4927B16B" w:rsidR="00764C7D" w:rsidRDefault="00764C7D" w:rsidP="00764C7D">
      <w:pPr>
        <w:pStyle w:val="Nornal"/>
        <w:spacing w:after="120" w:line="276" w:lineRule="auto"/>
        <w:rPr>
          <w:rFonts w:ascii="Verdana" w:hAnsi="Verdana" w:cstheme="minorHAnsi"/>
          <w:bCs/>
          <w:sz w:val="24"/>
          <w:szCs w:val="24"/>
        </w:rPr>
      </w:pPr>
      <w:r w:rsidRPr="0006788A">
        <w:rPr>
          <w:rFonts w:ascii="Verdana" w:hAnsi="Verdana" w:cstheme="minorHAnsi"/>
          <w:bCs/>
          <w:sz w:val="24"/>
          <w:szCs w:val="24"/>
        </w:rPr>
        <w:t>Evidence suggests that the PERMA framework</w:t>
      </w:r>
      <w:r w:rsidR="00AE699D" w:rsidRPr="0006788A">
        <w:rPr>
          <w:rFonts w:ascii="Verdana" w:hAnsi="Verdana" w:cstheme="minorHAnsi"/>
          <w:bCs/>
          <w:sz w:val="24"/>
          <w:szCs w:val="24"/>
        </w:rPr>
        <w:t xml:space="preserve">; </w:t>
      </w:r>
      <w:r w:rsidRPr="0006788A">
        <w:rPr>
          <w:rFonts w:ascii="Verdana" w:hAnsi="Verdana" w:cstheme="minorHAnsi"/>
          <w:bCs/>
          <w:sz w:val="24"/>
          <w:szCs w:val="24"/>
        </w:rPr>
        <w:t>positive emotions, engagement, relationships, meaning and accomplishment</w:t>
      </w:r>
      <w:r w:rsidR="00AE699D" w:rsidRPr="0006788A">
        <w:rPr>
          <w:rFonts w:ascii="Verdana" w:hAnsi="Verdana" w:cstheme="minorHAnsi"/>
          <w:bCs/>
          <w:sz w:val="24"/>
          <w:szCs w:val="24"/>
        </w:rPr>
        <w:t xml:space="preserve">, </w:t>
      </w:r>
      <w:r w:rsidRPr="0006788A">
        <w:rPr>
          <w:rFonts w:ascii="Verdana" w:hAnsi="Verdana" w:cstheme="minorHAnsi"/>
          <w:bCs/>
          <w:sz w:val="24"/>
          <w:szCs w:val="24"/>
        </w:rPr>
        <w:t xml:space="preserve">can be applied to support workplace wellbeing (Donaldson, van Zyl </w:t>
      </w:r>
      <w:r w:rsidR="00AE699D" w:rsidRPr="0006788A">
        <w:rPr>
          <w:rFonts w:ascii="Verdana" w:hAnsi="Verdana" w:cstheme="minorHAnsi"/>
          <w:bCs/>
          <w:sz w:val="24"/>
          <w:szCs w:val="24"/>
        </w:rPr>
        <w:t>and</w:t>
      </w:r>
      <w:r w:rsidRPr="0006788A">
        <w:rPr>
          <w:rFonts w:ascii="Verdana" w:hAnsi="Verdana" w:cstheme="minorHAnsi"/>
          <w:bCs/>
          <w:sz w:val="24"/>
          <w:szCs w:val="24"/>
        </w:rPr>
        <w:t xml:space="preserve"> Donaldson, 2022). </w:t>
      </w:r>
      <w:r w:rsidR="00AE699D" w:rsidRPr="0006788A">
        <w:rPr>
          <w:rFonts w:ascii="Verdana" w:hAnsi="Verdana" w:cstheme="minorHAnsi"/>
          <w:bCs/>
          <w:sz w:val="24"/>
          <w:szCs w:val="24"/>
        </w:rPr>
        <w:t xml:space="preserve"> </w:t>
      </w:r>
      <w:r w:rsidRPr="0006788A">
        <w:rPr>
          <w:rFonts w:ascii="Verdana" w:hAnsi="Verdana" w:cstheme="minorHAnsi"/>
          <w:bCs/>
          <w:sz w:val="24"/>
          <w:szCs w:val="24"/>
        </w:rPr>
        <w:t xml:space="preserve">This positive psychology approach has been linked to improved engagement and performance and reduced stress, making it a useful model for promoting thriving at work (Donaldson, Lee </w:t>
      </w:r>
      <w:r w:rsidR="00AE699D" w:rsidRPr="0006788A">
        <w:rPr>
          <w:rFonts w:ascii="Verdana" w:hAnsi="Verdana" w:cstheme="minorHAnsi"/>
          <w:bCs/>
          <w:sz w:val="24"/>
          <w:szCs w:val="24"/>
        </w:rPr>
        <w:t>and</w:t>
      </w:r>
      <w:r w:rsidRPr="0006788A">
        <w:rPr>
          <w:rFonts w:ascii="Verdana" w:hAnsi="Verdana" w:cstheme="minorHAnsi"/>
          <w:bCs/>
          <w:sz w:val="24"/>
          <w:szCs w:val="24"/>
        </w:rPr>
        <w:t xml:space="preserve"> Donaldson, 2019; Seligman, 2011).</w:t>
      </w:r>
    </w:p>
    <w:p w14:paraId="31962317" w14:textId="77777777" w:rsidR="008503F3" w:rsidRPr="0006788A" w:rsidRDefault="008503F3" w:rsidP="00764C7D">
      <w:pPr>
        <w:pStyle w:val="Nornal"/>
        <w:spacing w:after="120" w:line="276" w:lineRule="auto"/>
        <w:rPr>
          <w:rFonts w:ascii="Verdana" w:hAnsi="Verdana" w:cstheme="minorHAnsi"/>
          <w:bCs/>
          <w:sz w:val="24"/>
          <w:szCs w:val="24"/>
        </w:rPr>
      </w:pPr>
    </w:p>
    <w:p w14:paraId="6D5B8ADE" w14:textId="42AF1F8C" w:rsidR="00764C7D" w:rsidRDefault="00764C7D" w:rsidP="00764C7D">
      <w:pPr>
        <w:pStyle w:val="Nornal"/>
        <w:spacing w:after="120" w:line="276" w:lineRule="auto"/>
        <w:rPr>
          <w:rFonts w:ascii="Verdana" w:hAnsi="Verdana" w:cstheme="minorHAnsi"/>
          <w:bCs/>
          <w:sz w:val="24"/>
          <w:szCs w:val="24"/>
        </w:rPr>
      </w:pPr>
      <w:r w:rsidRPr="0006788A">
        <w:rPr>
          <w:rFonts w:ascii="Verdana" w:hAnsi="Verdana" w:cstheme="minorHAnsi"/>
          <w:bCs/>
          <w:sz w:val="24"/>
          <w:szCs w:val="24"/>
        </w:rPr>
        <w:t xml:space="preserve">Positive emotion relates to happiness and satisfaction and can be supported through recognition, reward and fair policies. </w:t>
      </w:r>
      <w:r w:rsidR="00AE699D" w:rsidRPr="0006788A">
        <w:rPr>
          <w:rFonts w:ascii="Verdana" w:hAnsi="Verdana" w:cstheme="minorHAnsi"/>
          <w:bCs/>
          <w:sz w:val="24"/>
          <w:szCs w:val="24"/>
        </w:rPr>
        <w:t xml:space="preserve"> </w:t>
      </w:r>
      <w:r w:rsidRPr="0006788A">
        <w:rPr>
          <w:rFonts w:ascii="Verdana" w:hAnsi="Verdana" w:cstheme="minorHAnsi"/>
          <w:bCs/>
          <w:sz w:val="24"/>
          <w:szCs w:val="24"/>
        </w:rPr>
        <w:t>For example, managers acknowledging employee effort can reduce disengagement and low morale associated with post</w:t>
      </w:r>
      <w:r w:rsidRPr="0006788A">
        <w:rPr>
          <w:rFonts w:ascii="Verdana" w:hAnsi="Verdana" w:cstheme="minorHAnsi"/>
          <w:bCs/>
          <w:sz w:val="24"/>
          <w:szCs w:val="24"/>
        </w:rPr>
        <w:noBreakHyphen/>
        <w:t>pandemic workload pressures (CIPD, 2023</w:t>
      </w:r>
      <w:r w:rsidR="00DC7041" w:rsidRPr="0006788A">
        <w:rPr>
          <w:rFonts w:ascii="Verdana" w:hAnsi="Verdana" w:cstheme="minorHAnsi"/>
          <w:bCs/>
          <w:sz w:val="24"/>
          <w:szCs w:val="24"/>
        </w:rPr>
        <w:t>b</w:t>
      </w:r>
      <w:r w:rsidRPr="0006788A">
        <w:rPr>
          <w:rFonts w:ascii="Verdana" w:hAnsi="Verdana" w:cstheme="minorHAnsi"/>
          <w:bCs/>
          <w:sz w:val="24"/>
          <w:szCs w:val="24"/>
        </w:rPr>
        <w:t xml:space="preserve">). </w:t>
      </w:r>
      <w:r w:rsidR="00AE699D" w:rsidRPr="0006788A">
        <w:rPr>
          <w:rFonts w:ascii="Verdana" w:hAnsi="Verdana" w:cstheme="minorHAnsi"/>
          <w:bCs/>
          <w:sz w:val="24"/>
          <w:szCs w:val="24"/>
        </w:rPr>
        <w:t xml:space="preserve"> </w:t>
      </w:r>
      <w:r w:rsidRPr="0006788A">
        <w:rPr>
          <w:rFonts w:ascii="Verdana" w:hAnsi="Verdana" w:cstheme="minorHAnsi"/>
          <w:bCs/>
          <w:sz w:val="24"/>
          <w:szCs w:val="24"/>
        </w:rPr>
        <w:t xml:space="preserve">Engagement reflects involvement and commitment and can be enhanced through good job design, autonomy and development opportunities; where roles lack challenge or learning, employees may disengage or seek alternative employment (Harter </w:t>
      </w:r>
      <w:r w:rsidRPr="0006788A">
        <w:rPr>
          <w:rFonts w:ascii="Verdana" w:hAnsi="Verdana" w:cstheme="minorHAnsi"/>
          <w:bCs/>
          <w:i/>
          <w:iCs/>
          <w:sz w:val="24"/>
          <w:szCs w:val="24"/>
        </w:rPr>
        <w:t>et al.,</w:t>
      </w:r>
      <w:r w:rsidRPr="0006788A">
        <w:rPr>
          <w:rFonts w:ascii="Verdana" w:hAnsi="Verdana" w:cstheme="minorHAnsi"/>
          <w:bCs/>
          <w:sz w:val="24"/>
          <w:szCs w:val="24"/>
        </w:rPr>
        <w:t xml:space="preserve"> 2020).</w:t>
      </w:r>
    </w:p>
    <w:p w14:paraId="3FB29ED1" w14:textId="77777777" w:rsidR="008503F3" w:rsidRPr="0006788A" w:rsidRDefault="008503F3" w:rsidP="00764C7D">
      <w:pPr>
        <w:pStyle w:val="Nornal"/>
        <w:spacing w:after="120" w:line="276" w:lineRule="auto"/>
        <w:rPr>
          <w:rFonts w:ascii="Verdana" w:hAnsi="Verdana" w:cstheme="minorHAnsi"/>
          <w:bCs/>
          <w:sz w:val="24"/>
          <w:szCs w:val="24"/>
        </w:rPr>
      </w:pPr>
    </w:p>
    <w:p w14:paraId="6BEB69FF" w14:textId="761C0BCB" w:rsidR="00764C7D" w:rsidRDefault="00764C7D" w:rsidP="00764C7D">
      <w:pPr>
        <w:pStyle w:val="Nornal"/>
        <w:spacing w:after="120" w:line="276" w:lineRule="auto"/>
        <w:rPr>
          <w:rFonts w:ascii="Verdana" w:hAnsi="Verdana" w:cstheme="minorHAnsi"/>
          <w:bCs/>
          <w:sz w:val="24"/>
          <w:szCs w:val="24"/>
        </w:rPr>
      </w:pPr>
      <w:r w:rsidRPr="0006788A">
        <w:rPr>
          <w:rFonts w:ascii="Verdana" w:hAnsi="Verdana" w:cstheme="minorHAnsi"/>
          <w:bCs/>
          <w:sz w:val="24"/>
          <w:szCs w:val="24"/>
        </w:rPr>
        <w:t>Relationships emphasise supportive connections that protect against stress, particularly within remote and hybrid working arrangements. Initiatives such as mentoring, leadership development and team</w:t>
      </w:r>
      <w:r w:rsidRPr="0006788A">
        <w:rPr>
          <w:rFonts w:ascii="Verdana" w:hAnsi="Verdana" w:cstheme="minorHAnsi"/>
          <w:bCs/>
          <w:sz w:val="24"/>
          <w:szCs w:val="24"/>
        </w:rPr>
        <w:noBreakHyphen/>
        <w:t>based activities can strengthen psychological safety and encourage open wellbeing discussions (</w:t>
      </w:r>
      <w:proofErr w:type="spellStart"/>
      <w:r w:rsidRPr="0006788A">
        <w:rPr>
          <w:rFonts w:ascii="Verdana" w:hAnsi="Verdana" w:cstheme="minorHAnsi"/>
          <w:bCs/>
          <w:sz w:val="24"/>
          <w:szCs w:val="24"/>
        </w:rPr>
        <w:t>Plester</w:t>
      </w:r>
      <w:proofErr w:type="spellEnd"/>
      <w:r w:rsidRPr="0006788A">
        <w:rPr>
          <w:rFonts w:ascii="Verdana" w:hAnsi="Verdana" w:cstheme="minorHAnsi"/>
          <w:bCs/>
          <w:sz w:val="24"/>
          <w:szCs w:val="24"/>
        </w:rPr>
        <w:t xml:space="preserve"> </w:t>
      </w:r>
      <w:r w:rsidR="00DA4BFB" w:rsidRPr="0006788A">
        <w:rPr>
          <w:rFonts w:ascii="Verdana" w:hAnsi="Verdana" w:cstheme="minorHAnsi"/>
          <w:bCs/>
          <w:sz w:val="24"/>
          <w:szCs w:val="24"/>
        </w:rPr>
        <w:t>and</w:t>
      </w:r>
      <w:r w:rsidRPr="0006788A">
        <w:rPr>
          <w:rFonts w:ascii="Verdana" w:hAnsi="Verdana" w:cstheme="minorHAnsi"/>
          <w:bCs/>
          <w:sz w:val="24"/>
          <w:szCs w:val="24"/>
        </w:rPr>
        <w:t xml:space="preserve"> Lloyd, 2023). Meaning relates to understanding how work contributes to organisational goals, supporting motivation and engagement; this requires clear communication of values and alignment between individual development plans and organisational objectives (</w:t>
      </w:r>
      <w:proofErr w:type="spellStart"/>
      <w:r w:rsidRPr="0006788A">
        <w:rPr>
          <w:rFonts w:ascii="Verdana" w:hAnsi="Verdana" w:cstheme="minorHAnsi"/>
          <w:bCs/>
          <w:sz w:val="24"/>
          <w:szCs w:val="24"/>
        </w:rPr>
        <w:t>Wandycz</w:t>
      </w:r>
      <w:proofErr w:type="spellEnd"/>
      <w:r w:rsidRPr="0006788A">
        <w:rPr>
          <w:rFonts w:ascii="Verdana" w:hAnsi="Verdana" w:cstheme="minorHAnsi"/>
          <w:bCs/>
          <w:sz w:val="24"/>
          <w:szCs w:val="24"/>
        </w:rPr>
        <w:noBreakHyphen/>
        <w:t xml:space="preserve">Mejias, Roldan </w:t>
      </w:r>
      <w:r w:rsidR="00DA4BFB" w:rsidRPr="0006788A">
        <w:rPr>
          <w:rFonts w:ascii="Verdana" w:hAnsi="Verdana" w:cstheme="minorHAnsi"/>
          <w:bCs/>
          <w:sz w:val="24"/>
          <w:szCs w:val="24"/>
        </w:rPr>
        <w:t>and</w:t>
      </w:r>
      <w:r w:rsidRPr="0006788A">
        <w:rPr>
          <w:rFonts w:ascii="Verdana" w:hAnsi="Verdana" w:cstheme="minorHAnsi"/>
          <w:bCs/>
          <w:sz w:val="24"/>
          <w:szCs w:val="24"/>
        </w:rPr>
        <w:t xml:space="preserve"> Lopez</w:t>
      </w:r>
      <w:r w:rsidRPr="0006788A">
        <w:rPr>
          <w:rFonts w:ascii="Verdana" w:hAnsi="Verdana" w:cstheme="minorHAnsi"/>
          <w:bCs/>
          <w:sz w:val="24"/>
          <w:szCs w:val="24"/>
        </w:rPr>
        <w:noBreakHyphen/>
        <w:t>Cabrales, 2025). Accomplishment focuses on achievement and competence, which can be supported through constructive feedback, clear objectives and growth opportunities, helping to increase satisfaction and reduce turnover (Ersoy, 2024).</w:t>
      </w:r>
    </w:p>
    <w:p w14:paraId="43A656EB" w14:textId="77777777" w:rsidR="008503F3" w:rsidRPr="0006788A" w:rsidRDefault="008503F3" w:rsidP="00764C7D">
      <w:pPr>
        <w:pStyle w:val="Nornal"/>
        <w:spacing w:after="120" w:line="276" w:lineRule="auto"/>
        <w:rPr>
          <w:rFonts w:ascii="Verdana" w:hAnsi="Verdana" w:cstheme="minorHAnsi"/>
          <w:bCs/>
          <w:sz w:val="24"/>
          <w:szCs w:val="24"/>
        </w:rPr>
      </w:pPr>
    </w:p>
    <w:p w14:paraId="414E4583" w14:textId="3547E3D9" w:rsidR="00764C7D" w:rsidRPr="0006788A" w:rsidRDefault="00764C7D" w:rsidP="00764C7D">
      <w:pPr>
        <w:pStyle w:val="Nornal"/>
        <w:spacing w:after="120" w:line="276" w:lineRule="auto"/>
        <w:rPr>
          <w:rFonts w:ascii="Verdana" w:hAnsi="Verdana" w:cstheme="minorHAnsi"/>
          <w:bCs/>
          <w:sz w:val="24"/>
          <w:szCs w:val="24"/>
        </w:rPr>
      </w:pPr>
      <w:r w:rsidRPr="0006788A">
        <w:rPr>
          <w:rFonts w:ascii="Verdana" w:hAnsi="Verdana" w:cstheme="minorHAnsi"/>
          <w:bCs/>
          <w:sz w:val="24"/>
          <w:szCs w:val="24"/>
        </w:rPr>
        <w:t>In contrast, the Job Demands–Resources (JD</w:t>
      </w:r>
      <w:r w:rsidRPr="0006788A">
        <w:rPr>
          <w:rFonts w:ascii="Verdana" w:hAnsi="Verdana" w:cstheme="minorHAnsi"/>
          <w:bCs/>
          <w:sz w:val="24"/>
          <w:szCs w:val="24"/>
        </w:rPr>
        <w:noBreakHyphen/>
        <w:t xml:space="preserve">R) model focuses on the balance between work demands and available resources. </w:t>
      </w:r>
      <w:r w:rsidR="00DA4BFB" w:rsidRPr="0006788A">
        <w:rPr>
          <w:rFonts w:ascii="Verdana" w:hAnsi="Verdana" w:cstheme="minorHAnsi"/>
          <w:bCs/>
          <w:sz w:val="24"/>
          <w:szCs w:val="24"/>
        </w:rPr>
        <w:t xml:space="preserve"> </w:t>
      </w:r>
      <w:r w:rsidRPr="0006788A">
        <w:rPr>
          <w:rFonts w:ascii="Verdana" w:hAnsi="Verdana" w:cstheme="minorHAnsi"/>
          <w:bCs/>
          <w:sz w:val="24"/>
          <w:szCs w:val="24"/>
        </w:rPr>
        <w:t xml:space="preserve">Excessive demands alongside insufficient resources are associated with stress and burnout (Bakker </w:t>
      </w:r>
      <w:r w:rsidR="00DA4BFB" w:rsidRPr="0006788A">
        <w:rPr>
          <w:rFonts w:ascii="Verdana" w:hAnsi="Verdana" w:cstheme="minorHAnsi"/>
          <w:bCs/>
          <w:sz w:val="24"/>
          <w:szCs w:val="24"/>
        </w:rPr>
        <w:t>and</w:t>
      </w:r>
      <w:r w:rsidRPr="0006788A">
        <w:rPr>
          <w:rFonts w:ascii="Verdana" w:hAnsi="Verdana" w:cstheme="minorHAnsi"/>
          <w:bCs/>
          <w:sz w:val="24"/>
          <w:szCs w:val="24"/>
        </w:rPr>
        <w:t xml:space="preserve"> Demerouti, 2017), making this model particularly </w:t>
      </w:r>
      <w:r w:rsidRPr="0006788A">
        <w:rPr>
          <w:rFonts w:ascii="Verdana" w:hAnsi="Verdana" w:cstheme="minorHAnsi"/>
          <w:bCs/>
          <w:sz w:val="24"/>
          <w:szCs w:val="24"/>
        </w:rPr>
        <w:lastRenderedPageBreak/>
        <w:t xml:space="preserve">relevant in the context of staffing shortages, financial pressures and increased workloads (Demerouti </w:t>
      </w:r>
      <w:r w:rsidR="00DA4BFB" w:rsidRPr="0006788A">
        <w:rPr>
          <w:rFonts w:ascii="Verdana" w:hAnsi="Verdana" w:cstheme="minorHAnsi"/>
          <w:bCs/>
          <w:sz w:val="24"/>
          <w:szCs w:val="24"/>
        </w:rPr>
        <w:t>and</w:t>
      </w:r>
      <w:r w:rsidRPr="0006788A">
        <w:rPr>
          <w:rFonts w:ascii="Verdana" w:hAnsi="Verdana" w:cstheme="minorHAnsi"/>
          <w:bCs/>
          <w:sz w:val="24"/>
          <w:szCs w:val="24"/>
        </w:rPr>
        <w:t xml:space="preserve"> Bakker, 2023). </w:t>
      </w:r>
      <w:r w:rsidR="00DA4BFB" w:rsidRPr="0006788A">
        <w:rPr>
          <w:rFonts w:ascii="Verdana" w:hAnsi="Verdana" w:cstheme="minorHAnsi"/>
          <w:bCs/>
          <w:sz w:val="24"/>
          <w:szCs w:val="24"/>
        </w:rPr>
        <w:t xml:space="preserve"> </w:t>
      </w:r>
      <w:r w:rsidRPr="0006788A">
        <w:rPr>
          <w:rFonts w:ascii="Verdana" w:hAnsi="Verdana" w:cstheme="minorHAnsi"/>
          <w:bCs/>
          <w:sz w:val="24"/>
          <w:szCs w:val="24"/>
        </w:rPr>
        <w:t>Applying the JD</w:t>
      </w:r>
      <w:r w:rsidRPr="0006788A">
        <w:rPr>
          <w:rFonts w:ascii="Verdana" w:hAnsi="Verdana" w:cstheme="minorHAnsi"/>
          <w:bCs/>
          <w:sz w:val="24"/>
          <w:szCs w:val="24"/>
        </w:rPr>
        <w:noBreakHyphen/>
        <w:t xml:space="preserve">R model requires organisations to reduce unnecessary demands and strengthen resources, such as supportive line management, effective job design and flexible working, to protect wellbeing and support motivation and retention (Lee </w:t>
      </w:r>
      <w:r w:rsidR="00DA4BFB" w:rsidRPr="0006788A">
        <w:rPr>
          <w:rFonts w:ascii="Verdana" w:hAnsi="Verdana" w:cstheme="minorHAnsi"/>
          <w:bCs/>
          <w:sz w:val="24"/>
          <w:szCs w:val="24"/>
        </w:rPr>
        <w:t>and</w:t>
      </w:r>
      <w:r w:rsidRPr="0006788A">
        <w:rPr>
          <w:rFonts w:ascii="Verdana" w:hAnsi="Verdana" w:cstheme="minorHAnsi"/>
          <w:bCs/>
          <w:sz w:val="24"/>
          <w:szCs w:val="24"/>
        </w:rPr>
        <w:t xml:space="preserve"> Jo, 2023).</w:t>
      </w:r>
    </w:p>
    <w:p w14:paraId="2DD13773" w14:textId="53B2C633" w:rsidR="005704C7" w:rsidRDefault="005704C7">
      <w:pPr>
        <w:rPr>
          <w:rFonts w:ascii="Verdana" w:hAnsi="Verdana" w:cstheme="minorHAnsi"/>
          <w:bCs/>
        </w:rPr>
      </w:pPr>
    </w:p>
    <w:p w14:paraId="6A02C15C" w14:textId="77777777" w:rsidR="006E62B1" w:rsidRDefault="006E62B1">
      <w:pPr>
        <w:rPr>
          <w:rFonts w:ascii="Verdana" w:eastAsiaTheme="minorHAnsi" w:hAnsi="Verdana" w:cstheme="minorHAnsi"/>
          <w:b/>
          <w:kern w:val="0"/>
          <w:sz w:val="22"/>
          <w:szCs w:val="22"/>
          <w:lang w:eastAsia="en-US"/>
          <w14:ligatures w14:val="none"/>
        </w:rPr>
      </w:pPr>
      <w:r>
        <w:rPr>
          <w:rFonts w:ascii="Verdana" w:hAnsi="Verdana" w:cstheme="minorHAnsi"/>
          <w:b/>
        </w:rPr>
        <w:br w:type="page"/>
      </w:r>
    </w:p>
    <w:p w14:paraId="5F0B82F5" w14:textId="0C6A6DCB" w:rsidR="002733D0" w:rsidRDefault="002733D0" w:rsidP="004A6366">
      <w:pPr>
        <w:pStyle w:val="Nornal"/>
        <w:numPr>
          <w:ilvl w:val="0"/>
          <w:numId w:val="2"/>
        </w:numPr>
        <w:spacing w:after="120" w:line="276" w:lineRule="auto"/>
        <w:rPr>
          <w:rFonts w:ascii="Verdana" w:hAnsi="Verdana" w:cstheme="minorHAnsi"/>
          <w:b/>
        </w:rPr>
      </w:pPr>
      <w:r w:rsidRPr="001646E7">
        <w:rPr>
          <w:rFonts w:ascii="Verdana" w:hAnsi="Verdana" w:cstheme="minorHAnsi"/>
          <w:b/>
        </w:rPr>
        <w:lastRenderedPageBreak/>
        <w:t>Discuss, with examples, how wellbeing can be managed to support organisational goals. (AC 1.2)</w:t>
      </w:r>
    </w:p>
    <w:p w14:paraId="0680FFD3" w14:textId="77777777" w:rsidR="001646E7" w:rsidRDefault="001646E7" w:rsidP="001646E7">
      <w:pPr>
        <w:pStyle w:val="Nornal"/>
        <w:spacing w:after="120" w:line="276" w:lineRule="auto"/>
        <w:ind w:left="720"/>
        <w:rPr>
          <w:rFonts w:ascii="Verdana" w:hAnsi="Verdana" w:cstheme="minorHAnsi"/>
          <w:b/>
        </w:rPr>
      </w:pPr>
    </w:p>
    <w:p w14:paraId="63B4D96E" w14:textId="77777777"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Wellbeing at work can be described as supporting employee health and creating an environment that enables people to flourish, develop and reach their potential, benefiting both the employee and the organisation (CIPD, 2023a). This can be managed through mechanisms such as employee voice, occupational health, counselling services and employee assistance programmes (EAPs), enabling feedback, early intervention and targeted support to maintain performance and reduce absence.</w:t>
      </w:r>
    </w:p>
    <w:p w14:paraId="5E9A90AD" w14:textId="77777777" w:rsidR="006E62B1" w:rsidRPr="006E62B1" w:rsidRDefault="006E62B1" w:rsidP="006E62B1">
      <w:pPr>
        <w:rPr>
          <w:rFonts w:ascii="Verdana" w:eastAsiaTheme="minorHAnsi" w:hAnsi="Verdana" w:cstheme="minorHAnsi"/>
          <w:bCs/>
          <w:kern w:val="0"/>
          <w:lang w:eastAsia="en-US"/>
          <w14:ligatures w14:val="none"/>
        </w:rPr>
      </w:pPr>
    </w:p>
    <w:p w14:paraId="2C06482C" w14:textId="0B4CD623"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 xml:space="preserve">Wellbeing is also a key driver of organisational performance, influencing engagement, productivity and business outcomes (Harter, Schmidt and Hayes, 2020). </w:t>
      </w:r>
      <w:r>
        <w:rPr>
          <w:rFonts w:ascii="Verdana" w:eastAsiaTheme="minorHAnsi" w:hAnsi="Verdana" w:cstheme="minorHAnsi"/>
          <w:bCs/>
          <w:kern w:val="0"/>
          <w:lang w:eastAsia="en-US"/>
          <w14:ligatures w14:val="none"/>
        </w:rPr>
        <w:t xml:space="preserve"> </w:t>
      </w:r>
      <w:r w:rsidRPr="006E62B1">
        <w:rPr>
          <w:rFonts w:ascii="Verdana" w:eastAsiaTheme="minorHAnsi" w:hAnsi="Verdana" w:cstheme="minorHAnsi"/>
          <w:bCs/>
          <w:kern w:val="0"/>
          <w:lang w:eastAsia="en-US"/>
          <w14:ligatures w14:val="none"/>
        </w:rPr>
        <w:t xml:space="preserve">Where stress is unmanaged, engagement declines; however, access to timely support such as counselling or EAP services can mitigate this, maintaining productivity and reducing long-term absence (Cunningham </w:t>
      </w:r>
      <w:r w:rsidRPr="006E62B1">
        <w:rPr>
          <w:rFonts w:ascii="Verdana" w:eastAsiaTheme="minorHAnsi" w:hAnsi="Verdana" w:cstheme="minorHAnsi"/>
          <w:bCs/>
          <w:i/>
          <w:iCs/>
          <w:kern w:val="0"/>
          <w:lang w:eastAsia="en-US"/>
          <w14:ligatures w14:val="none"/>
        </w:rPr>
        <w:t>et al.,</w:t>
      </w:r>
      <w:r w:rsidRPr="006E62B1">
        <w:rPr>
          <w:rFonts w:ascii="Verdana" w:eastAsiaTheme="minorHAnsi" w:hAnsi="Verdana" w:cstheme="minorHAnsi"/>
          <w:bCs/>
          <w:kern w:val="0"/>
          <w:lang w:eastAsia="en-US"/>
          <w14:ligatures w14:val="none"/>
        </w:rPr>
        <w:t xml:space="preserve"> 2024).</w:t>
      </w:r>
    </w:p>
    <w:p w14:paraId="1ED4CDFE" w14:textId="77777777" w:rsidR="004B1D23" w:rsidRPr="006E62B1" w:rsidRDefault="004B1D23" w:rsidP="006E62B1">
      <w:pPr>
        <w:rPr>
          <w:rFonts w:ascii="Verdana" w:eastAsiaTheme="minorHAnsi" w:hAnsi="Verdana" w:cstheme="minorHAnsi"/>
          <w:bCs/>
          <w:kern w:val="0"/>
          <w:lang w:eastAsia="en-US"/>
          <w14:ligatures w14:val="none"/>
        </w:rPr>
      </w:pPr>
    </w:p>
    <w:p w14:paraId="080B9974" w14:textId="08F3C803"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Organisations can align wellbeing initiatives to strategic goals by embedding them into leadership, job design and culture (De Neve, Kaats and Ward, 2024).</w:t>
      </w:r>
      <w:r>
        <w:rPr>
          <w:rFonts w:ascii="Verdana" w:eastAsiaTheme="minorHAnsi" w:hAnsi="Verdana" w:cstheme="minorHAnsi"/>
          <w:bCs/>
          <w:kern w:val="0"/>
          <w:lang w:eastAsia="en-US"/>
          <w14:ligatures w14:val="none"/>
        </w:rPr>
        <w:t xml:space="preserve"> </w:t>
      </w:r>
      <w:r w:rsidRPr="006E62B1">
        <w:rPr>
          <w:rFonts w:ascii="Verdana" w:eastAsiaTheme="minorHAnsi" w:hAnsi="Verdana" w:cstheme="minorHAnsi"/>
          <w:bCs/>
          <w:kern w:val="0"/>
          <w:lang w:eastAsia="en-US"/>
          <w14:ligatures w14:val="none"/>
        </w:rPr>
        <w:t xml:space="preserve"> A holistic approach, including occupational health, employee voice and support services, can improve engagement, customer satisfaction and productivity while reducing absence and turnover (Albrecht, Green and Marty, 2021; Harter, Schmidt and Hayes, 2020; Wright and </w:t>
      </w:r>
      <w:proofErr w:type="spellStart"/>
      <w:r w:rsidRPr="006E62B1">
        <w:rPr>
          <w:rFonts w:ascii="Verdana" w:eastAsiaTheme="minorHAnsi" w:hAnsi="Verdana" w:cstheme="minorHAnsi"/>
          <w:bCs/>
          <w:kern w:val="0"/>
          <w:lang w:eastAsia="en-US"/>
          <w14:ligatures w14:val="none"/>
        </w:rPr>
        <w:t>Cropanzano</w:t>
      </w:r>
      <w:proofErr w:type="spellEnd"/>
      <w:r w:rsidRPr="006E62B1">
        <w:rPr>
          <w:rFonts w:ascii="Verdana" w:eastAsiaTheme="minorHAnsi" w:hAnsi="Verdana" w:cstheme="minorHAnsi"/>
          <w:bCs/>
          <w:kern w:val="0"/>
          <w:lang w:eastAsia="en-US"/>
          <w14:ligatures w14:val="none"/>
        </w:rPr>
        <w:t>, 2020).</w:t>
      </w:r>
    </w:p>
    <w:p w14:paraId="26CFB231" w14:textId="77777777" w:rsidR="006E62B1" w:rsidRPr="006E62B1" w:rsidRDefault="006E62B1" w:rsidP="006E62B1">
      <w:pPr>
        <w:rPr>
          <w:rFonts w:ascii="Verdana" w:eastAsiaTheme="minorHAnsi" w:hAnsi="Verdana" w:cstheme="minorHAnsi"/>
          <w:bCs/>
          <w:kern w:val="0"/>
          <w:lang w:eastAsia="en-US"/>
          <w14:ligatures w14:val="none"/>
        </w:rPr>
      </w:pPr>
    </w:p>
    <w:p w14:paraId="400AA5F9" w14:textId="77777777"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 xml:space="preserve">For example, organisations aiming to reduce absence and improve engagement may introduce manager training focused on wellbeing conversations, absence management, constructive feedback and referral to occupational health. This supports early identification of issues, improves recovery, maintains performance and reduces turnover (Judge </w:t>
      </w:r>
      <w:r w:rsidRPr="006E62B1">
        <w:rPr>
          <w:rFonts w:ascii="Verdana" w:eastAsiaTheme="minorHAnsi" w:hAnsi="Verdana" w:cstheme="minorHAnsi"/>
          <w:bCs/>
          <w:i/>
          <w:iCs/>
          <w:kern w:val="0"/>
          <w:lang w:eastAsia="en-US"/>
          <w14:ligatures w14:val="none"/>
        </w:rPr>
        <w:t>et al.,</w:t>
      </w:r>
      <w:r w:rsidRPr="006E62B1">
        <w:rPr>
          <w:rFonts w:ascii="Verdana" w:eastAsiaTheme="minorHAnsi" w:hAnsi="Verdana" w:cstheme="minorHAnsi"/>
          <w:bCs/>
          <w:kern w:val="0"/>
          <w:lang w:eastAsia="en-US"/>
          <w14:ligatures w14:val="none"/>
        </w:rPr>
        <w:t xml:space="preserve"> 2017; Kelloway </w:t>
      </w:r>
      <w:r w:rsidRPr="006E62B1">
        <w:rPr>
          <w:rFonts w:ascii="Verdana" w:eastAsiaTheme="minorHAnsi" w:hAnsi="Verdana" w:cstheme="minorHAnsi"/>
          <w:bCs/>
          <w:i/>
          <w:iCs/>
          <w:kern w:val="0"/>
          <w:lang w:eastAsia="en-US"/>
          <w14:ligatures w14:val="none"/>
        </w:rPr>
        <w:t>et al.,</w:t>
      </w:r>
      <w:r w:rsidRPr="006E62B1">
        <w:rPr>
          <w:rFonts w:ascii="Verdana" w:eastAsiaTheme="minorHAnsi" w:hAnsi="Verdana" w:cstheme="minorHAnsi"/>
          <w:bCs/>
          <w:kern w:val="0"/>
          <w:lang w:eastAsia="en-US"/>
          <w14:ligatures w14:val="none"/>
        </w:rPr>
        <w:t xml:space="preserve"> 2021).</w:t>
      </w:r>
    </w:p>
    <w:p w14:paraId="5CB92EDD" w14:textId="77777777" w:rsidR="006E62B1" w:rsidRPr="006E62B1" w:rsidRDefault="006E62B1" w:rsidP="006E62B1">
      <w:pPr>
        <w:rPr>
          <w:rFonts w:ascii="Verdana" w:eastAsiaTheme="minorHAnsi" w:hAnsi="Verdana" w:cstheme="minorHAnsi"/>
          <w:bCs/>
          <w:kern w:val="0"/>
          <w:lang w:eastAsia="en-US"/>
          <w14:ligatures w14:val="none"/>
        </w:rPr>
      </w:pPr>
    </w:p>
    <w:p w14:paraId="738E0916" w14:textId="77777777"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 xml:space="preserve">People practitioners can also influence wellbeing through job design and policies. Flexible working, alongside access to EAPs, counselling and employee voice channels, enables proactive management of workload and work–life balance. These approaches reduce stress and burnout, </w:t>
      </w:r>
      <w:r w:rsidRPr="006E62B1">
        <w:rPr>
          <w:rFonts w:ascii="Verdana" w:eastAsiaTheme="minorHAnsi" w:hAnsi="Verdana" w:cstheme="minorHAnsi"/>
          <w:bCs/>
          <w:kern w:val="0"/>
          <w:lang w:eastAsia="en-US"/>
          <w14:ligatures w14:val="none"/>
        </w:rPr>
        <w:lastRenderedPageBreak/>
        <w:t>sustaining performance and organisational resilience (</w:t>
      </w:r>
      <w:proofErr w:type="spellStart"/>
      <w:r w:rsidRPr="006E62B1">
        <w:rPr>
          <w:rFonts w:ascii="Verdana" w:eastAsiaTheme="minorHAnsi" w:hAnsi="Verdana" w:cstheme="minorHAnsi"/>
          <w:bCs/>
          <w:kern w:val="0"/>
          <w:lang w:eastAsia="en-US"/>
          <w14:ligatures w14:val="none"/>
        </w:rPr>
        <w:t>Lesener</w:t>
      </w:r>
      <w:proofErr w:type="spellEnd"/>
      <w:r w:rsidRPr="006E62B1">
        <w:rPr>
          <w:rFonts w:ascii="Verdana" w:eastAsiaTheme="minorHAnsi" w:hAnsi="Verdana" w:cstheme="minorHAnsi"/>
          <w:bCs/>
          <w:kern w:val="0"/>
          <w:lang w:eastAsia="en-US"/>
          <w14:ligatures w14:val="none"/>
        </w:rPr>
        <w:t xml:space="preserve">, </w:t>
      </w:r>
      <w:proofErr w:type="spellStart"/>
      <w:r w:rsidRPr="006E62B1">
        <w:rPr>
          <w:rFonts w:ascii="Verdana" w:eastAsiaTheme="minorHAnsi" w:hAnsi="Verdana" w:cstheme="minorHAnsi"/>
          <w:bCs/>
          <w:kern w:val="0"/>
          <w:lang w:eastAsia="en-US"/>
          <w14:ligatures w14:val="none"/>
        </w:rPr>
        <w:t>Gusy</w:t>
      </w:r>
      <w:proofErr w:type="spellEnd"/>
      <w:r w:rsidRPr="006E62B1">
        <w:rPr>
          <w:rFonts w:ascii="Verdana" w:eastAsiaTheme="minorHAnsi" w:hAnsi="Verdana" w:cstheme="minorHAnsi"/>
          <w:bCs/>
          <w:kern w:val="0"/>
          <w:lang w:eastAsia="en-US"/>
          <w14:ligatures w14:val="none"/>
        </w:rPr>
        <w:t xml:space="preserve"> and Wolter, 2019).</w:t>
      </w:r>
    </w:p>
    <w:p w14:paraId="4DEBE968" w14:textId="77777777" w:rsidR="006E62B1" w:rsidRPr="006E62B1" w:rsidRDefault="006E62B1" w:rsidP="006E62B1">
      <w:pPr>
        <w:rPr>
          <w:rFonts w:ascii="Verdana" w:eastAsiaTheme="minorHAnsi" w:hAnsi="Verdana" w:cstheme="minorHAnsi"/>
          <w:bCs/>
          <w:kern w:val="0"/>
          <w:lang w:eastAsia="en-US"/>
          <w14:ligatures w14:val="none"/>
        </w:rPr>
      </w:pPr>
    </w:p>
    <w:p w14:paraId="2AFF83B6" w14:textId="77777777" w:rsid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 xml:space="preserve">Whilst organisations play a key role, employees also have responsibility for their own wellbeing. Mental health training and access to support services empower individuals to manage triggers and contribute to a positive wellbeing culture, supporting reduced absence and strengthening employer reputation (Dimoff and Kelloway, 2019; Klinck, </w:t>
      </w:r>
      <w:proofErr w:type="spellStart"/>
      <w:r w:rsidRPr="006E62B1">
        <w:rPr>
          <w:rFonts w:ascii="Verdana" w:eastAsiaTheme="minorHAnsi" w:hAnsi="Verdana" w:cstheme="minorHAnsi"/>
          <w:bCs/>
          <w:kern w:val="0"/>
          <w:lang w:eastAsia="en-US"/>
          <w14:ligatures w14:val="none"/>
        </w:rPr>
        <w:t>Mihailidis</w:t>
      </w:r>
      <w:proofErr w:type="spellEnd"/>
      <w:r w:rsidRPr="006E62B1">
        <w:rPr>
          <w:rFonts w:ascii="Verdana" w:eastAsiaTheme="minorHAnsi" w:hAnsi="Verdana" w:cstheme="minorHAnsi"/>
          <w:bCs/>
          <w:kern w:val="0"/>
          <w:lang w:eastAsia="en-US"/>
          <w14:ligatures w14:val="none"/>
        </w:rPr>
        <w:t xml:space="preserve"> and McConachie, 2020).</w:t>
      </w:r>
    </w:p>
    <w:p w14:paraId="2E198D79" w14:textId="77777777" w:rsidR="006E62B1" w:rsidRPr="006E62B1" w:rsidRDefault="006E62B1" w:rsidP="006E62B1">
      <w:pPr>
        <w:rPr>
          <w:rFonts w:ascii="Verdana" w:eastAsiaTheme="minorHAnsi" w:hAnsi="Verdana" w:cstheme="minorHAnsi"/>
          <w:bCs/>
          <w:kern w:val="0"/>
          <w:lang w:eastAsia="en-US"/>
          <w14:ligatures w14:val="none"/>
        </w:rPr>
      </w:pPr>
    </w:p>
    <w:p w14:paraId="276C9431" w14:textId="77777777" w:rsidR="006E62B1" w:rsidRPr="006E62B1" w:rsidRDefault="006E62B1" w:rsidP="006E62B1">
      <w:pPr>
        <w:rPr>
          <w:rFonts w:ascii="Verdana" w:eastAsiaTheme="minorHAnsi" w:hAnsi="Verdana" w:cstheme="minorHAnsi"/>
          <w:bCs/>
          <w:kern w:val="0"/>
          <w:lang w:eastAsia="en-US"/>
          <w14:ligatures w14:val="none"/>
        </w:rPr>
      </w:pPr>
      <w:r w:rsidRPr="006E62B1">
        <w:rPr>
          <w:rFonts w:ascii="Verdana" w:eastAsiaTheme="minorHAnsi" w:hAnsi="Verdana" w:cstheme="minorHAnsi"/>
          <w:bCs/>
          <w:kern w:val="0"/>
          <w:lang w:eastAsia="en-US"/>
          <w14:ligatures w14:val="none"/>
        </w:rPr>
        <w:t>Effective wellbeing management supports financial goals by reducing costs linked to absenteeism, presenteeism and recruitment, while enhancing engagement and performance. Investing in wellbeing therefore provides measurable returns through improved employee outcomes and organisational success (Harter</w:t>
      </w:r>
      <w:r w:rsidRPr="006E62B1">
        <w:rPr>
          <w:rFonts w:ascii="Verdana" w:eastAsiaTheme="minorHAnsi" w:hAnsi="Verdana" w:cstheme="minorHAnsi"/>
          <w:bCs/>
          <w:i/>
          <w:iCs/>
          <w:kern w:val="0"/>
          <w:lang w:eastAsia="en-US"/>
          <w14:ligatures w14:val="none"/>
        </w:rPr>
        <w:t xml:space="preserve"> et al.,</w:t>
      </w:r>
      <w:r w:rsidRPr="006E62B1">
        <w:rPr>
          <w:rFonts w:ascii="Verdana" w:eastAsiaTheme="minorHAnsi" w:hAnsi="Verdana" w:cstheme="minorHAnsi"/>
          <w:bCs/>
          <w:kern w:val="0"/>
          <w:lang w:eastAsia="en-US"/>
          <w14:ligatures w14:val="none"/>
        </w:rPr>
        <w:t xml:space="preserve"> 2020).</w:t>
      </w:r>
    </w:p>
    <w:p w14:paraId="7BDD6E6D" w14:textId="64EF3E2C" w:rsidR="002733D0" w:rsidRPr="007C2830" w:rsidRDefault="002733D0">
      <w:pPr>
        <w:rPr>
          <w:rFonts w:ascii="Verdana" w:eastAsiaTheme="minorHAnsi" w:hAnsi="Verdana" w:cstheme="minorHAnsi"/>
          <w:b/>
          <w:kern w:val="0"/>
          <w:sz w:val="22"/>
          <w:szCs w:val="22"/>
          <w:lang w:eastAsia="en-US"/>
          <w14:ligatures w14:val="none"/>
        </w:rPr>
      </w:pPr>
      <w:r w:rsidRPr="007C2830">
        <w:rPr>
          <w:rFonts w:ascii="Verdana" w:eastAsiaTheme="minorHAnsi" w:hAnsi="Verdana" w:cstheme="minorHAnsi"/>
          <w:b/>
          <w:kern w:val="0"/>
          <w:sz w:val="22"/>
          <w:szCs w:val="22"/>
          <w:lang w:eastAsia="en-US"/>
          <w14:ligatures w14:val="none"/>
        </w:rPr>
        <w:br w:type="page"/>
      </w:r>
    </w:p>
    <w:p w14:paraId="3CE19D6D" w14:textId="17CD27C6" w:rsidR="00596CD7" w:rsidRDefault="002733D0" w:rsidP="004A6366">
      <w:pPr>
        <w:pStyle w:val="Nornal"/>
        <w:numPr>
          <w:ilvl w:val="0"/>
          <w:numId w:val="2"/>
        </w:numPr>
        <w:spacing w:after="120" w:line="276" w:lineRule="auto"/>
        <w:rPr>
          <w:rFonts w:ascii="Verdana" w:hAnsi="Verdana" w:cstheme="minorHAnsi"/>
          <w:b/>
        </w:rPr>
      </w:pPr>
      <w:r w:rsidRPr="00596CD7">
        <w:rPr>
          <w:rFonts w:ascii="Verdana" w:hAnsi="Verdana" w:cstheme="minorHAnsi"/>
          <w:b/>
        </w:rPr>
        <w:lastRenderedPageBreak/>
        <w:t>Assess the benefits of adopting wellbeing practices in organisations. (AC 1.3)</w:t>
      </w:r>
    </w:p>
    <w:p w14:paraId="2C8C23E0" w14:textId="77777777" w:rsidR="00CB0DD5" w:rsidRDefault="00CB0DD5" w:rsidP="00CB0DD5">
      <w:pPr>
        <w:rPr>
          <w:rFonts w:ascii="Verdana" w:hAnsi="Verdana"/>
        </w:rPr>
      </w:pPr>
    </w:p>
    <w:p w14:paraId="75DD0564" w14:textId="493100F7" w:rsidR="00CC1B32" w:rsidRDefault="00CC1B32" w:rsidP="00CC1B32">
      <w:pPr>
        <w:rPr>
          <w:rFonts w:ascii="Verdana" w:hAnsi="Verdana"/>
        </w:rPr>
      </w:pPr>
      <w:r w:rsidRPr="00CC1B32">
        <w:rPr>
          <w:rFonts w:ascii="Verdana" w:hAnsi="Verdana"/>
        </w:rPr>
        <w:t xml:space="preserve">Wellbeing practices within organisations provide benefits for both individuals and the organisation, particularly when delivered through holistic strategies that combine prevention and support. For employees, these approaches improve mental and physical health, with evidence linking higher wellbeing to increased job satisfaction and reduced burnout and depression (Faragher </w:t>
      </w:r>
      <w:r w:rsidRPr="00CC1B32">
        <w:rPr>
          <w:rFonts w:ascii="Verdana" w:hAnsi="Verdana"/>
          <w:i/>
          <w:iCs/>
        </w:rPr>
        <w:t xml:space="preserve">et al., </w:t>
      </w:r>
      <w:r w:rsidRPr="00CC1B32">
        <w:rPr>
          <w:rFonts w:ascii="Verdana" w:hAnsi="Verdana"/>
        </w:rPr>
        <w:t xml:space="preserve">2005). </w:t>
      </w:r>
      <w:r w:rsidR="004B1D23">
        <w:rPr>
          <w:rFonts w:ascii="Verdana" w:hAnsi="Verdana"/>
        </w:rPr>
        <w:t xml:space="preserve"> </w:t>
      </w:r>
      <w:r w:rsidRPr="00CC1B32">
        <w:rPr>
          <w:rFonts w:ascii="Verdana" w:hAnsi="Verdana"/>
        </w:rPr>
        <w:t xml:space="preserve">Preventative interventions, such as good job design and manageable workloads, alongside services like counselling and employee assistance programmes (EAPs), reduce stress and improve wellbeing, resilience and engagement (Cohen </w:t>
      </w:r>
      <w:r w:rsidRPr="00CC1B32">
        <w:rPr>
          <w:rFonts w:ascii="Verdana" w:hAnsi="Verdana"/>
          <w:i/>
          <w:iCs/>
        </w:rPr>
        <w:t>et al.,</w:t>
      </w:r>
      <w:r w:rsidRPr="00CC1B32">
        <w:rPr>
          <w:rFonts w:ascii="Verdana" w:hAnsi="Verdana"/>
        </w:rPr>
        <w:t xml:space="preserve"> 2023; Kartali and </w:t>
      </w:r>
      <w:proofErr w:type="spellStart"/>
      <w:r w:rsidRPr="00CC1B32">
        <w:rPr>
          <w:rFonts w:ascii="Verdana" w:hAnsi="Verdana"/>
        </w:rPr>
        <w:t>Gkliati</w:t>
      </w:r>
      <w:proofErr w:type="spellEnd"/>
      <w:r w:rsidRPr="00CC1B32">
        <w:rPr>
          <w:rFonts w:ascii="Verdana" w:hAnsi="Verdana"/>
        </w:rPr>
        <w:t>, 2024).</w:t>
      </w:r>
    </w:p>
    <w:p w14:paraId="1B7C3408" w14:textId="77777777" w:rsidR="00715A5B" w:rsidRPr="00CC1B32" w:rsidRDefault="00715A5B" w:rsidP="00CC1B32">
      <w:pPr>
        <w:rPr>
          <w:rFonts w:ascii="Verdana" w:hAnsi="Verdana"/>
        </w:rPr>
      </w:pPr>
    </w:p>
    <w:p w14:paraId="3B24B51B" w14:textId="77FEDB8B" w:rsidR="00CC1B32" w:rsidRDefault="00CC1B32" w:rsidP="00CC1B32">
      <w:pPr>
        <w:rPr>
          <w:rFonts w:ascii="Verdana" w:hAnsi="Verdana"/>
        </w:rPr>
      </w:pPr>
      <w:r w:rsidRPr="00CC1B32">
        <w:rPr>
          <w:rFonts w:ascii="Verdana" w:hAnsi="Verdana"/>
        </w:rPr>
        <w:t>From an organisational perspective, the benefits are significant and measurable. Holistic strategies that prioritise prevention and early intervention can reduce sickness absence and presenteeism, generating cost savings through lower absence-related costs and maintained productivity (</w:t>
      </w:r>
      <w:proofErr w:type="spellStart"/>
      <w:r w:rsidRPr="00CC1B32">
        <w:rPr>
          <w:rFonts w:ascii="Verdana" w:hAnsi="Verdana"/>
        </w:rPr>
        <w:t>Tarro</w:t>
      </w:r>
      <w:proofErr w:type="spellEnd"/>
      <w:r w:rsidRPr="00CC1B32">
        <w:rPr>
          <w:rFonts w:ascii="Verdana" w:hAnsi="Verdana"/>
        </w:rPr>
        <w:t xml:space="preserve"> </w:t>
      </w:r>
      <w:r w:rsidRPr="00CC1B32">
        <w:rPr>
          <w:rFonts w:ascii="Verdana" w:hAnsi="Verdana"/>
          <w:i/>
          <w:iCs/>
        </w:rPr>
        <w:t>et al.,</w:t>
      </w:r>
      <w:r w:rsidRPr="00CC1B32">
        <w:rPr>
          <w:rFonts w:ascii="Verdana" w:hAnsi="Verdana"/>
        </w:rPr>
        <w:t xml:space="preserve"> 2020). </w:t>
      </w:r>
      <w:r w:rsidR="004B1D23">
        <w:rPr>
          <w:rFonts w:ascii="Verdana" w:hAnsi="Verdana"/>
        </w:rPr>
        <w:t xml:space="preserve"> </w:t>
      </w:r>
      <w:r w:rsidRPr="00CC1B32">
        <w:rPr>
          <w:rFonts w:ascii="Verdana" w:hAnsi="Verdana"/>
        </w:rPr>
        <w:t>For example, access to occupational health and early support can prevent short-term issues escalating into long-term absence, reducing costs and disruption.</w:t>
      </w:r>
    </w:p>
    <w:p w14:paraId="1345F6FE" w14:textId="77777777" w:rsidR="00715A5B" w:rsidRPr="00CC1B32" w:rsidRDefault="00715A5B" w:rsidP="00CC1B32">
      <w:pPr>
        <w:rPr>
          <w:rFonts w:ascii="Verdana" w:hAnsi="Verdana"/>
        </w:rPr>
      </w:pPr>
    </w:p>
    <w:p w14:paraId="0A449651" w14:textId="3F062389" w:rsidR="00CC1B32" w:rsidRDefault="00CC1B32" w:rsidP="00CC1B32">
      <w:pPr>
        <w:rPr>
          <w:rFonts w:ascii="Verdana" w:hAnsi="Verdana"/>
        </w:rPr>
      </w:pPr>
      <w:r w:rsidRPr="00CC1B32">
        <w:rPr>
          <w:rFonts w:ascii="Verdana" w:hAnsi="Verdana"/>
        </w:rPr>
        <w:t xml:space="preserve">Improved wellbeing is also associated with reduced staff turnover, enabling organisations to retain skills and knowledge while minimising recruitment costs (Nair </w:t>
      </w:r>
      <w:r w:rsidRPr="00CC1B32">
        <w:rPr>
          <w:rFonts w:ascii="Verdana" w:hAnsi="Verdana"/>
          <w:i/>
          <w:iCs/>
        </w:rPr>
        <w:t>et al.,</w:t>
      </w:r>
      <w:r w:rsidRPr="00CC1B32">
        <w:rPr>
          <w:rFonts w:ascii="Verdana" w:hAnsi="Verdana"/>
        </w:rPr>
        <w:t xml:space="preserve"> 2024). </w:t>
      </w:r>
      <w:r w:rsidR="004B1D23">
        <w:rPr>
          <w:rFonts w:ascii="Verdana" w:hAnsi="Verdana"/>
        </w:rPr>
        <w:t xml:space="preserve"> </w:t>
      </w:r>
      <w:r w:rsidRPr="00CC1B32">
        <w:rPr>
          <w:rFonts w:ascii="Verdana" w:hAnsi="Verdana"/>
        </w:rPr>
        <w:t>Strengthening employer brand through wellbeing investment supports attraction and retention, creating longer-term benefits (</w:t>
      </w:r>
      <w:proofErr w:type="spellStart"/>
      <w:r w:rsidRPr="00CC1B32">
        <w:rPr>
          <w:rFonts w:ascii="Verdana" w:hAnsi="Verdana"/>
        </w:rPr>
        <w:t>Rassibi</w:t>
      </w:r>
      <w:proofErr w:type="spellEnd"/>
      <w:r w:rsidRPr="00CC1B32">
        <w:rPr>
          <w:rFonts w:ascii="Verdana" w:hAnsi="Verdana"/>
        </w:rPr>
        <w:t xml:space="preserve"> and </w:t>
      </w:r>
      <w:proofErr w:type="spellStart"/>
      <w:r w:rsidRPr="00CC1B32">
        <w:rPr>
          <w:rFonts w:ascii="Verdana" w:hAnsi="Verdana"/>
        </w:rPr>
        <w:t>Siragi</w:t>
      </w:r>
      <w:proofErr w:type="spellEnd"/>
      <w:r w:rsidRPr="00CC1B32">
        <w:rPr>
          <w:rFonts w:ascii="Verdana" w:hAnsi="Verdana"/>
        </w:rPr>
        <w:t xml:space="preserve">, 2026). </w:t>
      </w:r>
      <w:r w:rsidR="004B1D23">
        <w:rPr>
          <w:rFonts w:ascii="Verdana" w:hAnsi="Verdana"/>
        </w:rPr>
        <w:t xml:space="preserve"> </w:t>
      </w:r>
      <w:r w:rsidRPr="00CC1B32">
        <w:rPr>
          <w:rFonts w:ascii="Verdana" w:hAnsi="Verdana"/>
        </w:rPr>
        <w:t>These outcomes demonstrate a clear return on investment when wellbeing is embedded in organisational strategy.</w:t>
      </w:r>
    </w:p>
    <w:p w14:paraId="56D982C7" w14:textId="77777777" w:rsidR="00715A5B" w:rsidRPr="00CC1B32" w:rsidRDefault="00715A5B" w:rsidP="00CC1B32">
      <w:pPr>
        <w:rPr>
          <w:rFonts w:ascii="Verdana" w:hAnsi="Verdana"/>
        </w:rPr>
      </w:pPr>
    </w:p>
    <w:p w14:paraId="04475C2C" w14:textId="717AE2D5" w:rsidR="00CC1B32" w:rsidRPr="00CC1B32" w:rsidRDefault="00CC1B32" w:rsidP="00CC1B32">
      <w:pPr>
        <w:rPr>
          <w:rFonts w:ascii="Verdana" w:hAnsi="Verdana"/>
        </w:rPr>
      </w:pPr>
      <w:r w:rsidRPr="00CC1B32">
        <w:rPr>
          <w:rFonts w:ascii="Verdana" w:hAnsi="Verdana"/>
        </w:rPr>
        <w:t xml:space="preserve">Wellbeing practices also improve performance, with evidence suggesting productivity gains of around 10 percent (Krekel </w:t>
      </w:r>
      <w:r w:rsidRPr="00CC1B32">
        <w:rPr>
          <w:rFonts w:ascii="Verdana" w:hAnsi="Verdana"/>
          <w:i/>
          <w:iCs/>
        </w:rPr>
        <w:t xml:space="preserve">et al., </w:t>
      </w:r>
      <w:r w:rsidRPr="00CC1B32">
        <w:rPr>
          <w:rFonts w:ascii="Verdana" w:hAnsi="Verdana"/>
        </w:rPr>
        <w:t xml:space="preserve">2019). </w:t>
      </w:r>
      <w:r w:rsidR="00715A5B">
        <w:rPr>
          <w:rFonts w:ascii="Verdana" w:hAnsi="Verdana"/>
        </w:rPr>
        <w:t xml:space="preserve"> </w:t>
      </w:r>
      <w:r w:rsidRPr="00CC1B32">
        <w:rPr>
          <w:rFonts w:ascii="Verdana" w:hAnsi="Verdana"/>
        </w:rPr>
        <w:t xml:space="preserve">In customer-facing roles, enhanced wellbeing improves service quality, as employees are more engaged and motivated (du Plessis and Rabie, 2025). Supportive leadership and psychologically safe environments also encourage learning and innovation (Dumitriu </w:t>
      </w:r>
      <w:r w:rsidRPr="00CC1B32">
        <w:rPr>
          <w:rFonts w:ascii="Verdana" w:hAnsi="Verdana"/>
          <w:i/>
          <w:iCs/>
        </w:rPr>
        <w:t>et al.,</w:t>
      </w:r>
      <w:r w:rsidRPr="00CC1B32">
        <w:rPr>
          <w:rFonts w:ascii="Verdana" w:hAnsi="Verdana"/>
        </w:rPr>
        <w:t xml:space="preserve"> 2025).</w:t>
      </w:r>
    </w:p>
    <w:p w14:paraId="40A7C70C" w14:textId="77777777" w:rsidR="00CC1B32" w:rsidRDefault="00CC1B32" w:rsidP="00CC1B32">
      <w:pPr>
        <w:rPr>
          <w:rFonts w:ascii="Verdana" w:hAnsi="Verdana"/>
        </w:rPr>
      </w:pPr>
      <w:r w:rsidRPr="00CC1B32">
        <w:rPr>
          <w:rFonts w:ascii="Verdana" w:hAnsi="Verdana"/>
        </w:rPr>
        <w:lastRenderedPageBreak/>
        <w:t>However, these benefits depend on effective implementation. Poorly designed or superficial initiatives (‘wellbeing washing’) may fail to address root causes and reduce trust (Mikołajczyk, 2025). Similarly, focusing only on individual resilience without addressing workload or management practices can limit effectiveness and cost savings.</w:t>
      </w:r>
    </w:p>
    <w:p w14:paraId="147E2488" w14:textId="77777777" w:rsidR="00715A5B" w:rsidRPr="00CC1B32" w:rsidRDefault="00715A5B" w:rsidP="00CC1B32">
      <w:pPr>
        <w:rPr>
          <w:rFonts w:ascii="Verdana" w:hAnsi="Verdana"/>
        </w:rPr>
      </w:pPr>
    </w:p>
    <w:p w14:paraId="7F8BE0A3" w14:textId="77777777" w:rsidR="00CC1B32" w:rsidRDefault="00CC1B32" w:rsidP="00CC1B32">
      <w:pPr>
        <w:rPr>
          <w:rFonts w:ascii="Verdana" w:hAnsi="Verdana"/>
        </w:rPr>
      </w:pPr>
      <w:r w:rsidRPr="00CC1B32">
        <w:rPr>
          <w:rFonts w:ascii="Verdana" w:hAnsi="Verdana"/>
        </w:rPr>
        <w:t xml:space="preserve">Therefore, evidence supports preventative, organisation-level strategies addressing work design, culture and leadership, alongside support such as occupational health, counselling and EAP provision (Bhoir and Sinha, 2024; Cohen </w:t>
      </w:r>
      <w:r w:rsidRPr="00CC1B32">
        <w:rPr>
          <w:rFonts w:ascii="Verdana" w:hAnsi="Verdana"/>
          <w:i/>
          <w:iCs/>
        </w:rPr>
        <w:t>et al.,</w:t>
      </w:r>
      <w:r w:rsidRPr="00CC1B32">
        <w:rPr>
          <w:rFonts w:ascii="Verdana" w:hAnsi="Verdana"/>
        </w:rPr>
        <w:t xml:space="preserve"> 2023). CIPD (2026a) highlights that wellbeing should be embedded within HR strategy rather than delivered as standalone initiatives.</w:t>
      </w:r>
    </w:p>
    <w:p w14:paraId="7669AE00" w14:textId="77777777" w:rsidR="00715A5B" w:rsidRPr="00CC1B32" w:rsidRDefault="00715A5B" w:rsidP="00CC1B32">
      <w:pPr>
        <w:rPr>
          <w:rFonts w:ascii="Verdana" w:hAnsi="Verdana"/>
        </w:rPr>
      </w:pPr>
    </w:p>
    <w:p w14:paraId="3435BFC8" w14:textId="77777777" w:rsidR="00CC1B32" w:rsidRPr="00CC1B32" w:rsidRDefault="00CC1B32" w:rsidP="00CC1B32">
      <w:pPr>
        <w:rPr>
          <w:rFonts w:ascii="Verdana" w:hAnsi="Verdana"/>
        </w:rPr>
      </w:pPr>
      <w:r w:rsidRPr="00CC1B32">
        <w:rPr>
          <w:rFonts w:ascii="Verdana" w:hAnsi="Verdana"/>
        </w:rPr>
        <w:t>Overall, wellbeing practices deliver substantial benefits, including improved health, engagement and performance. When implemented as part of a holistic, preventative strategy, they also deliver cost savings and long-term value, making them central to sustainable organisational success.</w:t>
      </w:r>
    </w:p>
    <w:p w14:paraId="3E2054F9" w14:textId="77777777" w:rsidR="00CC1B32" w:rsidRDefault="00CC1B32" w:rsidP="00CB0DD5">
      <w:pPr>
        <w:rPr>
          <w:rFonts w:ascii="Verdana" w:hAnsi="Verdana"/>
        </w:rPr>
      </w:pPr>
    </w:p>
    <w:p w14:paraId="7FA1CAB4" w14:textId="77777777" w:rsidR="00CC1B32" w:rsidRDefault="00CC1B32" w:rsidP="00CB0DD5">
      <w:pPr>
        <w:rPr>
          <w:rFonts w:ascii="Verdana" w:hAnsi="Verdana"/>
        </w:rPr>
      </w:pPr>
    </w:p>
    <w:p w14:paraId="4452F8C7" w14:textId="77777777" w:rsidR="00CC1B32" w:rsidRDefault="00CC1B32" w:rsidP="00CB0DD5">
      <w:pPr>
        <w:rPr>
          <w:rFonts w:ascii="Verdana" w:hAnsi="Verdana"/>
        </w:rPr>
      </w:pPr>
    </w:p>
    <w:p w14:paraId="705075ED" w14:textId="535C582C" w:rsidR="00CB0DD5" w:rsidRDefault="00CB0DD5">
      <w:pPr>
        <w:rPr>
          <w:rFonts w:ascii="Verdana" w:eastAsiaTheme="minorHAnsi" w:hAnsi="Verdana" w:cstheme="minorHAnsi"/>
          <w:b/>
          <w:kern w:val="0"/>
          <w:sz w:val="22"/>
          <w:szCs w:val="22"/>
          <w:lang w:eastAsia="en-US"/>
          <w14:ligatures w14:val="none"/>
        </w:rPr>
      </w:pPr>
      <w:r>
        <w:rPr>
          <w:rFonts w:ascii="Verdana" w:hAnsi="Verdana" w:cstheme="minorHAnsi"/>
          <w:b/>
        </w:rPr>
        <w:br w:type="page"/>
      </w:r>
    </w:p>
    <w:p w14:paraId="18AF7D4F" w14:textId="77777777" w:rsidR="00733B1F" w:rsidRPr="001E5A4D" w:rsidRDefault="00733B1F" w:rsidP="001E5A4D">
      <w:pPr>
        <w:pStyle w:val="Nornal"/>
        <w:spacing w:after="120" w:line="276" w:lineRule="auto"/>
        <w:rPr>
          <w:rFonts w:ascii="Verdana" w:hAnsi="Verdana" w:cstheme="minorHAnsi"/>
          <w:b/>
        </w:rPr>
      </w:pPr>
    </w:p>
    <w:p w14:paraId="7488F287" w14:textId="77777777" w:rsidR="002733D0" w:rsidRPr="001E5A4D" w:rsidRDefault="002733D0" w:rsidP="004A6366">
      <w:pPr>
        <w:pStyle w:val="Nornal"/>
        <w:numPr>
          <w:ilvl w:val="0"/>
          <w:numId w:val="2"/>
        </w:numPr>
        <w:spacing w:after="120" w:line="276" w:lineRule="auto"/>
        <w:rPr>
          <w:rFonts w:ascii="Verdana" w:hAnsi="Verdana"/>
          <w:b/>
          <w:sz w:val="24"/>
          <w:szCs w:val="24"/>
        </w:rPr>
      </w:pPr>
      <w:r w:rsidRPr="001E5A4D">
        <w:rPr>
          <w:rFonts w:ascii="Verdana" w:hAnsi="Verdana"/>
          <w:b/>
          <w:sz w:val="24"/>
          <w:szCs w:val="24"/>
        </w:rPr>
        <w:t>Evaluate the contribution made by key stakeholders’ (listed below) to improving wellbeing at work.</w:t>
      </w:r>
    </w:p>
    <w:p w14:paraId="44CD0ACC" w14:textId="77777777" w:rsidR="002733D0" w:rsidRPr="001E5A4D" w:rsidRDefault="002733D0" w:rsidP="004A6366">
      <w:pPr>
        <w:pStyle w:val="ListParagraph"/>
        <w:numPr>
          <w:ilvl w:val="0"/>
          <w:numId w:val="1"/>
        </w:numPr>
        <w:spacing w:after="120" w:line="276" w:lineRule="auto"/>
        <w:ind w:left="993" w:hanging="11"/>
        <w:rPr>
          <w:rFonts w:ascii="Verdana" w:hAnsi="Verdana"/>
          <w:b/>
        </w:rPr>
      </w:pPr>
      <w:r w:rsidRPr="001E5A4D">
        <w:rPr>
          <w:rFonts w:ascii="Verdana" w:hAnsi="Verdana"/>
          <w:b/>
        </w:rPr>
        <w:t>People professionals</w:t>
      </w:r>
    </w:p>
    <w:p w14:paraId="0924015D" w14:textId="77777777" w:rsidR="002733D0" w:rsidRPr="001E5A4D" w:rsidRDefault="002733D0" w:rsidP="004A6366">
      <w:pPr>
        <w:pStyle w:val="ListParagraph"/>
        <w:numPr>
          <w:ilvl w:val="0"/>
          <w:numId w:val="1"/>
        </w:numPr>
        <w:spacing w:after="120" w:line="276" w:lineRule="auto"/>
        <w:ind w:left="993" w:hanging="11"/>
        <w:rPr>
          <w:rFonts w:ascii="Verdana" w:hAnsi="Verdana"/>
          <w:b/>
        </w:rPr>
      </w:pPr>
      <w:r w:rsidRPr="001E5A4D">
        <w:rPr>
          <w:rFonts w:ascii="Verdana" w:hAnsi="Verdana"/>
          <w:b/>
        </w:rPr>
        <w:t>Leadership and management</w:t>
      </w:r>
    </w:p>
    <w:p w14:paraId="45550AAD" w14:textId="77777777" w:rsidR="002733D0" w:rsidRDefault="002733D0" w:rsidP="004A6366">
      <w:pPr>
        <w:pStyle w:val="ListParagraph"/>
        <w:numPr>
          <w:ilvl w:val="0"/>
          <w:numId w:val="1"/>
        </w:numPr>
        <w:spacing w:after="120" w:line="276" w:lineRule="auto"/>
        <w:ind w:left="993" w:hanging="11"/>
        <w:rPr>
          <w:rFonts w:ascii="Verdana" w:hAnsi="Verdana"/>
          <w:b/>
        </w:rPr>
      </w:pPr>
      <w:r w:rsidRPr="001E5A4D">
        <w:rPr>
          <w:rFonts w:ascii="Verdana" w:hAnsi="Verdana"/>
          <w:b/>
        </w:rPr>
        <w:t>External partners (AC 2.1)</w:t>
      </w:r>
    </w:p>
    <w:p w14:paraId="1DBF49DE" w14:textId="77777777" w:rsidR="00503DA4" w:rsidRPr="001E5A4D" w:rsidRDefault="00503DA4" w:rsidP="00503DA4">
      <w:pPr>
        <w:pStyle w:val="ListParagraph"/>
        <w:spacing w:after="120" w:line="276" w:lineRule="auto"/>
        <w:ind w:left="993"/>
        <w:rPr>
          <w:rFonts w:ascii="Verdana" w:hAnsi="Verdana"/>
          <w:b/>
        </w:rPr>
      </w:pPr>
    </w:p>
    <w:p w14:paraId="3818BAF0" w14:textId="674CD642" w:rsidR="00DC2DA5" w:rsidRDefault="00DC2DA5" w:rsidP="00DC2DA5">
      <w:pPr>
        <w:rPr>
          <w:rFonts w:ascii="Verdana" w:hAnsi="Verdana"/>
          <w:bCs/>
        </w:rPr>
      </w:pPr>
      <w:r w:rsidRPr="00DC2DA5">
        <w:rPr>
          <w:rFonts w:ascii="Verdana" w:hAnsi="Verdana"/>
          <w:bCs/>
        </w:rPr>
        <w:t xml:space="preserve">People professionals play a key role in designing and embedding wellbeing strategy across organisational policies and procedures (CIPD, 2026b). </w:t>
      </w:r>
      <w:r>
        <w:rPr>
          <w:rFonts w:ascii="Verdana" w:hAnsi="Verdana"/>
          <w:bCs/>
        </w:rPr>
        <w:t xml:space="preserve"> </w:t>
      </w:r>
      <w:r w:rsidRPr="00DC2DA5">
        <w:rPr>
          <w:rFonts w:ascii="Verdana" w:hAnsi="Verdana"/>
          <w:bCs/>
        </w:rPr>
        <w:t xml:space="preserve">They ensure managers and leaders are trained to apply policies consistently and promote wellbeing in practice (Cohen </w:t>
      </w:r>
      <w:r w:rsidRPr="00DC2DA5">
        <w:rPr>
          <w:rFonts w:ascii="Verdana" w:hAnsi="Verdana"/>
          <w:bCs/>
          <w:i/>
          <w:iCs/>
        </w:rPr>
        <w:t>et al.,</w:t>
      </w:r>
      <w:r w:rsidRPr="00DC2DA5">
        <w:rPr>
          <w:rFonts w:ascii="Verdana" w:hAnsi="Verdana"/>
          <w:bCs/>
        </w:rPr>
        <w:t xml:space="preserve"> 2023). </w:t>
      </w:r>
      <w:r>
        <w:rPr>
          <w:rFonts w:ascii="Verdana" w:hAnsi="Verdana"/>
          <w:bCs/>
        </w:rPr>
        <w:t xml:space="preserve"> </w:t>
      </w:r>
      <w:r w:rsidRPr="00DC2DA5">
        <w:rPr>
          <w:rFonts w:ascii="Verdana" w:hAnsi="Verdana"/>
          <w:bCs/>
        </w:rPr>
        <w:t>They also ensure legal compliance through governance arrangements (ACAS, 2025b) and analyse workforce data, such as sickness absence, turnover and engagement, to identify trends and drive evidence</w:t>
      </w:r>
      <w:r w:rsidRPr="00DC2DA5">
        <w:rPr>
          <w:rFonts w:ascii="Verdana" w:hAnsi="Verdana"/>
          <w:bCs/>
        </w:rPr>
        <w:noBreakHyphen/>
        <w:t xml:space="preserve">based organisational change (De Neve </w:t>
      </w:r>
      <w:r w:rsidRPr="00DC2DA5">
        <w:rPr>
          <w:rFonts w:ascii="Verdana" w:hAnsi="Verdana"/>
          <w:bCs/>
          <w:i/>
          <w:iCs/>
        </w:rPr>
        <w:t>et al.,</w:t>
      </w:r>
      <w:r w:rsidRPr="00DC2DA5">
        <w:rPr>
          <w:rFonts w:ascii="Verdana" w:hAnsi="Verdana"/>
          <w:bCs/>
        </w:rPr>
        <w:t xml:space="preserve"> 2025).</w:t>
      </w:r>
    </w:p>
    <w:p w14:paraId="5AFFEB65" w14:textId="77777777" w:rsidR="00503DA4" w:rsidRPr="00DC2DA5" w:rsidRDefault="00503DA4" w:rsidP="00DC2DA5">
      <w:pPr>
        <w:rPr>
          <w:rFonts w:ascii="Verdana" w:hAnsi="Verdana"/>
          <w:bCs/>
        </w:rPr>
      </w:pPr>
    </w:p>
    <w:p w14:paraId="27C86174" w14:textId="09C48735" w:rsidR="00DC2DA5" w:rsidRDefault="00DC2DA5" w:rsidP="00DC2DA5">
      <w:pPr>
        <w:rPr>
          <w:rFonts w:ascii="Verdana" w:hAnsi="Verdana"/>
          <w:bCs/>
        </w:rPr>
      </w:pPr>
      <w:r w:rsidRPr="00DC2DA5">
        <w:rPr>
          <w:rFonts w:ascii="Verdana" w:hAnsi="Verdana"/>
          <w:bCs/>
        </w:rPr>
        <w:t xml:space="preserve">However, despite their strategic role, people professionals may have limited direct impact on day-to-day wellbeing without strong leadership commitment (Bhoir and Sinha, 2024). </w:t>
      </w:r>
      <w:r>
        <w:rPr>
          <w:rFonts w:ascii="Verdana" w:hAnsi="Verdana"/>
          <w:bCs/>
        </w:rPr>
        <w:t xml:space="preserve"> </w:t>
      </w:r>
      <w:r w:rsidRPr="00DC2DA5">
        <w:rPr>
          <w:rFonts w:ascii="Verdana" w:hAnsi="Verdana"/>
          <w:bCs/>
        </w:rPr>
        <w:t xml:space="preserve">Cultural change takes time, requiring sustained effort and clear demonstration of organisational benefits (Krekel </w:t>
      </w:r>
      <w:r w:rsidRPr="00DC2DA5">
        <w:rPr>
          <w:rFonts w:ascii="Verdana" w:hAnsi="Verdana"/>
          <w:bCs/>
          <w:i/>
          <w:iCs/>
        </w:rPr>
        <w:t>et al.,</w:t>
      </w:r>
      <w:r w:rsidRPr="00DC2DA5">
        <w:rPr>
          <w:rFonts w:ascii="Verdana" w:hAnsi="Verdana"/>
          <w:bCs/>
        </w:rPr>
        <w:t xml:space="preserve"> 2019).</w:t>
      </w:r>
    </w:p>
    <w:p w14:paraId="57D6D766" w14:textId="77777777" w:rsidR="00503DA4" w:rsidRPr="00DC2DA5" w:rsidRDefault="00503DA4" w:rsidP="00DC2DA5">
      <w:pPr>
        <w:rPr>
          <w:rFonts w:ascii="Verdana" w:hAnsi="Verdana"/>
          <w:bCs/>
        </w:rPr>
      </w:pPr>
    </w:p>
    <w:p w14:paraId="4D4F77EE" w14:textId="56518D80" w:rsidR="00DC2DA5" w:rsidRDefault="00DC2DA5" w:rsidP="00DC2DA5">
      <w:pPr>
        <w:rPr>
          <w:rFonts w:ascii="Verdana" w:hAnsi="Verdana"/>
          <w:bCs/>
        </w:rPr>
      </w:pPr>
      <w:r w:rsidRPr="00DC2DA5">
        <w:rPr>
          <w:rFonts w:ascii="Verdana" w:hAnsi="Verdana"/>
          <w:bCs/>
        </w:rPr>
        <w:t xml:space="preserve">Leadership and management play a vital role by creating space to listen and address wellbeing concerns. </w:t>
      </w:r>
      <w:r>
        <w:rPr>
          <w:rFonts w:ascii="Verdana" w:hAnsi="Verdana"/>
          <w:bCs/>
        </w:rPr>
        <w:t xml:space="preserve"> </w:t>
      </w:r>
      <w:r w:rsidRPr="00DC2DA5">
        <w:rPr>
          <w:rFonts w:ascii="Verdana" w:hAnsi="Verdana"/>
          <w:bCs/>
        </w:rPr>
        <w:t>Leaders shape culture and psychological safety through role modelling (Edmondson, 2018).</w:t>
      </w:r>
      <w:r>
        <w:rPr>
          <w:rFonts w:ascii="Verdana" w:hAnsi="Verdana"/>
          <w:bCs/>
        </w:rPr>
        <w:t xml:space="preserve"> </w:t>
      </w:r>
      <w:r w:rsidRPr="00DC2DA5">
        <w:rPr>
          <w:rFonts w:ascii="Verdana" w:hAnsi="Verdana"/>
          <w:bCs/>
        </w:rPr>
        <w:t xml:space="preserve"> Managers influence workload, job design and demands, key determinants of wellbeing (Health and Safety Executive, 2024). </w:t>
      </w:r>
      <w:r>
        <w:rPr>
          <w:rFonts w:ascii="Verdana" w:hAnsi="Verdana"/>
          <w:bCs/>
        </w:rPr>
        <w:t xml:space="preserve"> </w:t>
      </w:r>
      <w:r w:rsidRPr="00DC2DA5">
        <w:rPr>
          <w:rFonts w:ascii="Verdana" w:hAnsi="Verdana"/>
          <w:bCs/>
        </w:rPr>
        <w:t>Poor or inconsistent leadership can erode trust and negatively impact wellbeing (Mikołajczyk, 2025).</w:t>
      </w:r>
    </w:p>
    <w:p w14:paraId="21F6A82C" w14:textId="77777777" w:rsidR="00503DA4" w:rsidRPr="00DC2DA5" w:rsidRDefault="00503DA4" w:rsidP="00DC2DA5">
      <w:pPr>
        <w:rPr>
          <w:rFonts w:ascii="Verdana" w:hAnsi="Verdana"/>
          <w:bCs/>
        </w:rPr>
      </w:pPr>
    </w:p>
    <w:p w14:paraId="7CB8C8AA" w14:textId="011866CE" w:rsidR="00DC2DA5" w:rsidRDefault="00DC2DA5" w:rsidP="00DC2DA5">
      <w:pPr>
        <w:rPr>
          <w:rFonts w:ascii="Verdana" w:hAnsi="Verdana"/>
          <w:bCs/>
        </w:rPr>
      </w:pPr>
      <w:r w:rsidRPr="00DC2DA5">
        <w:rPr>
          <w:rFonts w:ascii="Verdana" w:hAnsi="Verdana"/>
          <w:bCs/>
        </w:rPr>
        <w:t xml:space="preserve">External partners add value through specialist services such as occupational health, employee assistance programmes and mental health support. </w:t>
      </w:r>
      <w:r w:rsidR="00192789">
        <w:rPr>
          <w:rFonts w:ascii="Verdana" w:hAnsi="Verdana"/>
          <w:bCs/>
        </w:rPr>
        <w:t xml:space="preserve"> </w:t>
      </w:r>
      <w:r w:rsidRPr="00DC2DA5">
        <w:rPr>
          <w:rFonts w:ascii="Verdana" w:hAnsi="Verdana"/>
          <w:bCs/>
        </w:rPr>
        <w:t xml:space="preserve">However, their impact is often reactive and dependent on uptake, making them most effective within a wider preventative strategy (CIPD, 2025a). </w:t>
      </w:r>
      <w:r w:rsidR="00192789">
        <w:rPr>
          <w:rFonts w:ascii="Verdana" w:hAnsi="Verdana"/>
          <w:bCs/>
        </w:rPr>
        <w:t xml:space="preserve"> </w:t>
      </w:r>
      <w:r w:rsidRPr="00DC2DA5">
        <w:rPr>
          <w:rFonts w:ascii="Verdana" w:hAnsi="Verdana"/>
          <w:bCs/>
        </w:rPr>
        <w:t>Trade unions also advocate for wellbeing and represent workforce interests (TUC, 2024), alongside employers’ legal duties under the Health and Safety at Work etc. Act 1974 (ACAS, 2025a).</w:t>
      </w:r>
    </w:p>
    <w:p w14:paraId="6CE8D109" w14:textId="77777777" w:rsidR="00503DA4" w:rsidRPr="00DC2DA5" w:rsidRDefault="00503DA4" w:rsidP="00DC2DA5">
      <w:pPr>
        <w:rPr>
          <w:rFonts w:ascii="Verdana" w:hAnsi="Verdana"/>
          <w:bCs/>
        </w:rPr>
      </w:pPr>
    </w:p>
    <w:p w14:paraId="57F70E7A" w14:textId="77777777" w:rsidR="00DC2DA5" w:rsidRPr="00DC2DA5" w:rsidRDefault="00DC2DA5" w:rsidP="00DC2DA5">
      <w:pPr>
        <w:rPr>
          <w:rFonts w:ascii="Verdana" w:hAnsi="Verdana"/>
          <w:bCs/>
        </w:rPr>
      </w:pPr>
      <w:r w:rsidRPr="00DC2DA5">
        <w:rPr>
          <w:rFonts w:ascii="Verdana" w:hAnsi="Verdana"/>
          <w:bCs/>
        </w:rPr>
        <w:lastRenderedPageBreak/>
        <w:t>Overall, while all stakeholders contribute, leadership and management have the greatest direct impact due to their influence on daily work. People professionals play a critical enabling role, while external partners are most effective when integrated into internal systems rather than used in isolation.</w:t>
      </w:r>
    </w:p>
    <w:p w14:paraId="6013AE9F" w14:textId="2AC58EE6" w:rsidR="008A08DE" w:rsidRDefault="008A08DE">
      <w:pPr>
        <w:rPr>
          <w:rFonts w:ascii="Verdana" w:hAnsi="Verdana"/>
          <w:bCs/>
        </w:rPr>
      </w:pPr>
      <w:r>
        <w:rPr>
          <w:rFonts w:ascii="Verdana" w:hAnsi="Verdana"/>
          <w:bCs/>
        </w:rPr>
        <w:br w:type="page"/>
      </w:r>
    </w:p>
    <w:p w14:paraId="22C4B1E7" w14:textId="2903CCFA" w:rsidR="00E11CE8" w:rsidRPr="008A08DE" w:rsidRDefault="002733D0" w:rsidP="004A6366">
      <w:pPr>
        <w:pStyle w:val="Nornal"/>
        <w:numPr>
          <w:ilvl w:val="0"/>
          <w:numId w:val="2"/>
        </w:numPr>
        <w:spacing w:after="120" w:line="276" w:lineRule="auto"/>
        <w:rPr>
          <w:rFonts w:ascii="Verdana" w:hAnsi="Verdana"/>
          <w:b/>
          <w:sz w:val="24"/>
          <w:szCs w:val="24"/>
        </w:rPr>
      </w:pPr>
      <w:r w:rsidRPr="008A08DE">
        <w:rPr>
          <w:rFonts w:ascii="Verdana" w:hAnsi="Verdana"/>
          <w:b/>
          <w:sz w:val="24"/>
          <w:szCs w:val="24"/>
        </w:rPr>
        <w:lastRenderedPageBreak/>
        <w:t>Discuss how wellbeing can interact with other areas of people management practice. (AC 2.2)</w:t>
      </w:r>
    </w:p>
    <w:p w14:paraId="681F5F7F" w14:textId="77777777" w:rsidR="00D65582" w:rsidRPr="00A34AE5" w:rsidRDefault="00D65582" w:rsidP="00A34AE5">
      <w:pPr>
        <w:rPr>
          <w:rFonts w:ascii="Verdana" w:hAnsi="Verdana"/>
        </w:rPr>
      </w:pPr>
    </w:p>
    <w:p w14:paraId="4BE6767D" w14:textId="136C21FC" w:rsidR="00D65582" w:rsidRPr="00A34AE5" w:rsidRDefault="00D65582" w:rsidP="00A34AE5">
      <w:pPr>
        <w:rPr>
          <w:rFonts w:ascii="Verdana" w:hAnsi="Verdana"/>
        </w:rPr>
      </w:pPr>
      <w:r w:rsidRPr="00A34AE5">
        <w:rPr>
          <w:rFonts w:ascii="Verdana" w:hAnsi="Verdana"/>
        </w:rPr>
        <w:t>Employee wellbeing should be considered across all areas of people management, as it both influences and is shaped by core HR practices. One key interaction is with performance management. Research shows that high levels of stress negatively affect cognitive function, decision making and sustained performance (</w:t>
      </w:r>
      <w:proofErr w:type="spellStart"/>
      <w:r w:rsidRPr="00A34AE5">
        <w:rPr>
          <w:rFonts w:ascii="Verdana" w:hAnsi="Verdana"/>
        </w:rPr>
        <w:t>LePine</w:t>
      </w:r>
      <w:proofErr w:type="spellEnd"/>
      <w:r w:rsidRPr="00A34AE5">
        <w:rPr>
          <w:rFonts w:ascii="Verdana" w:hAnsi="Verdana"/>
        </w:rPr>
        <w:t xml:space="preserve">, Podsakoff and </w:t>
      </w:r>
      <w:proofErr w:type="spellStart"/>
      <w:r w:rsidRPr="00A34AE5">
        <w:rPr>
          <w:rFonts w:ascii="Verdana" w:hAnsi="Verdana"/>
        </w:rPr>
        <w:t>LePine</w:t>
      </w:r>
      <w:proofErr w:type="spellEnd"/>
      <w:r w:rsidRPr="00A34AE5">
        <w:rPr>
          <w:rFonts w:ascii="Verdana" w:hAnsi="Verdana"/>
        </w:rPr>
        <w:t xml:space="preserve">, 2005). </w:t>
      </w:r>
      <w:r w:rsidR="00B46458" w:rsidRPr="00A34AE5">
        <w:rPr>
          <w:rFonts w:ascii="Verdana" w:hAnsi="Verdana"/>
        </w:rPr>
        <w:t xml:space="preserve"> </w:t>
      </w:r>
      <w:r w:rsidRPr="00A34AE5">
        <w:rPr>
          <w:rFonts w:ascii="Verdana" w:hAnsi="Verdana"/>
        </w:rPr>
        <w:t>As a result, highly target</w:t>
      </w:r>
      <w:r w:rsidRPr="00A34AE5">
        <w:rPr>
          <w:rFonts w:ascii="Verdana" w:hAnsi="Verdana"/>
        </w:rPr>
        <w:noBreakHyphen/>
        <w:t>driven approaches may unintentionally undermine wellbeing</w:t>
      </w:r>
      <w:r w:rsidR="00AD73DA" w:rsidRPr="00A34AE5">
        <w:rPr>
          <w:rFonts w:ascii="Verdana" w:hAnsi="Verdana"/>
        </w:rPr>
        <w:t xml:space="preserve">, which in turn negatively impacts </w:t>
      </w:r>
      <w:r w:rsidRPr="00A34AE5">
        <w:rPr>
          <w:rFonts w:ascii="Verdana" w:hAnsi="Verdana"/>
        </w:rPr>
        <w:t>performance</w:t>
      </w:r>
      <w:r w:rsidR="00AD73DA" w:rsidRPr="00A34AE5">
        <w:rPr>
          <w:rFonts w:ascii="Verdana" w:hAnsi="Verdana"/>
        </w:rPr>
        <w:t xml:space="preserve"> outcomes</w:t>
      </w:r>
      <w:r w:rsidRPr="00A34AE5">
        <w:rPr>
          <w:rFonts w:ascii="Verdana" w:hAnsi="Verdana"/>
        </w:rPr>
        <w:t xml:space="preserve">. </w:t>
      </w:r>
      <w:r w:rsidR="00B46458" w:rsidRPr="00A34AE5">
        <w:rPr>
          <w:rFonts w:ascii="Verdana" w:hAnsi="Verdana"/>
        </w:rPr>
        <w:t xml:space="preserve"> </w:t>
      </w:r>
      <w:r w:rsidRPr="00A34AE5">
        <w:rPr>
          <w:rFonts w:ascii="Verdana" w:hAnsi="Verdana"/>
        </w:rPr>
        <w:t>Managers therefore need to be trained to recognise stress and hold supportive conversations, including the use of reasonable adjustments, rather than focusing solely on unmet targets (ACAS, 2024).</w:t>
      </w:r>
    </w:p>
    <w:p w14:paraId="1092D4E4" w14:textId="77777777" w:rsidR="00A34AE5" w:rsidRPr="00A34AE5" w:rsidRDefault="00A34AE5" w:rsidP="00A34AE5">
      <w:pPr>
        <w:rPr>
          <w:rFonts w:ascii="Verdana" w:hAnsi="Verdana"/>
        </w:rPr>
      </w:pPr>
    </w:p>
    <w:p w14:paraId="635C73D9" w14:textId="4271D67F" w:rsidR="00D65582" w:rsidRPr="00A34AE5" w:rsidRDefault="00D65582" w:rsidP="00A34AE5">
      <w:pPr>
        <w:rPr>
          <w:rFonts w:ascii="Verdana" w:hAnsi="Verdana"/>
        </w:rPr>
      </w:pPr>
      <w:r w:rsidRPr="00A34AE5">
        <w:rPr>
          <w:rFonts w:ascii="Verdana" w:hAnsi="Verdana"/>
        </w:rPr>
        <w:t xml:space="preserve">However, this creates tension, as managers may struggle to balance compassion with accountability (Guest, 2017). </w:t>
      </w:r>
      <w:r w:rsidR="00B46458" w:rsidRPr="00A34AE5">
        <w:rPr>
          <w:rFonts w:ascii="Verdana" w:hAnsi="Verdana"/>
        </w:rPr>
        <w:t xml:space="preserve"> </w:t>
      </w:r>
      <w:r w:rsidRPr="00A34AE5">
        <w:rPr>
          <w:rFonts w:ascii="Verdana" w:hAnsi="Verdana"/>
        </w:rPr>
        <w:t>Without clear guidance, wellbeing considerations may be perceived as lowering expectations, highlighting the need for consistent frameworks and managerial capability.</w:t>
      </w:r>
    </w:p>
    <w:p w14:paraId="78BD442A" w14:textId="77777777" w:rsidR="00A34AE5" w:rsidRPr="00A34AE5" w:rsidRDefault="00A34AE5" w:rsidP="00A34AE5">
      <w:pPr>
        <w:rPr>
          <w:rFonts w:ascii="Verdana" w:hAnsi="Verdana"/>
        </w:rPr>
      </w:pPr>
    </w:p>
    <w:p w14:paraId="6CD52EE3" w14:textId="7807DEB3" w:rsidR="00D65582" w:rsidRPr="00A34AE5" w:rsidRDefault="00D65582" w:rsidP="00A34AE5">
      <w:pPr>
        <w:rPr>
          <w:rFonts w:ascii="Verdana" w:hAnsi="Verdana"/>
        </w:rPr>
      </w:pPr>
      <w:r w:rsidRPr="00A34AE5">
        <w:rPr>
          <w:rFonts w:ascii="Verdana" w:hAnsi="Verdana"/>
        </w:rPr>
        <w:t xml:space="preserve">Wellbeing also interacts strongly with learning and development. People management practices can equip managers with skills to support wellbeing through training in mental health awareness and psychologically safe leadership (Cohen </w:t>
      </w:r>
      <w:r w:rsidRPr="00A34AE5">
        <w:rPr>
          <w:rFonts w:ascii="Verdana" w:hAnsi="Verdana"/>
          <w:i/>
          <w:iCs/>
        </w:rPr>
        <w:t>et al.,</w:t>
      </w:r>
      <w:r w:rsidRPr="00A34AE5">
        <w:rPr>
          <w:rFonts w:ascii="Verdana" w:hAnsi="Verdana"/>
        </w:rPr>
        <w:t xml:space="preserve"> 2023).</w:t>
      </w:r>
      <w:r w:rsidR="004B1D23">
        <w:rPr>
          <w:rFonts w:ascii="Verdana" w:hAnsi="Verdana"/>
        </w:rPr>
        <w:t xml:space="preserve"> </w:t>
      </w:r>
      <w:r w:rsidRPr="00A34AE5">
        <w:rPr>
          <w:rFonts w:ascii="Verdana" w:hAnsi="Verdana"/>
        </w:rPr>
        <w:t xml:space="preserve"> However, training alone does not guarantee behaviour change. Time pressures, workload and competing priorities can limit managers’ ability to prioritise wellbeing, particularly in high</w:t>
      </w:r>
      <w:r w:rsidRPr="00A34AE5">
        <w:rPr>
          <w:rFonts w:ascii="Verdana" w:hAnsi="Verdana"/>
        </w:rPr>
        <w:noBreakHyphen/>
        <w:t xml:space="preserve">demand environments (Bhoir </w:t>
      </w:r>
      <w:r w:rsidR="00B46458" w:rsidRPr="00A34AE5">
        <w:rPr>
          <w:rFonts w:ascii="Verdana" w:hAnsi="Verdana"/>
        </w:rPr>
        <w:t>and</w:t>
      </w:r>
      <w:r w:rsidRPr="00A34AE5">
        <w:rPr>
          <w:rFonts w:ascii="Verdana" w:hAnsi="Verdana"/>
        </w:rPr>
        <w:t xml:space="preserve"> Sinha, 2024), reinforcing the need for supportive job design and senior leadership commitment</w:t>
      </w:r>
      <w:r w:rsidR="000E17DA" w:rsidRPr="00A34AE5">
        <w:rPr>
          <w:rFonts w:ascii="Verdana" w:hAnsi="Verdana"/>
        </w:rPr>
        <w:t>.  Also highlighting</w:t>
      </w:r>
      <w:r w:rsidR="00096AF5" w:rsidRPr="00A34AE5">
        <w:rPr>
          <w:rFonts w:ascii="Verdana" w:hAnsi="Verdana"/>
        </w:rPr>
        <w:t xml:space="preserve"> how learning and development both supports and is constrained by wellbeing</w:t>
      </w:r>
      <w:r w:rsidRPr="00A34AE5">
        <w:rPr>
          <w:rFonts w:ascii="Verdana" w:hAnsi="Verdana"/>
        </w:rPr>
        <w:t>.</w:t>
      </w:r>
    </w:p>
    <w:p w14:paraId="0C23EE9D" w14:textId="77777777" w:rsidR="00A34AE5" w:rsidRPr="00A34AE5" w:rsidRDefault="00A34AE5" w:rsidP="00A34AE5">
      <w:pPr>
        <w:rPr>
          <w:rFonts w:ascii="Verdana" w:hAnsi="Verdana"/>
        </w:rPr>
      </w:pPr>
    </w:p>
    <w:p w14:paraId="49749940" w14:textId="0F51D103" w:rsidR="00D65582" w:rsidRPr="00A34AE5" w:rsidRDefault="00D65582" w:rsidP="00A34AE5">
      <w:pPr>
        <w:rPr>
          <w:rFonts w:ascii="Verdana" w:hAnsi="Verdana"/>
        </w:rPr>
      </w:pPr>
      <w:r w:rsidRPr="00A34AE5">
        <w:rPr>
          <w:rFonts w:ascii="Verdana" w:hAnsi="Verdana"/>
        </w:rPr>
        <w:t xml:space="preserve">Reward and recognition practices also influence wellbeing, particularly financial wellbeing, which is closely linked to mental health. </w:t>
      </w:r>
      <w:r w:rsidR="004B1D23">
        <w:rPr>
          <w:rFonts w:ascii="Verdana" w:hAnsi="Verdana"/>
        </w:rPr>
        <w:t xml:space="preserve"> </w:t>
      </w:r>
      <w:r w:rsidRPr="00A34AE5">
        <w:rPr>
          <w:rFonts w:ascii="Verdana" w:hAnsi="Verdana"/>
        </w:rPr>
        <w:t xml:space="preserve">Fair, transparent pay and recognition can reduce financial anxiety and strengthen engagement and belonging (CIPD, 2025b). </w:t>
      </w:r>
      <w:r w:rsidR="004B1D23">
        <w:rPr>
          <w:rFonts w:ascii="Verdana" w:hAnsi="Verdana"/>
        </w:rPr>
        <w:t xml:space="preserve"> </w:t>
      </w:r>
      <w:r w:rsidRPr="00A34AE5">
        <w:rPr>
          <w:rFonts w:ascii="Verdana" w:hAnsi="Verdana"/>
        </w:rPr>
        <w:t xml:space="preserve">Conversely, reward systems that overemphasise performance metrics or competition </w:t>
      </w:r>
      <w:r w:rsidRPr="00A34AE5">
        <w:rPr>
          <w:rFonts w:ascii="Verdana" w:hAnsi="Verdana"/>
        </w:rPr>
        <w:lastRenderedPageBreak/>
        <w:t>may increase pressure and undermine wellbeing, especially where incentives encourage long hours or unhealthy behaviours (Pfeffer, 2018).</w:t>
      </w:r>
    </w:p>
    <w:p w14:paraId="04444A38" w14:textId="77777777" w:rsidR="00A34AE5" w:rsidRPr="00A34AE5" w:rsidRDefault="00A34AE5" w:rsidP="00A34AE5">
      <w:pPr>
        <w:rPr>
          <w:rFonts w:ascii="Verdana" w:hAnsi="Verdana"/>
        </w:rPr>
      </w:pPr>
    </w:p>
    <w:p w14:paraId="1927FD8D" w14:textId="3FAD1822" w:rsidR="00D65582" w:rsidRPr="00A34AE5" w:rsidRDefault="00D65582" w:rsidP="00A34AE5">
      <w:pPr>
        <w:rPr>
          <w:rFonts w:ascii="Verdana" w:hAnsi="Verdana"/>
        </w:rPr>
      </w:pPr>
      <w:r w:rsidRPr="00A34AE5">
        <w:rPr>
          <w:rFonts w:ascii="Verdana" w:hAnsi="Verdana"/>
        </w:rPr>
        <w:t xml:space="preserve">Talent management and career development further interact with wellbeing by supporting employees’ sense of security and progression. </w:t>
      </w:r>
      <w:r w:rsidR="004B1D23">
        <w:rPr>
          <w:rFonts w:ascii="Verdana" w:hAnsi="Verdana"/>
        </w:rPr>
        <w:t xml:space="preserve"> </w:t>
      </w:r>
      <w:r w:rsidRPr="00A34AE5">
        <w:rPr>
          <w:rFonts w:ascii="Verdana" w:hAnsi="Verdana"/>
        </w:rPr>
        <w:t>Clear career pathways enhance engagement and retention, while feeling undervalued is associated with poorer wellbeing (Harvey, 2025</w:t>
      </w:r>
      <w:r w:rsidR="00EA460C" w:rsidRPr="00A34AE5">
        <w:rPr>
          <w:rFonts w:ascii="Verdana" w:hAnsi="Verdana"/>
        </w:rPr>
        <w:t>a</w:t>
      </w:r>
      <w:r w:rsidRPr="00A34AE5">
        <w:rPr>
          <w:rFonts w:ascii="Verdana" w:hAnsi="Verdana"/>
        </w:rPr>
        <w:t>).</w:t>
      </w:r>
      <w:r w:rsidR="004B1D23">
        <w:rPr>
          <w:rFonts w:ascii="Verdana" w:hAnsi="Verdana"/>
        </w:rPr>
        <w:t xml:space="preserve"> </w:t>
      </w:r>
      <w:r w:rsidRPr="00A34AE5">
        <w:rPr>
          <w:rFonts w:ascii="Verdana" w:hAnsi="Verdana"/>
        </w:rPr>
        <w:t xml:space="preserve"> However, talent strategies focused only on high</w:t>
      </w:r>
      <w:r w:rsidRPr="00A34AE5">
        <w:rPr>
          <w:rFonts w:ascii="Verdana" w:hAnsi="Verdana"/>
        </w:rPr>
        <w:noBreakHyphen/>
        <w:t>potential groups can increase perceptions of unfairness and stress among others (CIPD, 2025c).</w:t>
      </w:r>
    </w:p>
    <w:p w14:paraId="6B418AE3" w14:textId="77777777" w:rsidR="00A34AE5" w:rsidRPr="00A34AE5" w:rsidRDefault="00A34AE5" w:rsidP="00A34AE5">
      <w:pPr>
        <w:rPr>
          <w:rFonts w:ascii="Verdana" w:hAnsi="Verdana"/>
        </w:rPr>
      </w:pPr>
    </w:p>
    <w:p w14:paraId="2E36C0C6" w14:textId="77777777" w:rsidR="00D65582" w:rsidRPr="00A34AE5" w:rsidRDefault="00D65582" w:rsidP="00A34AE5">
      <w:pPr>
        <w:rPr>
          <w:rFonts w:ascii="Verdana" w:hAnsi="Verdana"/>
        </w:rPr>
      </w:pPr>
      <w:r w:rsidRPr="00A34AE5">
        <w:rPr>
          <w:rFonts w:ascii="Verdana" w:hAnsi="Verdana"/>
        </w:rPr>
        <w:t>Employee relations are also closely linked to wellbeing. Poor wellbeing can contribute to conflict, grievances and attendance issues, while supportive approaches enable early intervention. Stress and mental ill health frequently underpin absenteeism and performance concerns (CIPD, 2026a). Where managers lack confidence, issues may be managed reactively through formal processes, escalating conflict and damaging trust.</w:t>
      </w:r>
    </w:p>
    <w:p w14:paraId="28423188" w14:textId="77777777" w:rsidR="00A34AE5" w:rsidRPr="00A34AE5" w:rsidRDefault="00A34AE5" w:rsidP="00A34AE5">
      <w:pPr>
        <w:rPr>
          <w:rFonts w:ascii="Verdana" w:hAnsi="Verdana"/>
        </w:rPr>
      </w:pPr>
    </w:p>
    <w:p w14:paraId="1A2A9BF8" w14:textId="77777777" w:rsidR="00A34AE5" w:rsidRPr="00A34AE5" w:rsidRDefault="00A34AE5" w:rsidP="00A34AE5">
      <w:pPr>
        <w:rPr>
          <w:rFonts w:ascii="Verdana" w:eastAsiaTheme="minorHAnsi" w:hAnsi="Verdana" w:cs="Arial"/>
          <w:kern w:val="0"/>
          <w:lang w:eastAsia="en-US"/>
          <w14:ligatures w14:val="none"/>
        </w:rPr>
      </w:pPr>
      <w:r w:rsidRPr="00A34AE5">
        <w:rPr>
          <w:rFonts w:ascii="Verdana" w:eastAsiaTheme="minorHAnsi" w:hAnsi="Verdana" w:cs="Arial"/>
          <w:kern w:val="0"/>
          <w:lang w:eastAsia="en-US"/>
          <w14:ligatures w14:val="none"/>
        </w:rPr>
        <w:t>Overall, wellbeing interacts dynamically with all areas of people management, both influencing and being influenced by HR practices. When aligned, these interactions enhance performance, engagement and employee relations; however, where misaligned, they can create tension and reduce organisational effectiveness.</w:t>
      </w:r>
    </w:p>
    <w:p w14:paraId="2F71C294" w14:textId="77777777" w:rsidR="004B1D23" w:rsidRDefault="004B1D23">
      <w:pPr>
        <w:rPr>
          <w:rFonts w:ascii="Verdana" w:eastAsiaTheme="minorHAnsi" w:hAnsi="Verdana" w:cs="Arial"/>
          <w:b/>
          <w:kern w:val="0"/>
          <w:lang w:eastAsia="en-US"/>
          <w14:ligatures w14:val="none"/>
        </w:rPr>
      </w:pPr>
      <w:bookmarkStart w:id="1" w:name="_Hlk123051299"/>
      <w:r>
        <w:rPr>
          <w:rFonts w:ascii="Verdana" w:hAnsi="Verdana"/>
          <w:b/>
        </w:rPr>
        <w:br w:type="page"/>
      </w:r>
    </w:p>
    <w:p w14:paraId="67FBB748" w14:textId="10307E81" w:rsidR="002733D0" w:rsidRPr="008A08DE" w:rsidRDefault="002733D0" w:rsidP="004A6366">
      <w:pPr>
        <w:pStyle w:val="Nornal"/>
        <w:numPr>
          <w:ilvl w:val="0"/>
          <w:numId w:val="2"/>
        </w:numPr>
        <w:spacing w:after="120" w:line="276" w:lineRule="auto"/>
        <w:rPr>
          <w:rFonts w:ascii="Verdana" w:hAnsi="Verdana"/>
          <w:b/>
          <w:sz w:val="24"/>
          <w:szCs w:val="24"/>
        </w:rPr>
      </w:pPr>
      <w:r w:rsidRPr="008A08DE">
        <w:rPr>
          <w:rFonts w:ascii="Verdana" w:hAnsi="Verdana"/>
          <w:b/>
          <w:sz w:val="24"/>
          <w:szCs w:val="24"/>
        </w:rPr>
        <w:lastRenderedPageBreak/>
        <w:t>Analyse how organisational context shapes wellbeing. (AC 2.3)</w:t>
      </w:r>
    </w:p>
    <w:p w14:paraId="3B26BF00" w14:textId="77777777" w:rsidR="00883A32" w:rsidRPr="00443BC9" w:rsidRDefault="00883A32" w:rsidP="00443BC9">
      <w:pPr>
        <w:rPr>
          <w:rFonts w:ascii="Verdana" w:hAnsi="Verdana"/>
        </w:rPr>
      </w:pPr>
    </w:p>
    <w:p w14:paraId="6130CBCC" w14:textId="77777777"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The CIPD (2025d) identifies seven key domains of workplace wellbeing and emphasises there is no ‘one size fits all’ approach. Wellbeing strategies should be shaped by organisational context, including the nature of work, workforce characteristics, culture, structure and external environment. Different contexts create specific risks and priorities, requiring tailored approaches (Nielsen and Miraglia, 2017).</w:t>
      </w:r>
    </w:p>
    <w:p w14:paraId="68BE809F" w14:textId="77777777" w:rsidR="00443BC9" w:rsidRPr="00443BC9" w:rsidRDefault="00443BC9" w:rsidP="00443BC9">
      <w:pPr>
        <w:rPr>
          <w:rFonts w:ascii="Verdana" w:eastAsiaTheme="minorHAnsi" w:hAnsi="Verdana" w:cs="Arial"/>
          <w:kern w:val="0"/>
          <w:lang w:eastAsia="en-US"/>
          <w14:ligatures w14:val="none"/>
        </w:rPr>
      </w:pPr>
    </w:p>
    <w:p w14:paraId="28074A92" w14:textId="77777777"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For example, in the insurance and call centre sector, work is often emotionally demanding, requiring employees to manage high call volumes, respond to distressed customers and meet strict targets. This creates emotional labour and cognitive load, increasing risks of stress, burnout and anxiety (Deery, Iverson and Walsh, 2002). Sedentary working, limited control and noisy environments further elevate risks, so priorities focus on mental health support, workload management, break quality and resilience. These factors rarely operate in isolation; job design, culture and performance expectations combine to intensify risks.</w:t>
      </w:r>
    </w:p>
    <w:p w14:paraId="4CDAEBBC" w14:textId="77777777" w:rsidR="00443BC9" w:rsidRPr="00443BC9" w:rsidRDefault="00443BC9" w:rsidP="00443BC9">
      <w:pPr>
        <w:rPr>
          <w:rFonts w:ascii="Verdana" w:eastAsiaTheme="minorHAnsi" w:hAnsi="Verdana" w:cs="Arial"/>
          <w:kern w:val="0"/>
          <w:lang w:eastAsia="en-US"/>
          <w14:ligatures w14:val="none"/>
        </w:rPr>
      </w:pPr>
    </w:p>
    <w:p w14:paraId="3AC48760" w14:textId="53666CEA"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 xml:space="preserve">Sector differences also shape wellbeing needs. </w:t>
      </w:r>
      <w:r w:rsidR="00443BC9">
        <w:rPr>
          <w:rFonts w:ascii="Verdana" w:eastAsiaTheme="minorHAnsi" w:hAnsi="Verdana" w:cs="Arial"/>
          <w:kern w:val="0"/>
          <w:lang w:eastAsia="en-US"/>
          <w14:ligatures w14:val="none"/>
        </w:rPr>
        <w:t xml:space="preserve"> </w:t>
      </w:r>
      <w:r w:rsidRPr="00443BC9">
        <w:rPr>
          <w:rFonts w:ascii="Verdana" w:eastAsiaTheme="minorHAnsi" w:hAnsi="Verdana" w:cs="Arial"/>
          <w:kern w:val="0"/>
          <w:lang w:eastAsia="en-US"/>
          <w14:ligatures w14:val="none"/>
        </w:rPr>
        <w:t xml:space="preserve">Customer-facing roles involve constant interaction with limited recovery time, whereas knowledge workers experience risks linked to long hours, work intensity and blurred boundaries when working remotely. </w:t>
      </w:r>
      <w:r w:rsidR="00443BC9">
        <w:rPr>
          <w:rFonts w:ascii="Verdana" w:eastAsiaTheme="minorHAnsi" w:hAnsi="Verdana" w:cs="Arial"/>
          <w:kern w:val="0"/>
          <w:lang w:eastAsia="en-US"/>
          <w14:ligatures w14:val="none"/>
        </w:rPr>
        <w:t xml:space="preserve"> </w:t>
      </w:r>
      <w:r w:rsidRPr="00443BC9">
        <w:rPr>
          <w:rFonts w:ascii="Verdana" w:eastAsiaTheme="minorHAnsi" w:hAnsi="Verdana" w:cs="Arial"/>
          <w:kern w:val="0"/>
          <w:lang w:eastAsia="en-US"/>
          <w14:ligatures w14:val="none"/>
        </w:rPr>
        <w:t>As a result, interventions may prioritise emotional support, ergonomics, work–life balance or social connection depending on context (Brotheridge and Lee, 2021).</w:t>
      </w:r>
    </w:p>
    <w:p w14:paraId="5DFF2D36" w14:textId="77777777" w:rsidR="00443BC9" w:rsidRPr="00443BC9" w:rsidRDefault="00443BC9" w:rsidP="00443BC9">
      <w:pPr>
        <w:rPr>
          <w:rFonts w:ascii="Verdana" w:eastAsiaTheme="minorHAnsi" w:hAnsi="Verdana" w:cs="Arial"/>
          <w:kern w:val="0"/>
          <w:lang w:eastAsia="en-US"/>
          <w14:ligatures w14:val="none"/>
        </w:rPr>
      </w:pPr>
    </w:p>
    <w:p w14:paraId="208A3A87" w14:textId="77777777"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Workforce characteristics further influence priorities. An ageing workforce may require greater focus on musculoskeletal health, flexible working and occupational health support (CIPD, 2024b), while younger employees may benefit from mental and financial wellbeing support (CIPD, 2023c). In call centre settings, high turnover increases the need for resilience and development initiatives.</w:t>
      </w:r>
    </w:p>
    <w:p w14:paraId="47440FD0" w14:textId="77777777" w:rsidR="00443BC9" w:rsidRPr="00443BC9" w:rsidRDefault="00443BC9" w:rsidP="00443BC9">
      <w:pPr>
        <w:rPr>
          <w:rFonts w:ascii="Verdana" w:eastAsiaTheme="minorHAnsi" w:hAnsi="Verdana" w:cs="Arial"/>
          <w:kern w:val="0"/>
          <w:lang w:eastAsia="en-US"/>
          <w14:ligatures w14:val="none"/>
        </w:rPr>
      </w:pPr>
    </w:p>
    <w:p w14:paraId="71F41FE9" w14:textId="77777777"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 xml:space="preserve">Organisational culture is often one of the most influential factors, shaping how demands such as workload are experienced. Supportive cultures </w:t>
      </w:r>
      <w:r w:rsidRPr="00443BC9">
        <w:rPr>
          <w:rFonts w:ascii="Verdana" w:eastAsiaTheme="minorHAnsi" w:hAnsi="Verdana" w:cs="Arial"/>
          <w:kern w:val="0"/>
          <w:lang w:eastAsia="en-US"/>
          <w14:ligatures w14:val="none"/>
        </w:rPr>
        <w:lastRenderedPageBreak/>
        <w:t xml:space="preserve">promoting psychological safety can mitigate stress, whereas high-pressure, target-driven cultures may exacerbate absenteeism, presenteeism and turnover (Kelloway </w:t>
      </w:r>
      <w:r w:rsidRPr="00443BC9">
        <w:rPr>
          <w:rFonts w:ascii="Verdana" w:eastAsiaTheme="minorHAnsi" w:hAnsi="Verdana" w:cs="Arial"/>
          <w:i/>
          <w:iCs/>
          <w:kern w:val="0"/>
          <w:lang w:eastAsia="en-US"/>
          <w14:ligatures w14:val="none"/>
        </w:rPr>
        <w:t>et al</w:t>
      </w:r>
      <w:r w:rsidRPr="00443BC9">
        <w:rPr>
          <w:rFonts w:ascii="Verdana" w:eastAsiaTheme="minorHAnsi" w:hAnsi="Verdana" w:cs="Arial"/>
          <w:kern w:val="0"/>
          <w:lang w:eastAsia="en-US"/>
          <w14:ligatures w14:val="none"/>
        </w:rPr>
        <w:t xml:space="preserve">., 2012; Ma </w:t>
      </w:r>
      <w:r w:rsidRPr="00443BC9">
        <w:rPr>
          <w:rFonts w:ascii="Verdana" w:eastAsiaTheme="minorHAnsi" w:hAnsi="Verdana" w:cs="Arial"/>
          <w:i/>
          <w:iCs/>
          <w:kern w:val="0"/>
          <w:lang w:eastAsia="en-US"/>
          <w14:ligatures w14:val="none"/>
        </w:rPr>
        <w:t>et al.,</w:t>
      </w:r>
      <w:r w:rsidRPr="00443BC9">
        <w:rPr>
          <w:rFonts w:ascii="Verdana" w:eastAsiaTheme="minorHAnsi" w:hAnsi="Verdana" w:cs="Arial"/>
          <w:kern w:val="0"/>
          <w:lang w:eastAsia="en-US"/>
          <w14:ligatures w14:val="none"/>
        </w:rPr>
        <w:t xml:space="preserve"> 2024).</w:t>
      </w:r>
    </w:p>
    <w:p w14:paraId="6635A647" w14:textId="77777777" w:rsidR="00443BC9" w:rsidRPr="00443BC9" w:rsidRDefault="00443BC9" w:rsidP="00443BC9">
      <w:pPr>
        <w:rPr>
          <w:rFonts w:ascii="Verdana" w:eastAsiaTheme="minorHAnsi" w:hAnsi="Verdana" w:cs="Arial"/>
          <w:kern w:val="0"/>
          <w:lang w:eastAsia="en-US"/>
          <w14:ligatures w14:val="none"/>
        </w:rPr>
      </w:pPr>
    </w:p>
    <w:p w14:paraId="3D7929CD" w14:textId="77777777"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 xml:space="preserve">Job design also affects wellbeing. Shift work, repetitive tasks and limited autonomy are linked to fatigue and reduced engagement (Fischer </w:t>
      </w:r>
      <w:r w:rsidRPr="00443BC9">
        <w:rPr>
          <w:rFonts w:ascii="Verdana" w:eastAsiaTheme="minorHAnsi" w:hAnsi="Verdana" w:cs="Arial"/>
          <w:i/>
          <w:iCs/>
          <w:kern w:val="0"/>
          <w:lang w:eastAsia="en-US"/>
          <w14:ligatures w14:val="none"/>
        </w:rPr>
        <w:t>et al.,</w:t>
      </w:r>
      <w:r w:rsidRPr="00443BC9">
        <w:rPr>
          <w:rFonts w:ascii="Verdana" w:eastAsiaTheme="minorHAnsi" w:hAnsi="Verdana" w:cs="Arial"/>
          <w:kern w:val="0"/>
          <w:lang w:eastAsia="en-US"/>
          <w14:ligatures w14:val="none"/>
        </w:rPr>
        <w:t xml:space="preserve"> 2021), whereas autonomy and task variety improve wellbeing (Deci and Ryan, 2000).</w:t>
      </w:r>
    </w:p>
    <w:p w14:paraId="2A5818EE" w14:textId="77777777" w:rsidR="00443BC9" w:rsidRPr="00443BC9" w:rsidRDefault="00443BC9" w:rsidP="00443BC9">
      <w:pPr>
        <w:rPr>
          <w:rFonts w:ascii="Verdana" w:eastAsiaTheme="minorHAnsi" w:hAnsi="Verdana" w:cs="Arial"/>
          <w:kern w:val="0"/>
          <w:lang w:eastAsia="en-US"/>
          <w14:ligatures w14:val="none"/>
        </w:rPr>
      </w:pPr>
    </w:p>
    <w:p w14:paraId="6C45768F" w14:textId="04BB9D4D" w:rsidR="00B9500C"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 xml:space="preserve">Periods of organisational change can intensify risks, as employees experience increased workloads and job insecurity (Machell, 2024). External pressures such as the </w:t>
      </w:r>
      <w:r w:rsidR="00443BC9" w:rsidRPr="00443BC9">
        <w:rPr>
          <w:rFonts w:ascii="Verdana" w:eastAsiaTheme="minorHAnsi" w:hAnsi="Verdana" w:cs="Arial"/>
          <w:kern w:val="0"/>
          <w:lang w:eastAsia="en-US"/>
          <w14:ligatures w14:val="none"/>
        </w:rPr>
        <w:t>cost-of-living</w:t>
      </w:r>
      <w:r w:rsidRPr="00443BC9">
        <w:rPr>
          <w:rFonts w:ascii="Verdana" w:eastAsiaTheme="minorHAnsi" w:hAnsi="Verdana" w:cs="Arial"/>
          <w:kern w:val="0"/>
          <w:lang w:eastAsia="en-US"/>
          <w14:ligatures w14:val="none"/>
        </w:rPr>
        <w:t xml:space="preserve"> crisis and labour shortages can further increase financial stress and reduced recovery time (CIPD, 2024a; </w:t>
      </w:r>
      <w:proofErr w:type="spellStart"/>
      <w:r w:rsidRPr="00443BC9">
        <w:rPr>
          <w:rFonts w:ascii="Verdana" w:eastAsiaTheme="minorHAnsi" w:hAnsi="Verdana" w:cs="Arial"/>
          <w:kern w:val="0"/>
          <w:lang w:eastAsia="en-US"/>
          <w14:ligatures w14:val="none"/>
        </w:rPr>
        <w:t>Eurofound</w:t>
      </w:r>
      <w:proofErr w:type="spellEnd"/>
      <w:r w:rsidRPr="00443BC9">
        <w:rPr>
          <w:rFonts w:ascii="Verdana" w:eastAsiaTheme="minorHAnsi" w:hAnsi="Verdana" w:cs="Arial"/>
          <w:kern w:val="0"/>
          <w:lang w:eastAsia="en-US"/>
          <w14:ligatures w14:val="none"/>
        </w:rPr>
        <w:t>, 2023).</w:t>
      </w:r>
    </w:p>
    <w:p w14:paraId="602D67E7" w14:textId="77777777" w:rsidR="00443BC9" w:rsidRPr="00443BC9" w:rsidRDefault="00443BC9" w:rsidP="00443BC9">
      <w:pPr>
        <w:rPr>
          <w:rFonts w:ascii="Verdana" w:eastAsiaTheme="minorHAnsi" w:hAnsi="Verdana" w:cs="Arial"/>
          <w:kern w:val="0"/>
          <w:lang w:eastAsia="en-US"/>
          <w14:ligatures w14:val="none"/>
        </w:rPr>
      </w:pPr>
    </w:p>
    <w:p w14:paraId="3FE24B07" w14:textId="77777777" w:rsidR="00B9500C" w:rsidRPr="00443BC9" w:rsidRDefault="00B9500C" w:rsidP="00443BC9">
      <w:pPr>
        <w:rPr>
          <w:rFonts w:ascii="Verdana" w:eastAsiaTheme="minorHAnsi" w:hAnsi="Verdana" w:cs="Arial"/>
          <w:kern w:val="0"/>
          <w:lang w:eastAsia="en-US"/>
          <w14:ligatures w14:val="none"/>
        </w:rPr>
      </w:pPr>
      <w:r w:rsidRPr="00443BC9">
        <w:rPr>
          <w:rFonts w:ascii="Verdana" w:eastAsiaTheme="minorHAnsi" w:hAnsi="Verdana" w:cs="Arial"/>
          <w:kern w:val="0"/>
          <w:lang w:eastAsia="en-US"/>
          <w14:ligatures w14:val="none"/>
        </w:rPr>
        <w:t>In summary, organisational context shapes wellbeing risks and priorities, highlighting that effective strategies must align with organisational conditions rather than generic approaches.</w:t>
      </w:r>
    </w:p>
    <w:p w14:paraId="7083EB24" w14:textId="77777777" w:rsidR="00B9500C" w:rsidRPr="00443BC9" w:rsidRDefault="00B9500C" w:rsidP="00443BC9">
      <w:pPr>
        <w:rPr>
          <w:rFonts w:ascii="Verdana" w:hAnsi="Verdana"/>
        </w:rPr>
      </w:pPr>
    </w:p>
    <w:p w14:paraId="005E76C6" w14:textId="77777777" w:rsidR="00B9500C" w:rsidRPr="008A08DE" w:rsidRDefault="00B9500C" w:rsidP="00883A32">
      <w:pPr>
        <w:pStyle w:val="Nornal"/>
        <w:spacing w:after="120" w:line="276" w:lineRule="auto"/>
        <w:rPr>
          <w:rFonts w:ascii="Verdana" w:hAnsi="Verdana"/>
          <w:bCs/>
          <w:sz w:val="24"/>
          <w:szCs w:val="24"/>
        </w:rPr>
      </w:pPr>
    </w:p>
    <w:bookmarkEnd w:id="0"/>
    <w:bookmarkEnd w:id="1"/>
    <w:p w14:paraId="05D2299D" w14:textId="48F7EA8D" w:rsidR="00443BC9" w:rsidRDefault="00443BC9">
      <w:pPr>
        <w:rPr>
          <w:rFonts w:ascii="Verdana" w:eastAsiaTheme="minorHAnsi" w:hAnsi="Verdana" w:cs="Arial"/>
          <w:kern w:val="0"/>
          <w:sz w:val="22"/>
          <w:szCs w:val="22"/>
          <w:lang w:eastAsia="en-US"/>
          <w14:ligatures w14:val="none"/>
        </w:rPr>
      </w:pPr>
      <w:r>
        <w:rPr>
          <w:rFonts w:ascii="Verdana" w:hAnsi="Verdana"/>
        </w:rPr>
        <w:br w:type="page"/>
      </w:r>
    </w:p>
    <w:p w14:paraId="69EDF0B2" w14:textId="77777777" w:rsidR="002733D0" w:rsidRPr="0006788A" w:rsidRDefault="002733D0" w:rsidP="002733D0">
      <w:pPr>
        <w:pStyle w:val="Nornal"/>
        <w:spacing w:after="0" w:line="240" w:lineRule="auto"/>
        <w:rPr>
          <w:rFonts w:ascii="Verdana" w:hAnsi="Verdana"/>
        </w:rPr>
      </w:pPr>
    </w:p>
    <w:p w14:paraId="15803715" w14:textId="711201C8" w:rsidR="002733D0" w:rsidRDefault="002733D0" w:rsidP="002733D0">
      <w:pPr>
        <w:pStyle w:val="Nornal"/>
        <w:spacing w:after="120" w:line="240" w:lineRule="auto"/>
        <w:rPr>
          <w:rFonts w:ascii="Verdana" w:hAnsi="Verdana"/>
          <w:b/>
          <w:bCs/>
          <w:sz w:val="24"/>
          <w:szCs w:val="24"/>
        </w:rPr>
      </w:pPr>
      <w:r w:rsidRPr="00FE5E0B">
        <w:rPr>
          <w:rFonts w:ascii="Verdana" w:hAnsi="Verdana"/>
          <w:b/>
          <w:bCs/>
          <w:sz w:val="24"/>
          <w:szCs w:val="24"/>
        </w:rPr>
        <w:t>Part 2</w:t>
      </w:r>
    </w:p>
    <w:p w14:paraId="35EAFD65" w14:textId="77777777" w:rsidR="00B13890" w:rsidRDefault="00B13890" w:rsidP="002733D0">
      <w:pPr>
        <w:pStyle w:val="Nornal"/>
        <w:spacing w:after="120" w:line="240" w:lineRule="auto"/>
        <w:rPr>
          <w:rFonts w:ascii="Verdana" w:hAnsi="Verdana"/>
          <w:b/>
          <w:bCs/>
          <w:sz w:val="24"/>
          <w:szCs w:val="24"/>
        </w:rPr>
      </w:pPr>
    </w:p>
    <w:p w14:paraId="5ECA5068" w14:textId="77777777" w:rsidR="002733D0" w:rsidRDefault="002733D0" w:rsidP="004A6366">
      <w:pPr>
        <w:pStyle w:val="Nornal"/>
        <w:numPr>
          <w:ilvl w:val="0"/>
          <w:numId w:val="2"/>
        </w:numPr>
        <w:spacing w:after="120" w:line="276" w:lineRule="auto"/>
        <w:rPr>
          <w:rFonts w:ascii="Verdana" w:hAnsi="Verdana"/>
          <w:b/>
          <w:sz w:val="24"/>
          <w:szCs w:val="24"/>
        </w:rPr>
      </w:pPr>
      <w:r w:rsidRPr="005974D9">
        <w:rPr>
          <w:rFonts w:ascii="Verdana" w:hAnsi="Verdana"/>
          <w:b/>
          <w:sz w:val="24"/>
          <w:szCs w:val="24"/>
        </w:rPr>
        <w:t xml:space="preserve">Assess </w:t>
      </w:r>
      <w:proofErr w:type="spellStart"/>
      <w:r w:rsidRPr="005974D9">
        <w:rPr>
          <w:rFonts w:ascii="Verdana" w:hAnsi="Verdana"/>
          <w:b/>
          <w:sz w:val="24"/>
          <w:szCs w:val="24"/>
        </w:rPr>
        <w:t>Insursave</w:t>
      </w:r>
      <w:proofErr w:type="spellEnd"/>
      <w:r w:rsidRPr="005974D9">
        <w:rPr>
          <w:rFonts w:ascii="Verdana" w:hAnsi="Verdana"/>
          <w:b/>
          <w:sz w:val="24"/>
          <w:szCs w:val="24"/>
        </w:rPr>
        <w:t xml:space="preserve"> </w:t>
      </w:r>
      <w:proofErr w:type="spellStart"/>
      <w:r w:rsidRPr="005974D9">
        <w:rPr>
          <w:rFonts w:ascii="Verdana" w:hAnsi="Verdana"/>
          <w:b/>
          <w:sz w:val="24"/>
          <w:szCs w:val="24"/>
        </w:rPr>
        <w:t>Ltd’s</w:t>
      </w:r>
      <w:proofErr w:type="spellEnd"/>
      <w:r w:rsidRPr="005974D9">
        <w:rPr>
          <w:rFonts w:ascii="Verdana" w:hAnsi="Verdana"/>
          <w:b/>
          <w:sz w:val="24"/>
          <w:szCs w:val="24"/>
        </w:rPr>
        <w:t xml:space="preserve"> needs in relation to employee wellbeing and identify two wellbeing initiatives that would help address these needs. (AC 3.1)</w:t>
      </w:r>
    </w:p>
    <w:p w14:paraId="34246E03" w14:textId="77777777" w:rsidR="00715A5B" w:rsidRPr="005974D9" w:rsidRDefault="00715A5B" w:rsidP="00715A5B">
      <w:pPr>
        <w:pStyle w:val="Nornal"/>
        <w:spacing w:after="120" w:line="276" w:lineRule="auto"/>
        <w:ind w:left="720"/>
        <w:rPr>
          <w:rFonts w:ascii="Verdana" w:hAnsi="Verdana"/>
          <w:b/>
          <w:sz w:val="24"/>
          <w:szCs w:val="24"/>
        </w:rPr>
      </w:pPr>
    </w:p>
    <w:p w14:paraId="423C1A07" w14:textId="749D2674" w:rsidR="002D67DF" w:rsidRDefault="00465C56" w:rsidP="009C4748">
      <w:pPr>
        <w:pStyle w:val="Nornal"/>
        <w:spacing w:after="120" w:line="276" w:lineRule="auto"/>
        <w:rPr>
          <w:rFonts w:ascii="Verdana" w:hAnsi="Verdana"/>
          <w:bCs/>
          <w:sz w:val="24"/>
          <w:szCs w:val="24"/>
        </w:rPr>
      </w:pPr>
      <w:proofErr w:type="spellStart"/>
      <w:r w:rsidRPr="0006788A">
        <w:rPr>
          <w:rFonts w:ascii="Verdana" w:hAnsi="Verdana"/>
          <w:bCs/>
          <w:sz w:val="24"/>
          <w:szCs w:val="24"/>
        </w:rPr>
        <w:t>Insursave</w:t>
      </w:r>
      <w:proofErr w:type="spellEnd"/>
      <w:r w:rsidRPr="0006788A">
        <w:rPr>
          <w:rFonts w:ascii="Verdana" w:hAnsi="Verdana"/>
          <w:bCs/>
          <w:sz w:val="24"/>
          <w:szCs w:val="24"/>
        </w:rPr>
        <w:t xml:space="preserve"> Ltd</w:t>
      </w:r>
      <w:r w:rsidR="008963EF" w:rsidRPr="0006788A">
        <w:rPr>
          <w:rFonts w:ascii="Verdana" w:hAnsi="Verdana"/>
          <w:bCs/>
          <w:sz w:val="24"/>
          <w:szCs w:val="24"/>
        </w:rPr>
        <w:t xml:space="preserve"> </w:t>
      </w:r>
      <w:r w:rsidR="00635B91" w:rsidRPr="0006788A">
        <w:rPr>
          <w:rFonts w:ascii="Verdana" w:hAnsi="Verdana"/>
          <w:bCs/>
          <w:sz w:val="24"/>
          <w:szCs w:val="24"/>
        </w:rPr>
        <w:t>employs</w:t>
      </w:r>
      <w:r w:rsidR="007F20FA" w:rsidRPr="0006788A">
        <w:rPr>
          <w:rFonts w:ascii="Verdana" w:hAnsi="Verdana"/>
          <w:bCs/>
          <w:sz w:val="24"/>
          <w:szCs w:val="24"/>
        </w:rPr>
        <w:t xml:space="preserve"> 4</w:t>
      </w:r>
      <w:r w:rsidR="00635B91" w:rsidRPr="0006788A">
        <w:rPr>
          <w:rFonts w:ascii="Verdana" w:hAnsi="Verdana"/>
          <w:bCs/>
          <w:sz w:val="24"/>
          <w:szCs w:val="24"/>
        </w:rPr>
        <w:t>,</w:t>
      </w:r>
      <w:r w:rsidR="007F20FA" w:rsidRPr="0006788A">
        <w:rPr>
          <w:rFonts w:ascii="Verdana" w:hAnsi="Verdana"/>
          <w:bCs/>
          <w:sz w:val="24"/>
          <w:szCs w:val="24"/>
        </w:rPr>
        <w:t>554 employees</w:t>
      </w:r>
      <w:r w:rsidR="00635B91" w:rsidRPr="0006788A">
        <w:rPr>
          <w:rFonts w:ascii="Verdana" w:hAnsi="Verdana"/>
          <w:bCs/>
          <w:sz w:val="24"/>
          <w:szCs w:val="24"/>
        </w:rPr>
        <w:t xml:space="preserve">, with approximately </w:t>
      </w:r>
      <w:r w:rsidR="007F20FA" w:rsidRPr="0006788A">
        <w:rPr>
          <w:rFonts w:ascii="Verdana" w:hAnsi="Verdana"/>
          <w:bCs/>
          <w:sz w:val="24"/>
          <w:szCs w:val="24"/>
        </w:rPr>
        <w:t xml:space="preserve">80% </w:t>
      </w:r>
      <w:r w:rsidR="00635B91" w:rsidRPr="0006788A">
        <w:rPr>
          <w:rFonts w:ascii="Verdana" w:hAnsi="Verdana"/>
          <w:bCs/>
          <w:sz w:val="24"/>
          <w:szCs w:val="24"/>
        </w:rPr>
        <w:t>working in low-</w:t>
      </w:r>
      <w:r w:rsidR="00B50594" w:rsidRPr="0006788A">
        <w:rPr>
          <w:rFonts w:ascii="Verdana" w:hAnsi="Verdana"/>
          <w:bCs/>
          <w:sz w:val="24"/>
          <w:szCs w:val="24"/>
        </w:rPr>
        <w:t>level</w:t>
      </w:r>
      <w:r w:rsidR="00A403E1" w:rsidRPr="0006788A">
        <w:rPr>
          <w:rFonts w:ascii="Verdana" w:hAnsi="Verdana"/>
          <w:bCs/>
          <w:sz w:val="24"/>
          <w:szCs w:val="24"/>
        </w:rPr>
        <w:t xml:space="preserve"> </w:t>
      </w:r>
      <w:r w:rsidR="007F20FA" w:rsidRPr="0006788A">
        <w:rPr>
          <w:rFonts w:ascii="Verdana" w:hAnsi="Verdana"/>
          <w:bCs/>
          <w:sz w:val="24"/>
          <w:szCs w:val="24"/>
        </w:rPr>
        <w:t>call handler role</w:t>
      </w:r>
      <w:r w:rsidR="00AF079E" w:rsidRPr="0006788A">
        <w:rPr>
          <w:rFonts w:ascii="Verdana" w:hAnsi="Verdana"/>
          <w:bCs/>
          <w:sz w:val="24"/>
          <w:szCs w:val="24"/>
        </w:rPr>
        <w:t>s</w:t>
      </w:r>
      <w:r w:rsidR="007F20FA" w:rsidRPr="0006788A">
        <w:rPr>
          <w:rFonts w:ascii="Verdana" w:hAnsi="Verdana"/>
          <w:bCs/>
          <w:sz w:val="24"/>
          <w:szCs w:val="24"/>
        </w:rPr>
        <w:t>.</w:t>
      </w:r>
      <w:r w:rsidR="00A403E1" w:rsidRPr="0006788A">
        <w:rPr>
          <w:rFonts w:ascii="Verdana" w:hAnsi="Verdana"/>
          <w:bCs/>
          <w:sz w:val="24"/>
          <w:szCs w:val="24"/>
        </w:rPr>
        <w:t xml:space="preserve"> </w:t>
      </w:r>
      <w:r w:rsidR="00AF079E" w:rsidRPr="0006788A">
        <w:rPr>
          <w:rFonts w:ascii="Verdana" w:hAnsi="Verdana"/>
          <w:bCs/>
          <w:sz w:val="24"/>
          <w:szCs w:val="24"/>
        </w:rPr>
        <w:t xml:space="preserve"> This role profile suggests a workforce exposed to high emotional labour, rep</w:t>
      </w:r>
      <w:r w:rsidR="00CA5AA0" w:rsidRPr="0006788A">
        <w:rPr>
          <w:rFonts w:ascii="Verdana" w:hAnsi="Verdana"/>
          <w:bCs/>
          <w:sz w:val="24"/>
          <w:szCs w:val="24"/>
        </w:rPr>
        <w:t>etitive tasks, performance monitoring and limited job autonomy, all of which are risk factors for stress, burnout and disengagement</w:t>
      </w:r>
      <w:r w:rsidR="002A2A27" w:rsidRPr="0006788A">
        <w:rPr>
          <w:rFonts w:ascii="Verdana" w:hAnsi="Verdana"/>
          <w:bCs/>
          <w:sz w:val="24"/>
          <w:szCs w:val="24"/>
        </w:rPr>
        <w:t xml:space="preserve">.  </w:t>
      </w:r>
      <w:r w:rsidR="00CA5AA0" w:rsidRPr="0006788A">
        <w:rPr>
          <w:rFonts w:ascii="Verdana" w:hAnsi="Verdana"/>
          <w:bCs/>
          <w:sz w:val="24"/>
          <w:szCs w:val="24"/>
        </w:rPr>
        <w:t>The workforce is pr</w:t>
      </w:r>
      <w:r w:rsidR="005E2C2A" w:rsidRPr="0006788A">
        <w:rPr>
          <w:rFonts w:ascii="Verdana" w:hAnsi="Verdana"/>
          <w:bCs/>
          <w:sz w:val="24"/>
          <w:szCs w:val="24"/>
        </w:rPr>
        <w:t xml:space="preserve">edominately aged </w:t>
      </w:r>
      <w:r w:rsidR="00A403E1" w:rsidRPr="0006788A">
        <w:rPr>
          <w:rFonts w:ascii="Verdana" w:hAnsi="Verdana"/>
          <w:bCs/>
          <w:sz w:val="24"/>
          <w:szCs w:val="24"/>
        </w:rPr>
        <w:t>21-35 years</w:t>
      </w:r>
      <w:r w:rsidR="005E2C2A" w:rsidRPr="0006788A">
        <w:rPr>
          <w:rFonts w:ascii="Verdana" w:hAnsi="Verdana"/>
          <w:bCs/>
          <w:sz w:val="24"/>
          <w:szCs w:val="24"/>
        </w:rPr>
        <w:t xml:space="preserve">, with </w:t>
      </w:r>
      <w:r w:rsidR="002D67DF" w:rsidRPr="0006788A">
        <w:rPr>
          <w:rFonts w:ascii="Verdana" w:hAnsi="Verdana"/>
          <w:bCs/>
          <w:sz w:val="24"/>
          <w:szCs w:val="24"/>
        </w:rPr>
        <w:t>tenure</w:t>
      </w:r>
      <w:r w:rsidR="005E2C2A" w:rsidRPr="0006788A">
        <w:rPr>
          <w:rFonts w:ascii="Verdana" w:hAnsi="Verdana"/>
          <w:bCs/>
          <w:sz w:val="24"/>
          <w:szCs w:val="24"/>
        </w:rPr>
        <w:t xml:space="preserve"> of </w:t>
      </w:r>
      <w:r w:rsidR="00B50594" w:rsidRPr="0006788A">
        <w:rPr>
          <w:rFonts w:ascii="Verdana" w:hAnsi="Verdana"/>
          <w:bCs/>
          <w:sz w:val="24"/>
          <w:szCs w:val="24"/>
        </w:rPr>
        <w:t xml:space="preserve">1 and 5 years. </w:t>
      </w:r>
    </w:p>
    <w:p w14:paraId="64C4A170" w14:textId="77777777" w:rsidR="00715A5B" w:rsidRPr="0006788A" w:rsidRDefault="00715A5B" w:rsidP="009C4748">
      <w:pPr>
        <w:pStyle w:val="Nornal"/>
        <w:spacing w:after="120" w:line="276" w:lineRule="auto"/>
        <w:rPr>
          <w:rFonts w:ascii="Verdana" w:hAnsi="Verdana"/>
          <w:bCs/>
          <w:sz w:val="24"/>
          <w:szCs w:val="24"/>
        </w:rPr>
      </w:pPr>
    </w:p>
    <w:p w14:paraId="240C80D1" w14:textId="7A3E68FA" w:rsidR="00A50158" w:rsidRDefault="002D67DF" w:rsidP="00A50158">
      <w:pPr>
        <w:pStyle w:val="Nornal"/>
        <w:spacing w:after="120" w:line="276" w:lineRule="auto"/>
        <w:rPr>
          <w:rFonts w:ascii="Verdana" w:hAnsi="Verdana"/>
          <w:bCs/>
          <w:sz w:val="24"/>
          <w:szCs w:val="24"/>
        </w:rPr>
      </w:pPr>
      <w:r w:rsidRPr="0006788A">
        <w:rPr>
          <w:rFonts w:ascii="Verdana" w:hAnsi="Verdana"/>
          <w:bCs/>
          <w:sz w:val="24"/>
          <w:szCs w:val="24"/>
        </w:rPr>
        <w:t xml:space="preserve">A key wellbeing need relates to career development and progression.  The apparent lack of clear career pathways may </w:t>
      </w:r>
      <w:r w:rsidR="00A50158" w:rsidRPr="0006788A">
        <w:rPr>
          <w:rFonts w:ascii="Verdana" w:hAnsi="Verdana"/>
          <w:bCs/>
          <w:sz w:val="24"/>
          <w:szCs w:val="24"/>
        </w:rPr>
        <w:t>negatively affect both financial and psychological wellbeing, particularly for younger employees seeking stability, growth and purpose. Evidence suggests that limited career prospects are associated with reduced engagement, increased turnover intentions and poorer wellbeing outcomes (Harvey, 2025</w:t>
      </w:r>
      <w:r w:rsidR="0029281F" w:rsidRPr="0006788A">
        <w:rPr>
          <w:rFonts w:ascii="Verdana" w:hAnsi="Verdana"/>
          <w:bCs/>
          <w:sz w:val="24"/>
          <w:szCs w:val="24"/>
        </w:rPr>
        <w:t>b</w:t>
      </w:r>
      <w:r w:rsidR="00A50158" w:rsidRPr="0006788A">
        <w:rPr>
          <w:rFonts w:ascii="Verdana" w:hAnsi="Verdana"/>
          <w:bCs/>
          <w:sz w:val="24"/>
          <w:szCs w:val="24"/>
        </w:rPr>
        <w:t>; CIPD, 2025a). For longer</w:t>
      </w:r>
      <w:r w:rsidR="00A50158" w:rsidRPr="0006788A">
        <w:rPr>
          <w:rFonts w:ascii="Verdana" w:hAnsi="Verdana"/>
          <w:bCs/>
          <w:sz w:val="24"/>
          <w:szCs w:val="24"/>
        </w:rPr>
        <w:noBreakHyphen/>
        <w:t>serving employees, the absence of progression opportunities may also contribute to frustration and declining motivation.</w:t>
      </w:r>
    </w:p>
    <w:p w14:paraId="4532D891" w14:textId="77777777" w:rsidR="00715A5B" w:rsidRPr="0006788A" w:rsidRDefault="00715A5B" w:rsidP="00A50158">
      <w:pPr>
        <w:pStyle w:val="Nornal"/>
        <w:spacing w:after="120" w:line="276" w:lineRule="auto"/>
        <w:rPr>
          <w:rFonts w:ascii="Verdana" w:hAnsi="Verdana"/>
          <w:bCs/>
          <w:sz w:val="24"/>
          <w:szCs w:val="24"/>
        </w:rPr>
      </w:pPr>
    </w:p>
    <w:p w14:paraId="21A5609D" w14:textId="17E9FF17" w:rsidR="00821FAD" w:rsidRDefault="00821FAD" w:rsidP="00821FAD">
      <w:pPr>
        <w:pStyle w:val="Nornal"/>
        <w:spacing w:after="120" w:line="276" w:lineRule="auto"/>
        <w:rPr>
          <w:rFonts w:ascii="Verdana" w:hAnsi="Verdana"/>
          <w:bCs/>
          <w:sz w:val="24"/>
          <w:szCs w:val="24"/>
        </w:rPr>
      </w:pPr>
      <w:r w:rsidRPr="0006788A">
        <w:rPr>
          <w:rFonts w:ascii="Verdana" w:hAnsi="Verdana"/>
          <w:bCs/>
          <w:sz w:val="24"/>
          <w:szCs w:val="24"/>
        </w:rPr>
        <w:t xml:space="preserve">Sickness absence data highlights </w:t>
      </w:r>
      <w:r w:rsidRPr="0006788A">
        <w:rPr>
          <w:rFonts w:ascii="Verdana" w:hAnsi="Verdana"/>
          <w:sz w:val="24"/>
          <w:szCs w:val="24"/>
        </w:rPr>
        <w:t>high levels of minor illness, colds and flu, alongside mental health</w:t>
      </w:r>
      <w:r w:rsidRPr="0006788A">
        <w:rPr>
          <w:rFonts w:ascii="Verdana" w:hAnsi="Verdana"/>
          <w:sz w:val="24"/>
          <w:szCs w:val="24"/>
        </w:rPr>
        <w:noBreakHyphen/>
        <w:t>related absence</w:t>
      </w:r>
      <w:r w:rsidRPr="0006788A">
        <w:rPr>
          <w:rFonts w:ascii="Verdana" w:hAnsi="Verdana"/>
          <w:bCs/>
          <w:sz w:val="24"/>
          <w:szCs w:val="24"/>
        </w:rPr>
        <w:t>, particularly among employees aged over 25 and those with longer tenure.  This suggests increasing strain and possible workload pressures over time, consistent with research linking sustained job demands to mental health risk and burnout (</w:t>
      </w:r>
      <w:r w:rsidR="00871B23" w:rsidRPr="0006788A">
        <w:rPr>
          <w:rFonts w:ascii="Verdana" w:hAnsi="Verdana"/>
          <w:bCs/>
          <w:sz w:val="24"/>
          <w:szCs w:val="24"/>
        </w:rPr>
        <w:t>Montano</w:t>
      </w:r>
      <w:r w:rsidR="00001705" w:rsidRPr="0006788A">
        <w:rPr>
          <w:rFonts w:ascii="Verdana" w:hAnsi="Verdana"/>
          <w:bCs/>
          <w:sz w:val="24"/>
          <w:szCs w:val="24"/>
        </w:rPr>
        <w:t xml:space="preserve"> </w:t>
      </w:r>
      <w:r w:rsidR="00001705" w:rsidRPr="0006788A">
        <w:rPr>
          <w:rFonts w:ascii="Verdana" w:hAnsi="Verdana"/>
          <w:bCs/>
          <w:i/>
          <w:iCs/>
          <w:sz w:val="24"/>
          <w:szCs w:val="24"/>
        </w:rPr>
        <w:t>et al.,</w:t>
      </w:r>
      <w:r w:rsidR="00001705" w:rsidRPr="0006788A">
        <w:rPr>
          <w:rFonts w:ascii="Verdana" w:hAnsi="Verdana"/>
          <w:bCs/>
          <w:sz w:val="24"/>
          <w:szCs w:val="24"/>
        </w:rPr>
        <w:t xml:space="preserve"> 2022</w:t>
      </w:r>
      <w:r w:rsidRPr="0006788A">
        <w:rPr>
          <w:rFonts w:ascii="Verdana" w:hAnsi="Verdana"/>
          <w:bCs/>
          <w:sz w:val="24"/>
          <w:szCs w:val="24"/>
        </w:rPr>
        <w:t>).  The pattern indicates a need for enhanced psychological support and a review of workload, performance pressure and recovery time.</w:t>
      </w:r>
    </w:p>
    <w:p w14:paraId="1DAA6589" w14:textId="77777777" w:rsidR="00715A5B" w:rsidRPr="0006788A" w:rsidRDefault="00715A5B" w:rsidP="00821FAD">
      <w:pPr>
        <w:pStyle w:val="Nornal"/>
        <w:spacing w:after="120" w:line="276" w:lineRule="auto"/>
        <w:rPr>
          <w:rFonts w:ascii="Verdana" w:hAnsi="Verdana"/>
          <w:bCs/>
          <w:sz w:val="24"/>
          <w:szCs w:val="24"/>
        </w:rPr>
      </w:pPr>
    </w:p>
    <w:p w14:paraId="60781D22" w14:textId="5C8795D0" w:rsidR="00821FAD" w:rsidRDefault="00821FAD" w:rsidP="00821FAD">
      <w:pPr>
        <w:pStyle w:val="Nornal"/>
        <w:spacing w:after="120" w:line="276" w:lineRule="auto"/>
        <w:rPr>
          <w:rFonts w:ascii="Verdana" w:hAnsi="Verdana"/>
          <w:bCs/>
          <w:sz w:val="24"/>
          <w:szCs w:val="24"/>
        </w:rPr>
      </w:pPr>
      <w:r w:rsidRPr="0006788A">
        <w:rPr>
          <w:rFonts w:ascii="Verdana" w:hAnsi="Verdana"/>
          <w:bCs/>
          <w:sz w:val="24"/>
          <w:szCs w:val="24"/>
        </w:rPr>
        <w:t xml:space="preserve">Reported </w:t>
      </w:r>
      <w:r w:rsidRPr="0006788A">
        <w:rPr>
          <w:rFonts w:ascii="Verdana" w:hAnsi="Verdana"/>
          <w:sz w:val="24"/>
          <w:szCs w:val="24"/>
        </w:rPr>
        <w:t>musculoskeletal absence among older workers</w:t>
      </w:r>
      <w:r w:rsidRPr="0006788A">
        <w:rPr>
          <w:rFonts w:ascii="Verdana" w:hAnsi="Verdana"/>
          <w:bCs/>
          <w:sz w:val="24"/>
          <w:szCs w:val="24"/>
        </w:rPr>
        <w:t xml:space="preserve"> further indicates a need for ergonomic interventions. Call</w:t>
      </w:r>
      <w:r w:rsidRPr="0006788A">
        <w:rPr>
          <w:rFonts w:ascii="Verdana" w:hAnsi="Verdana"/>
          <w:bCs/>
          <w:sz w:val="24"/>
          <w:szCs w:val="24"/>
        </w:rPr>
        <w:noBreakHyphen/>
        <w:t>handling roles involve long periods of sedentary work and repetitive movements, which increase the risk of musculoskeletal disorders without appropriate workstation design and movement opportunities (</w:t>
      </w:r>
      <w:r w:rsidR="002B00D9" w:rsidRPr="0006788A">
        <w:rPr>
          <w:rFonts w:ascii="Verdana" w:hAnsi="Verdana"/>
          <w:bCs/>
          <w:sz w:val="24"/>
          <w:szCs w:val="24"/>
        </w:rPr>
        <w:t xml:space="preserve">Oakman </w:t>
      </w:r>
      <w:r w:rsidR="002B00D9" w:rsidRPr="0006788A">
        <w:rPr>
          <w:rFonts w:ascii="Verdana" w:hAnsi="Verdana"/>
          <w:bCs/>
          <w:i/>
          <w:iCs/>
          <w:sz w:val="24"/>
          <w:szCs w:val="24"/>
        </w:rPr>
        <w:t>et al</w:t>
      </w:r>
      <w:r w:rsidR="002B00D9" w:rsidRPr="0006788A">
        <w:rPr>
          <w:rFonts w:ascii="Verdana" w:hAnsi="Verdana"/>
          <w:bCs/>
          <w:sz w:val="24"/>
          <w:szCs w:val="24"/>
        </w:rPr>
        <w:t>., 2023</w:t>
      </w:r>
      <w:r w:rsidRPr="0006788A">
        <w:rPr>
          <w:rFonts w:ascii="Verdana" w:hAnsi="Verdana"/>
          <w:bCs/>
          <w:sz w:val="24"/>
          <w:szCs w:val="24"/>
        </w:rPr>
        <w:t>).</w:t>
      </w:r>
    </w:p>
    <w:p w14:paraId="586D113D" w14:textId="77777777" w:rsidR="00715A5B" w:rsidRPr="0006788A" w:rsidRDefault="00715A5B" w:rsidP="00821FAD">
      <w:pPr>
        <w:pStyle w:val="Nornal"/>
        <w:spacing w:after="120" w:line="276" w:lineRule="auto"/>
        <w:rPr>
          <w:rFonts w:ascii="Verdana" w:hAnsi="Verdana"/>
          <w:bCs/>
          <w:sz w:val="24"/>
          <w:szCs w:val="24"/>
        </w:rPr>
      </w:pPr>
    </w:p>
    <w:p w14:paraId="7B0280BB" w14:textId="41A86F66" w:rsidR="00821FAD" w:rsidRPr="0006788A" w:rsidRDefault="00821FAD" w:rsidP="00821FAD">
      <w:pPr>
        <w:pStyle w:val="Nornal"/>
        <w:spacing w:after="120" w:line="276" w:lineRule="auto"/>
        <w:rPr>
          <w:rFonts w:ascii="Verdana" w:hAnsi="Verdana"/>
          <w:bCs/>
          <w:sz w:val="24"/>
          <w:szCs w:val="24"/>
        </w:rPr>
      </w:pPr>
      <w:r w:rsidRPr="0006788A">
        <w:rPr>
          <w:rFonts w:ascii="Verdana" w:hAnsi="Verdana"/>
          <w:bCs/>
          <w:sz w:val="24"/>
          <w:szCs w:val="24"/>
        </w:rPr>
        <w:lastRenderedPageBreak/>
        <w:t xml:space="preserve">The workforce profile also includes a </w:t>
      </w:r>
      <w:r w:rsidRPr="0006788A">
        <w:rPr>
          <w:rFonts w:ascii="Verdana" w:hAnsi="Verdana"/>
          <w:sz w:val="24"/>
          <w:szCs w:val="24"/>
        </w:rPr>
        <w:t>high proportion of inexperienced employees</w:t>
      </w:r>
      <w:r w:rsidRPr="0006788A">
        <w:rPr>
          <w:rFonts w:ascii="Verdana" w:hAnsi="Verdana"/>
          <w:bCs/>
          <w:sz w:val="24"/>
          <w:szCs w:val="24"/>
        </w:rPr>
        <w:t>, creating a need for confidence</w:t>
      </w:r>
      <w:r w:rsidRPr="0006788A">
        <w:rPr>
          <w:rFonts w:ascii="Verdana" w:hAnsi="Verdana"/>
          <w:bCs/>
          <w:sz w:val="24"/>
          <w:szCs w:val="24"/>
        </w:rPr>
        <w:noBreakHyphen/>
        <w:t xml:space="preserve">building, support and effective supervision. </w:t>
      </w:r>
      <w:r w:rsidR="00A64691" w:rsidRPr="0006788A">
        <w:rPr>
          <w:rFonts w:ascii="Verdana" w:hAnsi="Verdana"/>
          <w:bCs/>
          <w:sz w:val="24"/>
          <w:szCs w:val="24"/>
        </w:rPr>
        <w:t xml:space="preserve"> </w:t>
      </w:r>
      <w:r w:rsidR="00172F9E" w:rsidRPr="0006788A">
        <w:rPr>
          <w:rFonts w:ascii="Verdana" w:hAnsi="Verdana"/>
          <w:bCs/>
          <w:sz w:val="24"/>
          <w:szCs w:val="24"/>
        </w:rPr>
        <w:t>To add to</w:t>
      </w:r>
      <w:r w:rsidRPr="0006788A">
        <w:rPr>
          <w:rFonts w:ascii="Verdana" w:hAnsi="Verdana"/>
          <w:bCs/>
          <w:sz w:val="24"/>
          <w:szCs w:val="24"/>
        </w:rPr>
        <w:t xml:space="preserve"> this risk, </w:t>
      </w:r>
      <w:r w:rsidR="00EA75B9" w:rsidRPr="0006788A">
        <w:rPr>
          <w:rFonts w:ascii="Verdana" w:hAnsi="Verdana"/>
          <w:bCs/>
          <w:sz w:val="24"/>
          <w:szCs w:val="24"/>
        </w:rPr>
        <w:t>managers’</w:t>
      </w:r>
      <w:r w:rsidRPr="0006788A">
        <w:rPr>
          <w:rFonts w:ascii="Verdana" w:hAnsi="Verdana"/>
          <w:bCs/>
          <w:sz w:val="24"/>
          <w:szCs w:val="24"/>
        </w:rPr>
        <w:t xml:space="preserve"> report feeling ill</w:t>
      </w:r>
      <w:r w:rsidRPr="0006788A">
        <w:rPr>
          <w:rFonts w:ascii="Verdana" w:hAnsi="Verdana"/>
          <w:bCs/>
          <w:sz w:val="24"/>
          <w:szCs w:val="24"/>
        </w:rPr>
        <w:noBreakHyphen/>
        <w:t xml:space="preserve">equipped to manage wellbeing and absence. </w:t>
      </w:r>
      <w:r w:rsidR="00172F9E" w:rsidRPr="0006788A">
        <w:rPr>
          <w:rFonts w:ascii="Verdana" w:hAnsi="Verdana"/>
          <w:bCs/>
          <w:sz w:val="24"/>
          <w:szCs w:val="24"/>
        </w:rPr>
        <w:t xml:space="preserve"> </w:t>
      </w:r>
      <w:r w:rsidR="00A64691" w:rsidRPr="0006788A">
        <w:rPr>
          <w:rFonts w:ascii="Verdana" w:hAnsi="Verdana"/>
          <w:bCs/>
          <w:sz w:val="24"/>
          <w:szCs w:val="24"/>
        </w:rPr>
        <w:t xml:space="preserve"> </w:t>
      </w:r>
      <w:r w:rsidRPr="0006788A">
        <w:rPr>
          <w:rFonts w:ascii="Verdana" w:hAnsi="Verdana"/>
          <w:bCs/>
          <w:sz w:val="24"/>
          <w:szCs w:val="24"/>
        </w:rPr>
        <w:t xml:space="preserve">Inconsistent management practices across four sites suggest a lack of capability, confidence and standardisation, which can undermine both wellbeing outcomes and perceptions of fairness (CIPD, 2024b). </w:t>
      </w:r>
      <w:r w:rsidR="00A64691" w:rsidRPr="0006788A">
        <w:rPr>
          <w:rFonts w:ascii="Verdana" w:hAnsi="Verdana"/>
          <w:bCs/>
          <w:sz w:val="24"/>
          <w:szCs w:val="24"/>
        </w:rPr>
        <w:t xml:space="preserve"> </w:t>
      </w:r>
      <w:r w:rsidRPr="0006788A">
        <w:rPr>
          <w:rFonts w:ascii="Verdana" w:hAnsi="Verdana"/>
          <w:bCs/>
          <w:sz w:val="24"/>
          <w:szCs w:val="24"/>
        </w:rPr>
        <w:t>Research highlights that line manager behaviour is a key determinant of employee wellbeing, particularly in high</w:t>
      </w:r>
      <w:r w:rsidRPr="0006788A">
        <w:rPr>
          <w:rFonts w:ascii="Verdana" w:hAnsi="Verdana"/>
          <w:bCs/>
          <w:sz w:val="24"/>
          <w:szCs w:val="24"/>
        </w:rPr>
        <w:noBreakHyphen/>
        <w:t>pressure operational environments (</w:t>
      </w:r>
      <w:r w:rsidR="00702B40" w:rsidRPr="0006788A">
        <w:rPr>
          <w:rFonts w:ascii="Verdana" w:hAnsi="Verdana"/>
          <w:bCs/>
          <w:sz w:val="24"/>
          <w:szCs w:val="24"/>
        </w:rPr>
        <w:t>Sverke</w:t>
      </w:r>
      <w:r w:rsidR="00581091" w:rsidRPr="0006788A">
        <w:rPr>
          <w:rFonts w:ascii="Verdana" w:hAnsi="Verdana"/>
          <w:bCs/>
          <w:sz w:val="24"/>
          <w:szCs w:val="24"/>
        </w:rPr>
        <w:t xml:space="preserve"> </w:t>
      </w:r>
      <w:r w:rsidR="00581091" w:rsidRPr="0006788A">
        <w:rPr>
          <w:rFonts w:ascii="Verdana" w:hAnsi="Verdana"/>
          <w:bCs/>
          <w:i/>
          <w:iCs/>
          <w:sz w:val="24"/>
          <w:szCs w:val="24"/>
        </w:rPr>
        <w:t>et al</w:t>
      </w:r>
      <w:r w:rsidR="00581091" w:rsidRPr="0006788A">
        <w:rPr>
          <w:rFonts w:ascii="Verdana" w:hAnsi="Verdana"/>
          <w:bCs/>
          <w:sz w:val="24"/>
          <w:szCs w:val="24"/>
        </w:rPr>
        <w:t>., 2023</w:t>
      </w:r>
      <w:r w:rsidRPr="0006788A">
        <w:rPr>
          <w:rFonts w:ascii="Verdana" w:hAnsi="Verdana"/>
          <w:bCs/>
          <w:sz w:val="24"/>
          <w:szCs w:val="24"/>
        </w:rPr>
        <w:t>).</w:t>
      </w:r>
    </w:p>
    <w:p w14:paraId="79D8D727" w14:textId="77777777" w:rsidR="00EA75B9" w:rsidRDefault="00EA75B9" w:rsidP="009D384D">
      <w:pPr>
        <w:pStyle w:val="Nornal"/>
        <w:spacing w:after="120" w:line="276" w:lineRule="auto"/>
        <w:rPr>
          <w:rFonts w:ascii="Verdana" w:hAnsi="Verdana"/>
          <w:b/>
          <w:bCs/>
          <w:sz w:val="24"/>
          <w:szCs w:val="24"/>
        </w:rPr>
      </w:pPr>
    </w:p>
    <w:p w14:paraId="5E594CC2" w14:textId="2ECC9765" w:rsidR="009D384D" w:rsidRPr="00EA75B9" w:rsidRDefault="009D384D" w:rsidP="009D384D">
      <w:pPr>
        <w:pStyle w:val="Nornal"/>
        <w:spacing w:after="120" w:line="276" w:lineRule="auto"/>
        <w:rPr>
          <w:rFonts w:ascii="Verdana" w:hAnsi="Verdana"/>
          <w:b/>
          <w:bCs/>
          <w:sz w:val="24"/>
          <w:szCs w:val="24"/>
        </w:rPr>
      </w:pPr>
      <w:r w:rsidRPr="00EA75B9">
        <w:rPr>
          <w:rFonts w:ascii="Verdana" w:hAnsi="Verdana"/>
          <w:b/>
          <w:bCs/>
          <w:sz w:val="24"/>
          <w:szCs w:val="24"/>
        </w:rPr>
        <w:t xml:space="preserve">Initiative 1: Line manager wellbeing </w:t>
      </w:r>
      <w:r w:rsidR="0044659C" w:rsidRPr="00EA75B9">
        <w:rPr>
          <w:rFonts w:ascii="Verdana" w:hAnsi="Verdana"/>
          <w:b/>
          <w:bCs/>
          <w:sz w:val="24"/>
          <w:szCs w:val="24"/>
        </w:rPr>
        <w:t>training</w:t>
      </w:r>
      <w:r w:rsidRPr="00EA75B9">
        <w:rPr>
          <w:rFonts w:ascii="Verdana" w:hAnsi="Verdana"/>
          <w:b/>
          <w:bCs/>
          <w:sz w:val="24"/>
          <w:szCs w:val="24"/>
        </w:rPr>
        <w:t xml:space="preserve"> programme</w:t>
      </w:r>
      <w:r w:rsidR="0044659C" w:rsidRPr="00EA75B9">
        <w:rPr>
          <w:rFonts w:ascii="Verdana" w:hAnsi="Verdana"/>
          <w:b/>
          <w:bCs/>
          <w:sz w:val="24"/>
          <w:szCs w:val="24"/>
        </w:rPr>
        <w:t>.</w:t>
      </w:r>
    </w:p>
    <w:p w14:paraId="22E28AB7" w14:textId="1EFEA334" w:rsidR="009D384D" w:rsidRDefault="007658D7" w:rsidP="009D384D">
      <w:pPr>
        <w:pStyle w:val="Nornal"/>
        <w:spacing w:after="120" w:line="276" w:lineRule="auto"/>
        <w:rPr>
          <w:rFonts w:ascii="Verdana" w:hAnsi="Verdana"/>
          <w:bCs/>
          <w:sz w:val="24"/>
          <w:szCs w:val="24"/>
        </w:rPr>
      </w:pPr>
      <w:r w:rsidRPr="007658D7">
        <w:rPr>
          <w:rFonts w:ascii="Verdana" w:hAnsi="Verdana"/>
          <w:bCs/>
          <w:sz w:val="24"/>
          <w:szCs w:val="24"/>
        </w:rPr>
        <w:t>The most pressing wellbeing needs relate to mental health and management capability, given their direct link to absence levels and organisational performance.</w:t>
      </w:r>
      <w:r>
        <w:rPr>
          <w:rFonts w:ascii="Verdana" w:hAnsi="Verdana"/>
          <w:bCs/>
        </w:rPr>
        <w:t xml:space="preserve">  </w:t>
      </w:r>
      <w:r w:rsidR="009D384D" w:rsidRPr="0006788A">
        <w:rPr>
          <w:rFonts w:ascii="Verdana" w:hAnsi="Verdana"/>
          <w:bCs/>
          <w:sz w:val="24"/>
          <w:szCs w:val="24"/>
        </w:rPr>
        <w:t xml:space="preserve">To address multiple identified needs, </w:t>
      </w:r>
      <w:proofErr w:type="spellStart"/>
      <w:r w:rsidR="009D384D" w:rsidRPr="0006788A">
        <w:rPr>
          <w:rFonts w:ascii="Verdana" w:hAnsi="Verdana"/>
          <w:bCs/>
          <w:sz w:val="24"/>
          <w:szCs w:val="24"/>
        </w:rPr>
        <w:t>Insursave</w:t>
      </w:r>
      <w:proofErr w:type="spellEnd"/>
      <w:r w:rsidR="009D384D" w:rsidRPr="0006788A">
        <w:rPr>
          <w:rFonts w:ascii="Verdana" w:hAnsi="Verdana"/>
          <w:bCs/>
          <w:sz w:val="24"/>
          <w:szCs w:val="24"/>
        </w:rPr>
        <w:t xml:space="preserve"> Ltd should implement a </w:t>
      </w:r>
      <w:r w:rsidR="009D384D" w:rsidRPr="0006788A">
        <w:rPr>
          <w:rFonts w:ascii="Verdana" w:hAnsi="Verdana"/>
          <w:sz w:val="24"/>
          <w:szCs w:val="24"/>
        </w:rPr>
        <w:t>mandatory line manager training programme focused on wellbeing and absence management.</w:t>
      </w:r>
      <w:r w:rsidR="009D384D" w:rsidRPr="0006788A">
        <w:rPr>
          <w:rFonts w:ascii="Verdana" w:hAnsi="Verdana"/>
          <w:bCs/>
          <w:sz w:val="24"/>
          <w:szCs w:val="24"/>
        </w:rPr>
        <w:t xml:space="preserve"> This programme should include mental health awareness, recognising early signs of stress, conducting supportive conversations, managing absence consistently and signposting to support services.</w:t>
      </w:r>
    </w:p>
    <w:p w14:paraId="577D55B7" w14:textId="77777777" w:rsidR="00715A5B" w:rsidRPr="0006788A" w:rsidRDefault="00715A5B" w:rsidP="009D384D">
      <w:pPr>
        <w:pStyle w:val="Nornal"/>
        <w:spacing w:after="120" w:line="276" w:lineRule="auto"/>
        <w:rPr>
          <w:rFonts w:ascii="Verdana" w:hAnsi="Verdana"/>
          <w:bCs/>
          <w:sz w:val="24"/>
          <w:szCs w:val="24"/>
        </w:rPr>
      </w:pPr>
    </w:p>
    <w:p w14:paraId="67F058F5" w14:textId="58A781C3" w:rsidR="009D384D" w:rsidRPr="0006788A" w:rsidRDefault="009D384D" w:rsidP="009D384D">
      <w:pPr>
        <w:pStyle w:val="Nornal"/>
        <w:spacing w:after="120" w:line="276" w:lineRule="auto"/>
        <w:rPr>
          <w:rFonts w:ascii="Verdana" w:hAnsi="Verdana"/>
          <w:bCs/>
          <w:sz w:val="24"/>
          <w:szCs w:val="24"/>
        </w:rPr>
      </w:pPr>
      <w:r w:rsidRPr="0006788A">
        <w:rPr>
          <w:rFonts w:ascii="Verdana" w:hAnsi="Verdana"/>
          <w:bCs/>
          <w:sz w:val="24"/>
          <w:szCs w:val="24"/>
        </w:rPr>
        <w:t xml:space="preserve">This initiative directly responds to inconsistent management practices, reported lack of managerial confidence, and elevated mental health absence. </w:t>
      </w:r>
      <w:r w:rsidR="00321855">
        <w:rPr>
          <w:rFonts w:ascii="Verdana" w:hAnsi="Verdana"/>
          <w:bCs/>
          <w:sz w:val="24"/>
          <w:szCs w:val="24"/>
        </w:rPr>
        <w:t xml:space="preserve"> </w:t>
      </w:r>
      <w:r w:rsidRPr="0006788A">
        <w:rPr>
          <w:rFonts w:ascii="Verdana" w:hAnsi="Verdana"/>
          <w:bCs/>
          <w:sz w:val="24"/>
          <w:szCs w:val="24"/>
        </w:rPr>
        <w:t xml:space="preserve">Evidence shows that managers who are trained and supported to manage wellbeing contribute to reduced sickness absence, improved psychological safety and better employee engagement (Cohen </w:t>
      </w:r>
      <w:r w:rsidRPr="0006788A">
        <w:rPr>
          <w:rFonts w:ascii="Verdana" w:hAnsi="Verdana"/>
          <w:bCs/>
          <w:i/>
          <w:iCs/>
          <w:sz w:val="24"/>
          <w:szCs w:val="24"/>
        </w:rPr>
        <w:t>et al.,</w:t>
      </w:r>
      <w:r w:rsidRPr="0006788A">
        <w:rPr>
          <w:rFonts w:ascii="Verdana" w:hAnsi="Verdana"/>
          <w:bCs/>
          <w:sz w:val="24"/>
          <w:szCs w:val="24"/>
        </w:rPr>
        <w:t xml:space="preserve"> 2023; CIPD, 2024b). Standardised training across all sites would also support consistency, fairness and governance</w:t>
      </w:r>
      <w:r w:rsidR="00321855">
        <w:rPr>
          <w:rFonts w:ascii="Verdana" w:hAnsi="Verdana"/>
          <w:bCs/>
          <w:sz w:val="24"/>
          <w:szCs w:val="24"/>
        </w:rPr>
        <w:t xml:space="preserve"> and improve call handling performance and support retention.</w:t>
      </w:r>
    </w:p>
    <w:p w14:paraId="46090C63" w14:textId="77777777" w:rsidR="002A2A27" w:rsidRPr="0006788A" w:rsidRDefault="002A2A27" w:rsidP="009D384D">
      <w:pPr>
        <w:pStyle w:val="Nornal"/>
        <w:spacing w:after="120" w:line="276" w:lineRule="auto"/>
        <w:rPr>
          <w:rFonts w:ascii="Verdana" w:hAnsi="Verdana"/>
          <w:bCs/>
          <w:sz w:val="24"/>
          <w:szCs w:val="24"/>
        </w:rPr>
      </w:pPr>
    </w:p>
    <w:p w14:paraId="0A919DFA" w14:textId="7894755A" w:rsidR="009D384D" w:rsidRPr="00EA75B9" w:rsidRDefault="009D384D" w:rsidP="009D384D">
      <w:pPr>
        <w:pStyle w:val="Nornal"/>
        <w:spacing w:after="120" w:line="276" w:lineRule="auto"/>
        <w:rPr>
          <w:rFonts w:ascii="Verdana" w:hAnsi="Verdana"/>
          <w:b/>
          <w:bCs/>
          <w:sz w:val="24"/>
          <w:szCs w:val="24"/>
        </w:rPr>
      </w:pPr>
      <w:r w:rsidRPr="00EA75B9">
        <w:rPr>
          <w:rFonts w:ascii="Verdana" w:hAnsi="Verdana"/>
          <w:b/>
          <w:bCs/>
          <w:sz w:val="24"/>
          <w:szCs w:val="24"/>
        </w:rPr>
        <w:t>Initiative 2: Integrated physical and psychological health support programme</w:t>
      </w:r>
      <w:r w:rsidR="00BB2292" w:rsidRPr="00EA75B9">
        <w:rPr>
          <w:rFonts w:ascii="Verdana" w:hAnsi="Verdana"/>
          <w:b/>
          <w:bCs/>
          <w:sz w:val="24"/>
          <w:szCs w:val="24"/>
        </w:rPr>
        <w:t>.</w:t>
      </w:r>
    </w:p>
    <w:p w14:paraId="63612D19" w14:textId="2B85A69E" w:rsidR="009D384D" w:rsidRPr="0006788A" w:rsidRDefault="009D384D" w:rsidP="00A75C8A">
      <w:pPr>
        <w:pStyle w:val="Nornal"/>
        <w:spacing w:after="120" w:line="276" w:lineRule="auto"/>
        <w:rPr>
          <w:rFonts w:ascii="Verdana" w:hAnsi="Verdana"/>
          <w:bCs/>
          <w:sz w:val="24"/>
          <w:szCs w:val="24"/>
        </w:rPr>
      </w:pPr>
      <w:r w:rsidRPr="0006788A">
        <w:rPr>
          <w:rFonts w:ascii="Verdana" w:hAnsi="Verdana"/>
          <w:bCs/>
          <w:sz w:val="24"/>
          <w:szCs w:val="24"/>
        </w:rPr>
        <w:t xml:space="preserve">A second initiative should be a </w:t>
      </w:r>
      <w:r w:rsidRPr="0006788A">
        <w:rPr>
          <w:rFonts w:ascii="Verdana" w:hAnsi="Verdana"/>
          <w:sz w:val="24"/>
          <w:szCs w:val="24"/>
        </w:rPr>
        <w:t>targeted physical and mental health support programme. This could include</w:t>
      </w:r>
      <w:r w:rsidR="00A75C8A" w:rsidRPr="0006788A">
        <w:rPr>
          <w:rFonts w:ascii="Verdana" w:hAnsi="Verdana"/>
          <w:sz w:val="24"/>
          <w:szCs w:val="24"/>
        </w:rPr>
        <w:t xml:space="preserve"> e</w:t>
      </w:r>
      <w:r w:rsidRPr="0006788A">
        <w:rPr>
          <w:rFonts w:ascii="Verdana" w:hAnsi="Verdana"/>
          <w:bCs/>
          <w:sz w:val="24"/>
          <w:szCs w:val="24"/>
        </w:rPr>
        <w:t>rgonomic workstation assessments for all call handlers</w:t>
      </w:r>
      <w:r w:rsidR="00A75C8A" w:rsidRPr="0006788A">
        <w:rPr>
          <w:rFonts w:ascii="Verdana" w:hAnsi="Verdana"/>
          <w:bCs/>
          <w:sz w:val="24"/>
          <w:szCs w:val="24"/>
        </w:rPr>
        <w:t>; a</w:t>
      </w:r>
      <w:r w:rsidRPr="0006788A">
        <w:rPr>
          <w:rFonts w:ascii="Verdana" w:hAnsi="Verdana"/>
          <w:bCs/>
          <w:sz w:val="24"/>
          <w:szCs w:val="24"/>
        </w:rPr>
        <w:t>ccess to physiotherapy or musculoskeletal advice</w:t>
      </w:r>
      <w:r w:rsidR="00A75C8A" w:rsidRPr="0006788A">
        <w:rPr>
          <w:rFonts w:ascii="Verdana" w:hAnsi="Verdana"/>
          <w:bCs/>
          <w:sz w:val="24"/>
          <w:szCs w:val="24"/>
        </w:rPr>
        <w:t xml:space="preserve"> and a </w:t>
      </w:r>
      <w:r w:rsidRPr="0006788A">
        <w:rPr>
          <w:rFonts w:ascii="Verdana" w:hAnsi="Verdana"/>
          <w:bCs/>
          <w:sz w:val="24"/>
          <w:szCs w:val="24"/>
        </w:rPr>
        <w:t>24/7 Employee Assistance Programme (EAP) offering confidential counselling and mental health support</w:t>
      </w:r>
      <w:r w:rsidR="00A75C8A" w:rsidRPr="0006788A">
        <w:rPr>
          <w:rFonts w:ascii="Verdana" w:hAnsi="Verdana"/>
          <w:bCs/>
          <w:sz w:val="24"/>
          <w:szCs w:val="24"/>
        </w:rPr>
        <w:t>.</w:t>
      </w:r>
    </w:p>
    <w:p w14:paraId="365CBA8F" w14:textId="4E571D6B" w:rsidR="00702960" w:rsidRPr="00702960" w:rsidRDefault="009D384D" w:rsidP="00702960">
      <w:pPr>
        <w:pStyle w:val="Nornal"/>
        <w:spacing w:after="120" w:line="276" w:lineRule="auto"/>
        <w:rPr>
          <w:rFonts w:ascii="Verdana" w:hAnsi="Verdana"/>
          <w:bCs/>
        </w:rPr>
      </w:pPr>
      <w:r w:rsidRPr="0006788A">
        <w:rPr>
          <w:rFonts w:ascii="Verdana" w:hAnsi="Verdana"/>
          <w:bCs/>
          <w:sz w:val="24"/>
          <w:szCs w:val="24"/>
        </w:rPr>
        <w:lastRenderedPageBreak/>
        <w:t xml:space="preserve">This initiative is justified by sickness absence data indicating mental health issues, minor illness and musculoskeletal problems. </w:t>
      </w:r>
      <w:r w:rsidR="00A75C8A" w:rsidRPr="0006788A">
        <w:rPr>
          <w:rFonts w:ascii="Verdana" w:hAnsi="Verdana"/>
          <w:bCs/>
          <w:sz w:val="24"/>
          <w:szCs w:val="24"/>
        </w:rPr>
        <w:t xml:space="preserve"> </w:t>
      </w:r>
      <w:r w:rsidRPr="0006788A">
        <w:rPr>
          <w:rFonts w:ascii="Verdana" w:hAnsi="Verdana"/>
          <w:bCs/>
          <w:sz w:val="24"/>
          <w:szCs w:val="24"/>
        </w:rPr>
        <w:t>Ergonomic interventions are proven to reduce musculoskeletal absence and discomfort in sedentary roles (</w:t>
      </w:r>
      <w:r w:rsidR="0047085B" w:rsidRPr="0006788A">
        <w:rPr>
          <w:rFonts w:ascii="Verdana" w:hAnsi="Verdana"/>
          <w:bCs/>
          <w:sz w:val="24"/>
          <w:szCs w:val="24"/>
        </w:rPr>
        <w:t>Donaldson</w:t>
      </w:r>
      <w:r w:rsidR="00B86B6D" w:rsidRPr="0006788A">
        <w:rPr>
          <w:rFonts w:ascii="Verdana" w:hAnsi="Verdana"/>
          <w:bCs/>
          <w:sz w:val="24"/>
          <w:szCs w:val="24"/>
        </w:rPr>
        <w:t>, van Zyl and Donaldson, 202</w:t>
      </w:r>
      <w:r w:rsidR="000B5764" w:rsidRPr="0006788A">
        <w:rPr>
          <w:rFonts w:ascii="Verdana" w:hAnsi="Verdana"/>
          <w:bCs/>
          <w:sz w:val="24"/>
          <w:szCs w:val="24"/>
        </w:rPr>
        <w:t>2</w:t>
      </w:r>
      <w:r w:rsidRPr="0006788A">
        <w:rPr>
          <w:rFonts w:ascii="Verdana" w:hAnsi="Verdana"/>
          <w:bCs/>
          <w:sz w:val="24"/>
          <w:szCs w:val="24"/>
        </w:rPr>
        <w:t>), while EAPs and counselling services can provide early intervention and reduce the severity and duration of mental health</w:t>
      </w:r>
      <w:r w:rsidRPr="0006788A">
        <w:rPr>
          <w:rFonts w:ascii="Verdana" w:hAnsi="Verdana"/>
          <w:bCs/>
          <w:sz w:val="24"/>
          <w:szCs w:val="24"/>
        </w:rPr>
        <w:noBreakHyphen/>
        <w:t>related absence when effectively promoted and used (CIPD, 2025b).</w:t>
      </w:r>
      <w:r w:rsidR="005B075D">
        <w:rPr>
          <w:rFonts w:ascii="Verdana" w:hAnsi="Verdana"/>
          <w:bCs/>
          <w:sz w:val="24"/>
          <w:szCs w:val="24"/>
        </w:rPr>
        <w:t xml:space="preserve">  </w:t>
      </w:r>
      <w:r w:rsidR="005B075D" w:rsidRPr="00702960">
        <w:rPr>
          <w:rFonts w:ascii="Verdana" w:hAnsi="Verdana"/>
          <w:sz w:val="24"/>
          <w:szCs w:val="24"/>
        </w:rPr>
        <w:t>However</w:t>
      </w:r>
      <w:r w:rsidR="00702960" w:rsidRPr="00702960">
        <w:rPr>
          <w:rFonts w:ascii="Verdana" w:hAnsi="Verdana"/>
          <w:sz w:val="24"/>
          <w:szCs w:val="24"/>
        </w:rPr>
        <w:t>,</w:t>
      </w:r>
      <w:r w:rsidR="00702960" w:rsidRPr="00702960">
        <w:rPr>
          <w:rFonts w:ascii="Verdana" w:hAnsi="Verdana"/>
          <w:sz w:val="24"/>
          <w:szCs w:val="24"/>
        </w:rPr>
        <w:t xml:space="preserve"> their effectiveness depends on awareness and uptake, meaning communication and manager signposting are critical.</w:t>
      </w:r>
    </w:p>
    <w:p w14:paraId="220BF898" w14:textId="1E6DC350" w:rsidR="009D384D" w:rsidRPr="0006788A" w:rsidRDefault="009D384D" w:rsidP="009D384D">
      <w:pPr>
        <w:pStyle w:val="Nornal"/>
        <w:spacing w:after="120" w:line="276" w:lineRule="auto"/>
        <w:rPr>
          <w:rFonts w:ascii="Verdana" w:hAnsi="Verdana"/>
          <w:bCs/>
          <w:sz w:val="24"/>
          <w:szCs w:val="24"/>
        </w:rPr>
      </w:pPr>
    </w:p>
    <w:p w14:paraId="6AF35195" w14:textId="490BD716" w:rsidR="00415566" w:rsidRPr="0006788A" w:rsidRDefault="00415566" w:rsidP="00415566">
      <w:pPr>
        <w:pStyle w:val="Nornal"/>
        <w:spacing w:after="120" w:line="276" w:lineRule="auto"/>
        <w:rPr>
          <w:rFonts w:ascii="Verdana" w:hAnsi="Verdana"/>
          <w:bCs/>
          <w:sz w:val="24"/>
          <w:szCs w:val="24"/>
        </w:rPr>
      </w:pPr>
      <w:r w:rsidRPr="0006788A">
        <w:rPr>
          <w:rFonts w:ascii="Verdana" w:hAnsi="Verdana"/>
          <w:bCs/>
          <w:sz w:val="24"/>
          <w:szCs w:val="24"/>
        </w:rPr>
        <w:t xml:space="preserve">In summary, </w:t>
      </w:r>
      <w:proofErr w:type="spellStart"/>
      <w:r w:rsidRPr="0006788A">
        <w:rPr>
          <w:rFonts w:ascii="Verdana" w:hAnsi="Verdana"/>
          <w:bCs/>
          <w:sz w:val="24"/>
          <w:szCs w:val="24"/>
        </w:rPr>
        <w:t>Insursave</w:t>
      </w:r>
      <w:proofErr w:type="spellEnd"/>
      <w:r w:rsidRPr="0006788A">
        <w:rPr>
          <w:rFonts w:ascii="Verdana" w:hAnsi="Verdana"/>
          <w:bCs/>
          <w:sz w:val="24"/>
          <w:szCs w:val="24"/>
        </w:rPr>
        <w:t xml:space="preserve"> </w:t>
      </w:r>
      <w:proofErr w:type="spellStart"/>
      <w:r w:rsidRPr="0006788A">
        <w:rPr>
          <w:rFonts w:ascii="Verdana" w:hAnsi="Verdana"/>
          <w:bCs/>
          <w:sz w:val="24"/>
          <w:szCs w:val="24"/>
        </w:rPr>
        <w:t>Ltd’s</w:t>
      </w:r>
      <w:proofErr w:type="spellEnd"/>
      <w:r w:rsidRPr="0006788A">
        <w:rPr>
          <w:rFonts w:ascii="Verdana" w:hAnsi="Verdana"/>
          <w:bCs/>
          <w:sz w:val="24"/>
          <w:szCs w:val="24"/>
        </w:rPr>
        <w:t xml:space="preserve"> wellbeing needs are shaped by its call</w:t>
      </w:r>
      <w:r w:rsidRPr="0006788A">
        <w:rPr>
          <w:rFonts w:ascii="Verdana" w:hAnsi="Verdana"/>
          <w:bCs/>
          <w:sz w:val="24"/>
          <w:szCs w:val="24"/>
        </w:rPr>
        <w:noBreakHyphen/>
        <w:t xml:space="preserve">centre operating model, young and relatively inexperienced workforce, emerging mental health risks and inconsistent line management capability. </w:t>
      </w:r>
      <w:r w:rsidR="009C5494" w:rsidRPr="0006788A">
        <w:rPr>
          <w:rFonts w:ascii="Verdana" w:hAnsi="Verdana"/>
          <w:bCs/>
          <w:sz w:val="24"/>
          <w:szCs w:val="24"/>
        </w:rPr>
        <w:t xml:space="preserve"> </w:t>
      </w:r>
      <w:r w:rsidRPr="0006788A">
        <w:rPr>
          <w:rFonts w:ascii="Verdana" w:hAnsi="Verdana"/>
          <w:bCs/>
          <w:sz w:val="24"/>
          <w:szCs w:val="24"/>
        </w:rPr>
        <w:t>Implemented together, these initiatives would strengthen preventative wellbeing support, improve consistency across sites and contribute to improved absence, engagement and retention outcomes.</w:t>
      </w:r>
    </w:p>
    <w:p w14:paraId="0A87ED0E" w14:textId="77777777" w:rsidR="00415566" w:rsidRPr="0006788A" w:rsidRDefault="00415566" w:rsidP="009C4748">
      <w:pPr>
        <w:pStyle w:val="Nornal"/>
        <w:spacing w:after="120" w:line="276" w:lineRule="auto"/>
        <w:rPr>
          <w:rFonts w:ascii="Verdana" w:hAnsi="Verdana"/>
          <w:bCs/>
          <w:sz w:val="24"/>
          <w:szCs w:val="24"/>
        </w:rPr>
      </w:pPr>
    </w:p>
    <w:p w14:paraId="782B2F12" w14:textId="77777777" w:rsidR="009D384D" w:rsidRPr="0006788A" w:rsidRDefault="009D384D" w:rsidP="009C4748">
      <w:pPr>
        <w:pStyle w:val="Nornal"/>
        <w:spacing w:after="120" w:line="276" w:lineRule="auto"/>
        <w:rPr>
          <w:rFonts w:ascii="Verdana" w:hAnsi="Verdana"/>
          <w:bCs/>
          <w:sz w:val="24"/>
          <w:szCs w:val="24"/>
        </w:rPr>
      </w:pPr>
    </w:p>
    <w:p w14:paraId="0D99A1BE" w14:textId="77777777" w:rsidR="009D384D" w:rsidRPr="0006788A" w:rsidRDefault="009D384D" w:rsidP="009C4748">
      <w:pPr>
        <w:pStyle w:val="Nornal"/>
        <w:spacing w:after="120" w:line="276" w:lineRule="auto"/>
        <w:rPr>
          <w:rFonts w:ascii="Verdana" w:hAnsi="Verdana"/>
          <w:bCs/>
          <w:sz w:val="24"/>
          <w:szCs w:val="24"/>
        </w:rPr>
      </w:pPr>
    </w:p>
    <w:p w14:paraId="5793470B" w14:textId="22F2253C" w:rsidR="002A2A27" w:rsidRPr="0006788A" w:rsidRDefault="002A2A27">
      <w:pPr>
        <w:rPr>
          <w:rFonts w:ascii="Verdana" w:eastAsiaTheme="minorHAnsi" w:hAnsi="Verdana" w:cs="Arial"/>
          <w:bCs/>
          <w:kern w:val="0"/>
          <w:sz w:val="22"/>
          <w:szCs w:val="22"/>
          <w:lang w:eastAsia="en-US"/>
          <w14:ligatures w14:val="none"/>
        </w:rPr>
      </w:pPr>
      <w:r w:rsidRPr="0006788A">
        <w:rPr>
          <w:rFonts w:ascii="Verdana" w:hAnsi="Verdana"/>
          <w:bCs/>
        </w:rPr>
        <w:br w:type="page"/>
      </w:r>
    </w:p>
    <w:p w14:paraId="127B9ECB" w14:textId="77777777" w:rsidR="002733D0" w:rsidRDefault="002733D0" w:rsidP="004A6366">
      <w:pPr>
        <w:pStyle w:val="ListParagraph"/>
        <w:numPr>
          <w:ilvl w:val="0"/>
          <w:numId w:val="2"/>
        </w:numPr>
        <w:spacing w:after="240" w:line="276" w:lineRule="auto"/>
        <w:rPr>
          <w:rFonts w:ascii="Verdana" w:hAnsi="Verdana" w:cs="Arial"/>
          <w:b/>
          <w:szCs w:val="22"/>
        </w:rPr>
      </w:pPr>
      <w:r w:rsidRPr="00EA75B9">
        <w:rPr>
          <w:rFonts w:ascii="Verdana" w:hAnsi="Verdana" w:cs="Arial"/>
          <w:b/>
          <w:szCs w:val="22"/>
        </w:rPr>
        <w:lastRenderedPageBreak/>
        <w:t xml:space="preserve">Design (in summary form) a wellbeing programme/initiative that would address one area of </w:t>
      </w:r>
      <w:proofErr w:type="spellStart"/>
      <w:r w:rsidRPr="00EA75B9">
        <w:rPr>
          <w:rFonts w:ascii="Verdana" w:hAnsi="Verdana"/>
          <w:b/>
        </w:rPr>
        <w:t>Insursave</w:t>
      </w:r>
      <w:proofErr w:type="spellEnd"/>
      <w:r w:rsidRPr="00EA75B9">
        <w:rPr>
          <w:rFonts w:ascii="Verdana" w:hAnsi="Verdana"/>
          <w:b/>
        </w:rPr>
        <w:t xml:space="preserve"> </w:t>
      </w:r>
      <w:proofErr w:type="spellStart"/>
      <w:r w:rsidRPr="00EA75B9">
        <w:rPr>
          <w:rFonts w:ascii="Verdana" w:hAnsi="Verdana"/>
          <w:b/>
        </w:rPr>
        <w:t>Ltd’s</w:t>
      </w:r>
      <w:proofErr w:type="spellEnd"/>
      <w:r w:rsidRPr="00EA75B9">
        <w:rPr>
          <w:rFonts w:ascii="Verdana" w:hAnsi="Verdana"/>
          <w:b/>
        </w:rPr>
        <w:t xml:space="preserve"> </w:t>
      </w:r>
      <w:r w:rsidRPr="00EA75B9">
        <w:rPr>
          <w:rFonts w:ascii="Verdana" w:hAnsi="Verdana" w:cs="Arial"/>
          <w:b/>
          <w:szCs w:val="22"/>
        </w:rPr>
        <w:t>needs.  Your design summary should include the need being addressed, the key components of the programme, the people involved/affected, and the potential wellbeing benefits to be gained. (AC 3.2)</w:t>
      </w:r>
    </w:p>
    <w:p w14:paraId="4E5E748B" w14:textId="77777777" w:rsidR="00EE0A2C" w:rsidRDefault="00EE0A2C" w:rsidP="00EE0A2C">
      <w:pPr>
        <w:spacing w:after="240" w:line="276" w:lineRule="auto"/>
        <w:rPr>
          <w:rFonts w:ascii="Verdana" w:hAnsi="Verdana" w:cs="Arial"/>
          <w:b/>
          <w:szCs w:val="22"/>
        </w:rPr>
      </w:pPr>
    </w:p>
    <w:p w14:paraId="6101A993" w14:textId="4DE8D1DD"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Wellbeing Programme Design: Line Manager Capability Programme</w:t>
      </w:r>
    </w:p>
    <w:p w14:paraId="7E3C8F95" w14:textId="501B354F" w:rsidR="00772588" w:rsidRPr="00772588" w:rsidRDefault="00772588" w:rsidP="00772588">
      <w:pPr>
        <w:spacing w:after="240" w:line="276" w:lineRule="auto"/>
        <w:rPr>
          <w:rFonts w:ascii="Verdana" w:hAnsi="Verdana" w:cs="Arial"/>
          <w:szCs w:val="22"/>
        </w:rPr>
      </w:pPr>
      <w:r w:rsidRPr="00772588">
        <w:rPr>
          <w:rFonts w:ascii="Verdana" w:hAnsi="Verdana" w:cs="Arial"/>
          <w:szCs w:val="22"/>
        </w:rPr>
        <w:t xml:space="preserve">Identified </w:t>
      </w:r>
      <w:r>
        <w:rPr>
          <w:rFonts w:ascii="Verdana" w:hAnsi="Verdana" w:cs="Arial"/>
          <w:szCs w:val="22"/>
        </w:rPr>
        <w:t>n</w:t>
      </w:r>
      <w:r w:rsidRPr="00772588">
        <w:rPr>
          <w:rFonts w:ascii="Verdana" w:hAnsi="Verdana" w:cs="Arial"/>
          <w:szCs w:val="22"/>
        </w:rPr>
        <w:t>eed</w:t>
      </w:r>
      <w:r>
        <w:rPr>
          <w:rFonts w:ascii="Verdana" w:hAnsi="Verdana" w:cs="Arial"/>
          <w:szCs w:val="22"/>
        </w:rPr>
        <w:t>:</w:t>
      </w:r>
    </w:p>
    <w:p w14:paraId="745D3E56" w14:textId="77777777" w:rsidR="00772588" w:rsidRPr="00772588" w:rsidRDefault="00772588" w:rsidP="004A6366">
      <w:pPr>
        <w:pStyle w:val="ListParagraph"/>
        <w:numPr>
          <w:ilvl w:val="0"/>
          <w:numId w:val="6"/>
        </w:numPr>
        <w:rPr>
          <w:rFonts w:ascii="Verdana" w:hAnsi="Verdana"/>
        </w:rPr>
      </w:pPr>
      <w:r w:rsidRPr="00772588">
        <w:rPr>
          <w:rFonts w:ascii="Verdana" w:hAnsi="Verdana"/>
        </w:rPr>
        <w:t>Inconsistent and insufficiently developed line management capability</w:t>
      </w:r>
    </w:p>
    <w:p w14:paraId="382D6925" w14:textId="77777777" w:rsidR="00772588" w:rsidRPr="00772588" w:rsidRDefault="00772588" w:rsidP="004A6366">
      <w:pPr>
        <w:pStyle w:val="ListParagraph"/>
        <w:numPr>
          <w:ilvl w:val="0"/>
          <w:numId w:val="6"/>
        </w:numPr>
        <w:rPr>
          <w:rFonts w:ascii="Verdana" w:hAnsi="Verdana"/>
        </w:rPr>
      </w:pPr>
      <w:r w:rsidRPr="00772588">
        <w:rPr>
          <w:rFonts w:ascii="Verdana" w:hAnsi="Verdana"/>
        </w:rPr>
        <w:t>Low confidence in managing wellbeing and sickness absence</w:t>
      </w:r>
    </w:p>
    <w:p w14:paraId="41278CAE" w14:textId="77777777" w:rsidR="00772588" w:rsidRPr="00772588" w:rsidRDefault="00772588" w:rsidP="004A6366">
      <w:pPr>
        <w:pStyle w:val="ListParagraph"/>
        <w:numPr>
          <w:ilvl w:val="0"/>
          <w:numId w:val="6"/>
        </w:numPr>
        <w:rPr>
          <w:rFonts w:ascii="Verdana" w:hAnsi="Verdana"/>
        </w:rPr>
      </w:pPr>
      <w:r w:rsidRPr="00772588">
        <w:rPr>
          <w:rFonts w:ascii="Verdana" w:hAnsi="Verdana"/>
        </w:rPr>
        <w:t>Increasing mental health-related absence and wellbeing concerns</w:t>
      </w:r>
    </w:p>
    <w:p w14:paraId="254CB9B1" w14:textId="77777777" w:rsidR="00772588" w:rsidRPr="00772588" w:rsidRDefault="00772588" w:rsidP="004A6366">
      <w:pPr>
        <w:pStyle w:val="ListParagraph"/>
        <w:numPr>
          <w:ilvl w:val="0"/>
          <w:numId w:val="6"/>
        </w:numPr>
        <w:rPr>
          <w:rFonts w:ascii="Verdana" w:hAnsi="Verdana"/>
        </w:rPr>
      </w:pPr>
      <w:r w:rsidRPr="00772588">
        <w:rPr>
          <w:rFonts w:ascii="Verdana" w:hAnsi="Verdana"/>
        </w:rPr>
        <w:t>Need for more proactive and preventative management approaches</w:t>
      </w:r>
    </w:p>
    <w:p w14:paraId="64A376B4" w14:textId="77777777" w:rsidR="00EE0A2C" w:rsidRDefault="00EE0A2C" w:rsidP="00EE0A2C">
      <w:pPr>
        <w:spacing w:after="240" w:line="276" w:lineRule="auto"/>
        <w:rPr>
          <w:rFonts w:ascii="Verdana" w:hAnsi="Verdana" w:cs="Arial"/>
          <w:szCs w:val="22"/>
        </w:rPr>
      </w:pPr>
    </w:p>
    <w:p w14:paraId="46CBA3F9" w14:textId="376F72B1"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Aim</w:t>
      </w:r>
      <w:r w:rsidR="00772588">
        <w:rPr>
          <w:rFonts w:ascii="Verdana" w:hAnsi="Verdana" w:cs="Arial"/>
          <w:szCs w:val="22"/>
        </w:rPr>
        <w:t xml:space="preserve"> of the programme</w:t>
      </w:r>
      <w:r w:rsidRPr="00EE0A2C">
        <w:rPr>
          <w:rFonts w:ascii="Verdana" w:hAnsi="Verdana" w:cs="Arial"/>
          <w:szCs w:val="22"/>
        </w:rPr>
        <w:t>:</w:t>
      </w:r>
    </w:p>
    <w:p w14:paraId="47B63236" w14:textId="4FEAF979" w:rsidR="0011713E" w:rsidRPr="0011713E" w:rsidRDefault="0011713E" w:rsidP="004A6366">
      <w:pPr>
        <w:pStyle w:val="ListParagraph"/>
        <w:numPr>
          <w:ilvl w:val="0"/>
          <w:numId w:val="7"/>
        </w:numPr>
        <w:spacing w:after="240" w:line="276" w:lineRule="auto"/>
        <w:rPr>
          <w:rFonts w:ascii="Verdana" w:hAnsi="Verdana" w:cs="Arial"/>
          <w:szCs w:val="22"/>
        </w:rPr>
      </w:pPr>
      <w:r w:rsidRPr="0011713E">
        <w:rPr>
          <w:rFonts w:ascii="Verdana" w:hAnsi="Verdana" w:cs="Arial"/>
          <w:szCs w:val="22"/>
        </w:rPr>
        <w:t xml:space="preserve">To improve managers’ confidence, knowledge and skills in supporting employee wellbeing </w:t>
      </w:r>
    </w:p>
    <w:p w14:paraId="33B12679" w14:textId="58708CC6" w:rsidR="0011713E" w:rsidRPr="0011713E" w:rsidRDefault="0011713E" w:rsidP="004A6366">
      <w:pPr>
        <w:pStyle w:val="ListParagraph"/>
        <w:numPr>
          <w:ilvl w:val="0"/>
          <w:numId w:val="7"/>
        </w:numPr>
        <w:spacing w:after="240" w:line="276" w:lineRule="auto"/>
        <w:rPr>
          <w:rFonts w:ascii="Verdana" w:hAnsi="Verdana" w:cs="Arial"/>
          <w:szCs w:val="22"/>
        </w:rPr>
      </w:pPr>
      <w:r w:rsidRPr="0011713E">
        <w:rPr>
          <w:rFonts w:ascii="Verdana" w:hAnsi="Verdana" w:cs="Arial"/>
          <w:szCs w:val="22"/>
        </w:rPr>
        <w:t xml:space="preserve">To enable early identification and intervention of wellbeing concerns </w:t>
      </w:r>
    </w:p>
    <w:p w14:paraId="2E1DB62B" w14:textId="088D372C" w:rsidR="0011713E" w:rsidRPr="0011713E" w:rsidRDefault="0011713E" w:rsidP="004A6366">
      <w:pPr>
        <w:pStyle w:val="ListParagraph"/>
        <w:numPr>
          <w:ilvl w:val="0"/>
          <w:numId w:val="7"/>
        </w:numPr>
        <w:spacing w:after="240" w:line="276" w:lineRule="auto"/>
        <w:rPr>
          <w:rFonts w:ascii="Verdana" w:hAnsi="Verdana" w:cs="Arial"/>
          <w:szCs w:val="22"/>
        </w:rPr>
      </w:pPr>
      <w:r w:rsidRPr="0011713E">
        <w:rPr>
          <w:rFonts w:ascii="Verdana" w:hAnsi="Verdana" w:cs="Arial"/>
          <w:szCs w:val="22"/>
        </w:rPr>
        <w:t>To improve consistency in absence management and wellbeing practices across the organisation</w:t>
      </w:r>
    </w:p>
    <w:p w14:paraId="218DF0FE" w14:textId="77777777" w:rsidR="00EE0A2C" w:rsidRDefault="00EE0A2C" w:rsidP="00EE0A2C">
      <w:pPr>
        <w:spacing w:after="240" w:line="276" w:lineRule="auto"/>
        <w:rPr>
          <w:rFonts w:ascii="Verdana" w:hAnsi="Verdana" w:cs="Arial"/>
          <w:b/>
          <w:bCs/>
          <w:szCs w:val="22"/>
        </w:rPr>
      </w:pPr>
    </w:p>
    <w:p w14:paraId="2831A3A8" w14:textId="6E0DC6BB"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 xml:space="preserve">Key </w:t>
      </w:r>
      <w:r w:rsidRPr="00EE0A2C">
        <w:rPr>
          <w:rFonts w:ascii="Verdana" w:hAnsi="Verdana" w:cs="Arial"/>
          <w:szCs w:val="22"/>
        </w:rPr>
        <w:t>c</w:t>
      </w:r>
      <w:r w:rsidRPr="00EE0A2C">
        <w:rPr>
          <w:rFonts w:ascii="Verdana" w:hAnsi="Verdana" w:cs="Arial"/>
          <w:szCs w:val="22"/>
        </w:rPr>
        <w:t>omponents</w:t>
      </w:r>
      <w:r w:rsidRPr="00EE0A2C">
        <w:rPr>
          <w:rFonts w:ascii="Verdana" w:hAnsi="Verdana" w:cs="Arial"/>
          <w:szCs w:val="22"/>
        </w:rPr>
        <w:t>:</w:t>
      </w:r>
    </w:p>
    <w:p w14:paraId="136031E3" w14:textId="4DDC2377"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Mental Health Training</w:t>
      </w:r>
      <w:r>
        <w:rPr>
          <w:rFonts w:ascii="Verdana" w:hAnsi="Verdana" w:cs="Arial"/>
          <w:szCs w:val="22"/>
        </w:rPr>
        <w:t>: t</w:t>
      </w:r>
      <w:r w:rsidRPr="00EE0A2C">
        <w:rPr>
          <w:rFonts w:ascii="Verdana" w:hAnsi="Verdana" w:cs="Arial"/>
          <w:szCs w:val="22"/>
        </w:rPr>
        <w:t xml:space="preserve">raining to recognise warning signs, conduct supportive conversations, understand reasonable adjustments, and apply legal and organisational policies (Hassard </w:t>
      </w:r>
      <w:r w:rsidRPr="00EE0A2C">
        <w:rPr>
          <w:rFonts w:ascii="Verdana" w:hAnsi="Verdana" w:cs="Arial"/>
          <w:i/>
          <w:iCs/>
          <w:szCs w:val="22"/>
        </w:rPr>
        <w:t>et al.,</w:t>
      </w:r>
      <w:r w:rsidRPr="00EE0A2C">
        <w:rPr>
          <w:rFonts w:ascii="Verdana" w:hAnsi="Verdana" w:cs="Arial"/>
          <w:szCs w:val="22"/>
        </w:rPr>
        <w:t xml:space="preserve"> 2024).</w:t>
      </w:r>
    </w:p>
    <w:p w14:paraId="6C667A60" w14:textId="0AD881C7"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Leadership Behaviour Development</w:t>
      </w:r>
      <w:r>
        <w:rPr>
          <w:rFonts w:ascii="Verdana" w:hAnsi="Verdana" w:cs="Arial"/>
          <w:szCs w:val="22"/>
        </w:rPr>
        <w:t>: f</w:t>
      </w:r>
      <w:r w:rsidRPr="00EE0A2C">
        <w:rPr>
          <w:rFonts w:ascii="Verdana" w:hAnsi="Verdana" w:cs="Arial"/>
          <w:szCs w:val="22"/>
        </w:rPr>
        <w:t xml:space="preserve">ocus on empathy, active listening, coaching skills, and </w:t>
      </w:r>
      <w:r w:rsidR="00517BC1">
        <w:rPr>
          <w:rFonts w:ascii="Verdana" w:hAnsi="Verdana" w:cs="Arial"/>
          <w:szCs w:val="22"/>
        </w:rPr>
        <w:t xml:space="preserve">positive </w:t>
      </w:r>
      <w:r w:rsidRPr="00EE0A2C">
        <w:rPr>
          <w:rFonts w:ascii="Verdana" w:hAnsi="Verdana" w:cs="Arial"/>
          <w:szCs w:val="22"/>
        </w:rPr>
        <w:t xml:space="preserve">role modelling to promote psychological safety and reduce stigma (Hammer </w:t>
      </w:r>
      <w:r w:rsidRPr="00EE0A2C">
        <w:rPr>
          <w:rFonts w:ascii="Verdana" w:hAnsi="Verdana" w:cs="Arial"/>
          <w:i/>
          <w:iCs/>
          <w:szCs w:val="22"/>
        </w:rPr>
        <w:t>et al.,</w:t>
      </w:r>
      <w:r w:rsidRPr="00EE0A2C">
        <w:rPr>
          <w:rFonts w:ascii="Verdana" w:hAnsi="Verdana" w:cs="Arial"/>
          <w:szCs w:val="22"/>
        </w:rPr>
        <w:t xml:space="preserve"> 2024).</w:t>
      </w:r>
    </w:p>
    <w:p w14:paraId="32719575" w14:textId="076DED88"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Structured Wellbeing Frameworks</w:t>
      </w:r>
      <w:r w:rsidRPr="00EE0A2C">
        <w:rPr>
          <w:rFonts w:ascii="Verdana" w:hAnsi="Verdana" w:cs="Arial"/>
          <w:szCs w:val="22"/>
        </w:rPr>
        <w:t>: t</w:t>
      </w:r>
      <w:r w:rsidRPr="00EE0A2C">
        <w:rPr>
          <w:rFonts w:ascii="Verdana" w:hAnsi="Verdana" w:cs="Arial"/>
          <w:szCs w:val="22"/>
        </w:rPr>
        <w:t>ools to support regular check-ins, workload discussions, and early identification of wellbeing concerns, enabling preventative intervention.</w:t>
      </w:r>
    </w:p>
    <w:p w14:paraId="4A7F8896" w14:textId="660C6969" w:rsidR="00EE0A2C" w:rsidRPr="00EE0A2C" w:rsidRDefault="00EE0A2C" w:rsidP="00EE0A2C">
      <w:pPr>
        <w:spacing w:after="240" w:line="276" w:lineRule="auto"/>
        <w:rPr>
          <w:rFonts w:ascii="Verdana" w:hAnsi="Verdana" w:cs="Arial"/>
          <w:szCs w:val="22"/>
        </w:rPr>
      </w:pPr>
      <w:r w:rsidRPr="00EE0A2C">
        <w:rPr>
          <w:rFonts w:ascii="Verdana" w:hAnsi="Verdana" w:cs="Arial"/>
          <w:szCs w:val="22"/>
        </w:rPr>
        <w:lastRenderedPageBreak/>
        <w:t xml:space="preserve">Absence </w:t>
      </w:r>
      <w:r w:rsidRPr="00EE0A2C">
        <w:rPr>
          <w:rFonts w:ascii="Verdana" w:hAnsi="Verdana" w:cs="Arial"/>
          <w:szCs w:val="22"/>
        </w:rPr>
        <w:t>m</w:t>
      </w:r>
      <w:r w:rsidRPr="00EE0A2C">
        <w:rPr>
          <w:rFonts w:ascii="Verdana" w:hAnsi="Verdana" w:cs="Arial"/>
          <w:szCs w:val="22"/>
        </w:rPr>
        <w:t xml:space="preserve">anagement </w:t>
      </w:r>
      <w:r w:rsidRPr="00EE0A2C">
        <w:rPr>
          <w:rFonts w:ascii="Verdana" w:hAnsi="Verdana" w:cs="Arial"/>
          <w:szCs w:val="22"/>
        </w:rPr>
        <w:t>g</w:t>
      </w:r>
      <w:r w:rsidRPr="00EE0A2C">
        <w:rPr>
          <w:rFonts w:ascii="Verdana" w:hAnsi="Verdana" w:cs="Arial"/>
          <w:szCs w:val="22"/>
        </w:rPr>
        <w:t>uidance</w:t>
      </w:r>
      <w:r w:rsidRPr="00EE0A2C">
        <w:rPr>
          <w:rFonts w:ascii="Verdana" w:hAnsi="Verdana" w:cs="Arial"/>
          <w:szCs w:val="22"/>
        </w:rPr>
        <w:t>: s</w:t>
      </w:r>
      <w:r w:rsidRPr="00EE0A2C">
        <w:rPr>
          <w:rFonts w:ascii="Verdana" w:hAnsi="Verdana" w:cs="Arial"/>
          <w:szCs w:val="22"/>
        </w:rPr>
        <w:t>tandardised tools for managing absence, including early contact</w:t>
      </w:r>
      <w:r w:rsidR="00226D96">
        <w:rPr>
          <w:rFonts w:ascii="Verdana" w:hAnsi="Verdana" w:cs="Arial"/>
          <w:szCs w:val="22"/>
        </w:rPr>
        <w:t xml:space="preserve"> and support during absence</w:t>
      </w:r>
      <w:r w:rsidRPr="00EE0A2C">
        <w:rPr>
          <w:rFonts w:ascii="Verdana" w:hAnsi="Verdana" w:cs="Arial"/>
          <w:szCs w:val="22"/>
        </w:rPr>
        <w:t xml:space="preserve">, return-to-work discussions, and </w:t>
      </w:r>
      <w:r w:rsidR="00375D0F">
        <w:rPr>
          <w:rFonts w:ascii="Verdana" w:hAnsi="Verdana" w:cs="Arial"/>
          <w:szCs w:val="22"/>
        </w:rPr>
        <w:t xml:space="preserve">promoting trust and </w:t>
      </w:r>
      <w:r w:rsidRPr="00EE0A2C">
        <w:rPr>
          <w:rFonts w:ascii="Verdana" w:hAnsi="Verdana" w:cs="Arial"/>
          <w:szCs w:val="22"/>
        </w:rPr>
        <w:t xml:space="preserve">consistent handling of long-term or recurring absence (Rasmussen </w:t>
      </w:r>
      <w:r w:rsidRPr="00EE0A2C">
        <w:rPr>
          <w:rFonts w:ascii="Verdana" w:hAnsi="Verdana" w:cs="Arial"/>
          <w:i/>
          <w:iCs/>
          <w:szCs w:val="22"/>
        </w:rPr>
        <w:t>et al.,</w:t>
      </w:r>
      <w:r w:rsidRPr="00EE0A2C">
        <w:rPr>
          <w:rFonts w:ascii="Verdana" w:hAnsi="Verdana" w:cs="Arial"/>
          <w:szCs w:val="22"/>
        </w:rPr>
        <w:t xml:space="preserve"> 2025).</w:t>
      </w:r>
    </w:p>
    <w:p w14:paraId="19A7CF97" w14:textId="3E0E5E4A" w:rsidR="00EE0A2C" w:rsidRDefault="00EE0A2C" w:rsidP="00EE0A2C">
      <w:pPr>
        <w:spacing w:after="240" w:line="276" w:lineRule="auto"/>
        <w:rPr>
          <w:rFonts w:ascii="Verdana" w:hAnsi="Verdana" w:cs="Arial"/>
          <w:szCs w:val="22"/>
        </w:rPr>
      </w:pPr>
      <w:r w:rsidRPr="00EE0A2C">
        <w:rPr>
          <w:rFonts w:ascii="Verdana" w:hAnsi="Verdana" w:cs="Arial"/>
          <w:szCs w:val="22"/>
        </w:rPr>
        <w:t xml:space="preserve">Manager </w:t>
      </w:r>
      <w:r w:rsidRPr="00EE0A2C">
        <w:rPr>
          <w:rFonts w:ascii="Verdana" w:hAnsi="Verdana" w:cs="Arial"/>
          <w:szCs w:val="22"/>
        </w:rPr>
        <w:t>w</w:t>
      </w:r>
      <w:r w:rsidRPr="00EE0A2C">
        <w:rPr>
          <w:rFonts w:ascii="Verdana" w:hAnsi="Verdana" w:cs="Arial"/>
          <w:szCs w:val="22"/>
        </w:rPr>
        <w:t xml:space="preserve">ellbeing </w:t>
      </w:r>
      <w:r w:rsidRPr="00EE0A2C">
        <w:rPr>
          <w:rFonts w:ascii="Verdana" w:hAnsi="Verdana" w:cs="Arial"/>
          <w:szCs w:val="22"/>
        </w:rPr>
        <w:t>s</w:t>
      </w:r>
      <w:r w:rsidRPr="00EE0A2C">
        <w:rPr>
          <w:rFonts w:ascii="Verdana" w:hAnsi="Verdana" w:cs="Arial"/>
          <w:szCs w:val="22"/>
        </w:rPr>
        <w:t>upport</w:t>
      </w:r>
      <w:r w:rsidRPr="00EE0A2C">
        <w:rPr>
          <w:rFonts w:ascii="Verdana" w:hAnsi="Verdana" w:cs="Arial"/>
          <w:szCs w:val="22"/>
        </w:rPr>
        <w:t>:  r</w:t>
      </w:r>
      <w:r w:rsidRPr="00EE0A2C">
        <w:rPr>
          <w:rFonts w:ascii="Verdana" w:hAnsi="Verdana" w:cs="Arial"/>
          <w:szCs w:val="22"/>
        </w:rPr>
        <w:t>esources promoting self-awareness, peer support and access to organisational wellbeing services to enable managers to effectively support others.</w:t>
      </w:r>
    </w:p>
    <w:p w14:paraId="08B1A503" w14:textId="77777777" w:rsidR="00EE0A2C" w:rsidRPr="00EE0A2C" w:rsidRDefault="00EE0A2C" w:rsidP="00EE0A2C">
      <w:pPr>
        <w:spacing w:after="240" w:line="276" w:lineRule="auto"/>
        <w:rPr>
          <w:rFonts w:ascii="Verdana" w:hAnsi="Verdana" w:cs="Arial"/>
          <w:szCs w:val="22"/>
        </w:rPr>
      </w:pPr>
    </w:p>
    <w:p w14:paraId="31AD7A84" w14:textId="544CF67F"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 xml:space="preserve">People </w:t>
      </w:r>
      <w:r w:rsidRPr="00EE0A2C">
        <w:rPr>
          <w:rFonts w:ascii="Verdana" w:hAnsi="Verdana" w:cs="Arial"/>
          <w:szCs w:val="22"/>
        </w:rPr>
        <w:t>i</w:t>
      </w:r>
      <w:r w:rsidRPr="00EE0A2C">
        <w:rPr>
          <w:rFonts w:ascii="Verdana" w:hAnsi="Verdana" w:cs="Arial"/>
          <w:szCs w:val="22"/>
        </w:rPr>
        <w:t>nvolved</w:t>
      </w:r>
      <w:r w:rsidRPr="00EE0A2C">
        <w:rPr>
          <w:rFonts w:ascii="Verdana" w:hAnsi="Verdana" w:cs="Arial"/>
          <w:szCs w:val="22"/>
        </w:rPr>
        <w:t>:</w:t>
      </w:r>
    </w:p>
    <w:p w14:paraId="6741D55F" w14:textId="6217D326" w:rsidR="00EE0A2C" w:rsidRDefault="00EE0A2C" w:rsidP="004A6366">
      <w:pPr>
        <w:pStyle w:val="ListParagraph"/>
        <w:numPr>
          <w:ilvl w:val="0"/>
          <w:numId w:val="3"/>
        </w:numPr>
        <w:spacing w:after="240" w:line="276" w:lineRule="auto"/>
        <w:rPr>
          <w:rFonts w:ascii="Verdana" w:hAnsi="Verdana" w:cs="Arial"/>
          <w:bCs/>
          <w:szCs w:val="22"/>
        </w:rPr>
      </w:pPr>
      <w:r w:rsidRPr="00EE0A2C">
        <w:rPr>
          <w:rFonts w:ascii="Verdana" w:hAnsi="Verdana" w:cs="Arial"/>
          <w:bCs/>
          <w:szCs w:val="22"/>
        </w:rPr>
        <w:t xml:space="preserve">Line managers </w:t>
      </w:r>
      <w:r w:rsidR="002E5656">
        <w:rPr>
          <w:rFonts w:ascii="Verdana" w:hAnsi="Verdana" w:cs="Arial"/>
          <w:bCs/>
          <w:szCs w:val="22"/>
        </w:rPr>
        <w:t xml:space="preserve">across all three management levels </w:t>
      </w:r>
      <w:r w:rsidRPr="00EE0A2C">
        <w:rPr>
          <w:rFonts w:ascii="Verdana" w:hAnsi="Verdana" w:cs="Arial"/>
          <w:bCs/>
          <w:szCs w:val="22"/>
        </w:rPr>
        <w:t>(</w:t>
      </w:r>
      <w:r w:rsidR="002E5656">
        <w:rPr>
          <w:rFonts w:ascii="Verdana" w:hAnsi="Verdana" w:cs="Arial"/>
          <w:bCs/>
          <w:szCs w:val="22"/>
        </w:rPr>
        <w:t>main participants</w:t>
      </w:r>
      <w:r w:rsidRPr="00EE0A2C">
        <w:rPr>
          <w:rFonts w:ascii="Verdana" w:hAnsi="Verdana" w:cs="Arial"/>
          <w:bCs/>
          <w:szCs w:val="22"/>
        </w:rPr>
        <w:t>)</w:t>
      </w:r>
    </w:p>
    <w:p w14:paraId="3E720267" w14:textId="72BE5C93" w:rsidR="002E5656" w:rsidRPr="00EE0A2C" w:rsidRDefault="002E5656" w:rsidP="004A6366">
      <w:pPr>
        <w:pStyle w:val="ListParagraph"/>
        <w:numPr>
          <w:ilvl w:val="0"/>
          <w:numId w:val="3"/>
        </w:numPr>
        <w:spacing w:after="240" w:line="276" w:lineRule="auto"/>
        <w:rPr>
          <w:rFonts w:ascii="Verdana" w:hAnsi="Verdana" w:cs="Arial"/>
          <w:bCs/>
          <w:szCs w:val="22"/>
        </w:rPr>
      </w:pPr>
      <w:r>
        <w:rPr>
          <w:rFonts w:ascii="Verdana" w:hAnsi="Verdana" w:cs="Arial"/>
          <w:bCs/>
          <w:szCs w:val="22"/>
        </w:rPr>
        <w:t>Employees (indirect</w:t>
      </w:r>
      <w:r w:rsidR="006A35EE">
        <w:rPr>
          <w:rFonts w:ascii="Verdana" w:hAnsi="Verdana" w:cs="Arial"/>
          <w:bCs/>
          <w:szCs w:val="22"/>
        </w:rPr>
        <w:t xml:space="preserve"> beneficiaries of the programme)</w:t>
      </w:r>
    </w:p>
    <w:p w14:paraId="63A378EC" w14:textId="5D28B5E8" w:rsidR="00EE0A2C" w:rsidRPr="00EE0A2C" w:rsidRDefault="00EE0A2C" w:rsidP="004A6366">
      <w:pPr>
        <w:pStyle w:val="ListParagraph"/>
        <w:numPr>
          <w:ilvl w:val="0"/>
          <w:numId w:val="3"/>
        </w:numPr>
        <w:spacing w:after="240" w:line="276" w:lineRule="auto"/>
        <w:rPr>
          <w:rFonts w:ascii="Verdana" w:hAnsi="Verdana" w:cs="Arial"/>
          <w:bCs/>
          <w:szCs w:val="22"/>
        </w:rPr>
      </w:pPr>
      <w:r w:rsidRPr="00EE0A2C">
        <w:rPr>
          <w:rFonts w:ascii="Verdana" w:hAnsi="Verdana" w:cs="Arial"/>
          <w:bCs/>
          <w:szCs w:val="22"/>
        </w:rPr>
        <w:t xml:space="preserve">People/HR </w:t>
      </w:r>
      <w:r w:rsidR="006A35EE">
        <w:rPr>
          <w:rFonts w:ascii="Verdana" w:hAnsi="Verdana" w:cs="Arial"/>
          <w:bCs/>
          <w:szCs w:val="22"/>
        </w:rPr>
        <w:t>function (programme design, coordination and oversight)</w:t>
      </w:r>
    </w:p>
    <w:p w14:paraId="1162E6A8" w14:textId="56B90921" w:rsidR="00EE0A2C" w:rsidRDefault="00EE0A2C" w:rsidP="004A6366">
      <w:pPr>
        <w:pStyle w:val="ListParagraph"/>
        <w:numPr>
          <w:ilvl w:val="0"/>
          <w:numId w:val="3"/>
        </w:numPr>
        <w:spacing w:after="240" w:line="276" w:lineRule="auto"/>
        <w:rPr>
          <w:rFonts w:ascii="Verdana" w:hAnsi="Verdana" w:cs="Arial"/>
          <w:bCs/>
          <w:szCs w:val="22"/>
        </w:rPr>
      </w:pPr>
      <w:r w:rsidRPr="00EE0A2C">
        <w:rPr>
          <w:rFonts w:ascii="Verdana" w:hAnsi="Verdana" w:cs="Arial"/>
          <w:bCs/>
          <w:szCs w:val="22"/>
        </w:rPr>
        <w:t>External mental health specialists (</w:t>
      </w:r>
      <w:r w:rsidR="006A35EE">
        <w:rPr>
          <w:rFonts w:ascii="Verdana" w:hAnsi="Verdana" w:cs="Arial"/>
          <w:bCs/>
          <w:szCs w:val="22"/>
        </w:rPr>
        <w:t xml:space="preserve">training </w:t>
      </w:r>
      <w:r w:rsidRPr="00EE0A2C">
        <w:rPr>
          <w:rFonts w:ascii="Verdana" w:hAnsi="Verdana" w:cs="Arial"/>
          <w:bCs/>
          <w:szCs w:val="22"/>
        </w:rPr>
        <w:t>design and delivery)</w:t>
      </w:r>
    </w:p>
    <w:p w14:paraId="76187B85" w14:textId="77777777" w:rsidR="00EE0A2C" w:rsidRDefault="00EE0A2C" w:rsidP="00EE0A2C">
      <w:pPr>
        <w:pStyle w:val="ListParagraph"/>
        <w:spacing w:after="240" w:line="276" w:lineRule="auto"/>
        <w:rPr>
          <w:rFonts w:ascii="Verdana" w:hAnsi="Verdana" w:cs="Arial"/>
          <w:bCs/>
          <w:szCs w:val="22"/>
        </w:rPr>
      </w:pPr>
    </w:p>
    <w:p w14:paraId="30CDC2A6" w14:textId="77777777" w:rsidR="00EE0A2C" w:rsidRPr="00EE0A2C" w:rsidRDefault="00EE0A2C" w:rsidP="00EE0A2C">
      <w:pPr>
        <w:pStyle w:val="ListParagraph"/>
        <w:spacing w:after="240" w:line="276" w:lineRule="auto"/>
        <w:rPr>
          <w:rFonts w:ascii="Verdana" w:hAnsi="Verdana" w:cs="Arial"/>
          <w:bCs/>
          <w:szCs w:val="22"/>
        </w:rPr>
      </w:pPr>
    </w:p>
    <w:p w14:paraId="5A0D749D" w14:textId="50C7E6BA"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 xml:space="preserve">Expected </w:t>
      </w:r>
      <w:r w:rsidRPr="00EE0A2C">
        <w:rPr>
          <w:rFonts w:ascii="Verdana" w:hAnsi="Verdana" w:cs="Arial"/>
          <w:szCs w:val="22"/>
        </w:rPr>
        <w:t>w</w:t>
      </w:r>
      <w:r w:rsidRPr="00EE0A2C">
        <w:rPr>
          <w:rFonts w:ascii="Verdana" w:hAnsi="Verdana" w:cs="Arial"/>
          <w:szCs w:val="22"/>
        </w:rPr>
        <w:t xml:space="preserve">ellbeing </w:t>
      </w:r>
      <w:r w:rsidRPr="00EE0A2C">
        <w:rPr>
          <w:rFonts w:ascii="Verdana" w:hAnsi="Verdana" w:cs="Arial"/>
          <w:szCs w:val="22"/>
        </w:rPr>
        <w:t>b</w:t>
      </w:r>
      <w:r w:rsidRPr="00EE0A2C">
        <w:rPr>
          <w:rFonts w:ascii="Verdana" w:hAnsi="Verdana" w:cs="Arial"/>
          <w:szCs w:val="22"/>
        </w:rPr>
        <w:t>enefits</w:t>
      </w:r>
      <w:r w:rsidRPr="00EE0A2C">
        <w:rPr>
          <w:rFonts w:ascii="Verdana" w:hAnsi="Verdana" w:cs="Arial"/>
          <w:szCs w:val="22"/>
        </w:rPr>
        <w:t>:</w:t>
      </w:r>
    </w:p>
    <w:p w14:paraId="513F9FEC" w14:textId="77777777" w:rsidR="00EE0A2C" w:rsidRPr="00EE0A2C" w:rsidRDefault="00EE0A2C" w:rsidP="004A6366">
      <w:pPr>
        <w:pStyle w:val="ListParagraph"/>
        <w:numPr>
          <w:ilvl w:val="0"/>
          <w:numId w:val="4"/>
        </w:numPr>
        <w:rPr>
          <w:rFonts w:ascii="Verdana" w:hAnsi="Verdana"/>
        </w:rPr>
      </w:pPr>
      <w:r w:rsidRPr="00EE0A2C">
        <w:rPr>
          <w:rFonts w:ascii="Verdana" w:hAnsi="Verdana"/>
        </w:rPr>
        <w:t>Improved manager capability and confidence</w:t>
      </w:r>
    </w:p>
    <w:p w14:paraId="10E7085D" w14:textId="77777777" w:rsidR="00EE0A2C" w:rsidRPr="00EE0A2C" w:rsidRDefault="00EE0A2C" w:rsidP="004A6366">
      <w:pPr>
        <w:pStyle w:val="ListParagraph"/>
        <w:numPr>
          <w:ilvl w:val="0"/>
          <w:numId w:val="4"/>
        </w:numPr>
        <w:rPr>
          <w:rFonts w:ascii="Verdana" w:hAnsi="Verdana"/>
        </w:rPr>
      </w:pPr>
      <w:r w:rsidRPr="00EE0A2C">
        <w:rPr>
          <w:rFonts w:ascii="Verdana" w:hAnsi="Verdana"/>
        </w:rPr>
        <w:t>Reduced mental health-related sickness absence</w:t>
      </w:r>
    </w:p>
    <w:p w14:paraId="0A389348" w14:textId="77777777" w:rsidR="00EE0A2C" w:rsidRPr="00EE0A2C" w:rsidRDefault="00EE0A2C" w:rsidP="004A6366">
      <w:pPr>
        <w:pStyle w:val="ListParagraph"/>
        <w:numPr>
          <w:ilvl w:val="0"/>
          <w:numId w:val="4"/>
        </w:numPr>
        <w:rPr>
          <w:rFonts w:ascii="Verdana" w:hAnsi="Verdana"/>
        </w:rPr>
      </w:pPr>
      <w:r w:rsidRPr="00EE0A2C">
        <w:rPr>
          <w:rFonts w:ascii="Verdana" w:hAnsi="Verdana"/>
        </w:rPr>
        <w:t>Increased employee engagement, trust and psychological safety</w:t>
      </w:r>
    </w:p>
    <w:p w14:paraId="3776ED2D" w14:textId="77777777" w:rsidR="00EE0A2C" w:rsidRDefault="00EE0A2C" w:rsidP="004A6366">
      <w:pPr>
        <w:pStyle w:val="ListParagraph"/>
        <w:numPr>
          <w:ilvl w:val="0"/>
          <w:numId w:val="4"/>
        </w:numPr>
        <w:rPr>
          <w:rFonts w:ascii="Verdana" w:hAnsi="Verdana"/>
        </w:rPr>
      </w:pPr>
      <w:r w:rsidRPr="00EE0A2C">
        <w:rPr>
          <w:rFonts w:ascii="Verdana" w:hAnsi="Verdana"/>
        </w:rPr>
        <w:t>More consistent management practices across sites</w:t>
      </w:r>
    </w:p>
    <w:p w14:paraId="55A31FCB" w14:textId="77777777" w:rsidR="00EE0A2C" w:rsidRDefault="00EE0A2C" w:rsidP="00EE0A2C">
      <w:pPr>
        <w:pStyle w:val="ListParagraph"/>
        <w:rPr>
          <w:rFonts w:ascii="Verdana" w:hAnsi="Verdana"/>
        </w:rPr>
      </w:pPr>
    </w:p>
    <w:p w14:paraId="094CBF91" w14:textId="77777777" w:rsidR="00EE0A2C" w:rsidRPr="00EE0A2C" w:rsidRDefault="00EE0A2C" w:rsidP="00EE0A2C">
      <w:pPr>
        <w:pStyle w:val="ListParagraph"/>
        <w:rPr>
          <w:rFonts w:ascii="Verdana" w:hAnsi="Verdana"/>
        </w:rPr>
      </w:pPr>
    </w:p>
    <w:p w14:paraId="68759DC7" w14:textId="0872EAC2" w:rsidR="00EE0A2C" w:rsidRPr="00EE0A2C" w:rsidRDefault="00EE0A2C" w:rsidP="00EE0A2C">
      <w:pPr>
        <w:spacing w:after="240" w:line="276" w:lineRule="auto"/>
        <w:rPr>
          <w:rFonts w:ascii="Verdana" w:hAnsi="Verdana" w:cs="Arial"/>
          <w:szCs w:val="22"/>
        </w:rPr>
      </w:pPr>
      <w:r w:rsidRPr="00EE0A2C">
        <w:rPr>
          <w:rFonts w:ascii="Verdana" w:hAnsi="Verdana" w:cs="Arial"/>
          <w:szCs w:val="22"/>
        </w:rPr>
        <w:t xml:space="preserve">Organisational </w:t>
      </w:r>
      <w:r w:rsidRPr="00236BD7">
        <w:rPr>
          <w:rFonts w:ascii="Verdana" w:hAnsi="Verdana" w:cs="Arial"/>
          <w:szCs w:val="22"/>
        </w:rPr>
        <w:t>b</w:t>
      </w:r>
      <w:r w:rsidRPr="00EE0A2C">
        <w:rPr>
          <w:rFonts w:ascii="Verdana" w:hAnsi="Verdana" w:cs="Arial"/>
          <w:szCs w:val="22"/>
        </w:rPr>
        <w:t>enefits:</w:t>
      </w:r>
    </w:p>
    <w:p w14:paraId="0332D19C" w14:textId="5B67BA12" w:rsidR="00EE0A2C" w:rsidRPr="00F14A4E" w:rsidRDefault="00EE0A2C" w:rsidP="004A6366">
      <w:pPr>
        <w:pStyle w:val="ListParagraph"/>
        <w:numPr>
          <w:ilvl w:val="0"/>
          <w:numId w:val="5"/>
        </w:numPr>
        <w:rPr>
          <w:rFonts w:ascii="Verdana" w:hAnsi="Verdana"/>
        </w:rPr>
      </w:pPr>
      <w:r w:rsidRPr="00F14A4E">
        <w:rPr>
          <w:rFonts w:ascii="Verdana" w:hAnsi="Verdana"/>
        </w:rPr>
        <w:t>Reduced absence</w:t>
      </w:r>
      <w:r w:rsidR="004272F6">
        <w:rPr>
          <w:rFonts w:ascii="Verdana" w:hAnsi="Verdana"/>
        </w:rPr>
        <w:t>, recruitment and attrition</w:t>
      </w:r>
      <w:r w:rsidRPr="00F14A4E">
        <w:rPr>
          <w:rFonts w:ascii="Verdana" w:hAnsi="Verdana"/>
        </w:rPr>
        <w:t xml:space="preserve"> costs</w:t>
      </w:r>
    </w:p>
    <w:p w14:paraId="2F4162CD" w14:textId="2A2AF2CF" w:rsidR="004272F6" w:rsidRDefault="00EE0A2C" w:rsidP="004A6366">
      <w:pPr>
        <w:pStyle w:val="ListParagraph"/>
        <w:numPr>
          <w:ilvl w:val="0"/>
          <w:numId w:val="5"/>
        </w:numPr>
        <w:rPr>
          <w:rFonts w:ascii="Verdana" w:hAnsi="Verdana"/>
        </w:rPr>
      </w:pPr>
      <w:r w:rsidRPr="00F14A4E">
        <w:rPr>
          <w:rFonts w:ascii="Verdana" w:hAnsi="Verdana"/>
        </w:rPr>
        <w:t xml:space="preserve">Improved retention and </w:t>
      </w:r>
      <w:r w:rsidR="004272F6">
        <w:rPr>
          <w:rFonts w:ascii="Verdana" w:hAnsi="Verdana"/>
        </w:rPr>
        <w:t>workforce stability</w:t>
      </w:r>
    </w:p>
    <w:p w14:paraId="4F9FF9E1" w14:textId="678AA90D" w:rsidR="00EE0A2C" w:rsidRPr="00F14A4E" w:rsidRDefault="004272F6" w:rsidP="004A6366">
      <w:pPr>
        <w:pStyle w:val="ListParagraph"/>
        <w:numPr>
          <w:ilvl w:val="0"/>
          <w:numId w:val="5"/>
        </w:numPr>
        <w:rPr>
          <w:rFonts w:ascii="Verdana" w:hAnsi="Verdana"/>
        </w:rPr>
      </w:pPr>
      <w:r>
        <w:rPr>
          <w:rFonts w:ascii="Verdana" w:hAnsi="Verdana"/>
        </w:rPr>
        <w:t xml:space="preserve">Improved </w:t>
      </w:r>
      <w:r w:rsidR="00EE0A2C" w:rsidRPr="00F14A4E">
        <w:rPr>
          <w:rFonts w:ascii="Verdana" w:hAnsi="Verdana"/>
        </w:rPr>
        <w:t>performance</w:t>
      </w:r>
      <w:r>
        <w:rPr>
          <w:rFonts w:ascii="Verdana" w:hAnsi="Verdana"/>
        </w:rPr>
        <w:t xml:space="preserve"> and business outcomes</w:t>
      </w:r>
    </w:p>
    <w:p w14:paraId="47420D06" w14:textId="77777777" w:rsidR="00EE0A2C" w:rsidRPr="00F14A4E" w:rsidRDefault="00EE0A2C" w:rsidP="004A6366">
      <w:pPr>
        <w:pStyle w:val="ListParagraph"/>
        <w:numPr>
          <w:ilvl w:val="0"/>
          <w:numId w:val="5"/>
        </w:numPr>
        <w:rPr>
          <w:rFonts w:ascii="Verdana" w:hAnsi="Verdana"/>
        </w:rPr>
      </w:pPr>
      <w:r w:rsidRPr="00F14A4E">
        <w:rPr>
          <w:rFonts w:ascii="Verdana" w:hAnsi="Verdana"/>
        </w:rPr>
        <w:t xml:space="preserve">Enhanced organisational reputation (Hassard </w:t>
      </w:r>
      <w:r w:rsidRPr="00F14A4E">
        <w:rPr>
          <w:rFonts w:ascii="Verdana" w:hAnsi="Verdana"/>
          <w:i/>
          <w:iCs/>
        </w:rPr>
        <w:t>et al.,</w:t>
      </w:r>
      <w:r w:rsidRPr="00F14A4E">
        <w:rPr>
          <w:rFonts w:ascii="Verdana" w:hAnsi="Verdana"/>
        </w:rPr>
        <w:t xml:space="preserve"> 2024; Goetzel and Pronk, 2010)</w:t>
      </w:r>
    </w:p>
    <w:p w14:paraId="07AAAF28" w14:textId="77777777" w:rsidR="00EE0A2C" w:rsidRPr="00EE0A2C" w:rsidRDefault="00EE0A2C" w:rsidP="00EE0A2C">
      <w:pPr>
        <w:spacing w:after="240" w:line="276" w:lineRule="auto"/>
        <w:rPr>
          <w:rFonts w:ascii="Verdana" w:hAnsi="Verdana" w:cs="Arial"/>
          <w:b/>
          <w:szCs w:val="22"/>
        </w:rPr>
      </w:pPr>
    </w:p>
    <w:p w14:paraId="6531930E" w14:textId="04790D73" w:rsidR="00711090" w:rsidRPr="0006788A" w:rsidRDefault="00711090">
      <w:pPr>
        <w:rPr>
          <w:rFonts w:ascii="Verdana" w:hAnsi="Verdana" w:cs="Arial"/>
          <w:bCs/>
          <w:szCs w:val="22"/>
        </w:rPr>
      </w:pPr>
      <w:r w:rsidRPr="0006788A">
        <w:rPr>
          <w:rFonts w:ascii="Verdana" w:hAnsi="Verdana" w:cs="Arial"/>
          <w:bCs/>
          <w:szCs w:val="22"/>
        </w:rPr>
        <w:br w:type="page"/>
      </w:r>
    </w:p>
    <w:p w14:paraId="2B8792A3" w14:textId="77777777" w:rsidR="002733D0" w:rsidRDefault="002733D0" w:rsidP="004A6366">
      <w:pPr>
        <w:pStyle w:val="Nornal"/>
        <w:numPr>
          <w:ilvl w:val="0"/>
          <w:numId w:val="2"/>
        </w:numPr>
        <w:spacing w:after="120" w:line="276" w:lineRule="auto"/>
        <w:rPr>
          <w:rFonts w:ascii="Verdana" w:hAnsi="Verdana"/>
          <w:b/>
          <w:bCs/>
          <w:sz w:val="24"/>
          <w:szCs w:val="24"/>
        </w:rPr>
      </w:pPr>
      <w:r w:rsidRPr="00EA75B9">
        <w:rPr>
          <w:rFonts w:ascii="Verdana" w:hAnsi="Verdana"/>
          <w:b/>
          <w:bCs/>
          <w:sz w:val="24"/>
          <w:szCs w:val="24"/>
        </w:rPr>
        <w:lastRenderedPageBreak/>
        <w:t xml:space="preserve">Explain how your wellbeing programme would be implemented in a way that is suitable for </w:t>
      </w:r>
      <w:proofErr w:type="spellStart"/>
      <w:r w:rsidRPr="00EA75B9">
        <w:rPr>
          <w:rFonts w:ascii="Verdana" w:hAnsi="Verdana"/>
          <w:b/>
          <w:bCs/>
          <w:sz w:val="24"/>
          <w:szCs w:val="24"/>
        </w:rPr>
        <w:t>Insursave</w:t>
      </w:r>
      <w:proofErr w:type="spellEnd"/>
      <w:r w:rsidRPr="00EA75B9">
        <w:rPr>
          <w:rFonts w:ascii="Verdana" w:hAnsi="Verdana"/>
          <w:b/>
          <w:bCs/>
          <w:sz w:val="24"/>
          <w:szCs w:val="24"/>
        </w:rPr>
        <w:t xml:space="preserve"> Ltd. (AC 3.3)</w:t>
      </w:r>
    </w:p>
    <w:p w14:paraId="47AB3FB7" w14:textId="77777777" w:rsidR="00715A5B" w:rsidRPr="00EA75B9" w:rsidRDefault="00715A5B" w:rsidP="00715A5B">
      <w:pPr>
        <w:pStyle w:val="Nornal"/>
        <w:spacing w:after="120" w:line="276" w:lineRule="auto"/>
        <w:ind w:left="720"/>
        <w:rPr>
          <w:rFonts w:ascii="Verdana" w:hAnsi="Verdana"/>
          <w:b/>
          <w:bCs/>
          <w:sz w:val="24"/>
          <w:szCs w:val="24"/>
        </w:rPr>
      </w:pPr>
    </w:p>
    <w:p w14:paraId="56BBAD9A" w14:textId="2FA83964" w:rsidR="004A16C2" w:rsidRDefault="004A16C2" w:rsidP="004A16C2">
      <w:pPr>
        <w:rPr>
          <w:rFonts w:ascii="Verdana" w:hAnsi="Verdana"/>
        </w:rPr>
      </w:pPr>
      <w:r w:rsidRPr="0006788A">
        <w:rPr>
          <w:rFonts w:ascii="Verdana" w:hAnsi="Verdana"/>
        </w:rPr>
        <w:t xml:space="preserve">The mandatory managers’ wellbeing programme would be implemented in a phased and structured manner to ensure it is practical, scalable, and suitable for </w:t>
      </w:r>
      <w:proofErr w:type="spellStart"/>
      <w:r w:rsidRPr="0006788A">
        <w:rPr>
          <w:rFonts w:ascii="Verdana" w:hAnsi="Verdana"/>
        </w:rPr>
        <w:t>Insursave</w:t>
      </w:r>
      <w:proofErr w:type="spellEnd"/>
      <w:r w:rsidRPr="0006788A">
        <w:rPr>
          <w:rFonts w:ascii="Verdana" w:hAnsi="Verdana"/>
        </w:rPr>
        <w:t xml:space="preserve"> </w:t>
      </w:r>
      <w:proofErr w:type="spellStart"/>
      <w:r w:rsidRPr="0006788A">
        <w:rPr>
          <w:rFonts w:ascii="Verdana" w:hAnsi="Verdana"/>
        </w:rPr>
        <w:t>Ltd’s</w:t>
      </w:r>
      <w:proofErr w:type="spellEnd"/>
      <w:r w:rsidRPr="0006788A">
        <w:rPr>
          <w:rFonts w:ascii="Verdana" w:hAnsi="Verdana"/>
        </w:rPr>
        <w:t xml:space="preserve"> four sites.  Evidence suggests that wellbeing programmes are most effective when they are integrated into existing organisational systems and ways of working, rather than delivered as stand</w:t>
      </w:r>
      <w:r w:rsidRPr="0006788A">
        <w:rPr>
          <w:rFonts w:ascii="Verdana" w:hAnsi="Verdana"/>
        </w:rPr>
        <w:noBreakHyphen/>
        <w:t>alone interventions (Nielsen and Noblet, 2018).</w:t>
      </w:r>
    </w:p>
    <w:p w14:paraId="4C74A299" w14:textId="77777777" w:rsidR="00715A5B" w:rsidRPr="0006788A" w:rsidRDefault="00715A5B" w:rsidP="004A16C2">
      <w:pPr>
        <w:rPr>
          <w:rFonts w:ascii="Verdana" w:hAnsi="Verdana"/>
        </w:rPr>
      </w:pPr>
    </w:p>
    <w:p w14:paraId="125B07C7" w14:textId="77777777" w:rsidR="00D02D6F" w:rsidRDefault="004A16C2" w:rsidP="004A16C2">
      <w:pPr>
        <w:rPr>
          <w:rFonts w:ascii="Verdana" w:hAnsi="Verdana"/>
        </w:rPr>
      </w:pPr>
      <w:r w:rsidRPr="0006788A">
        <w:rPr>
          <w:rFonts w:ascii="Verdana" w:hAnsi="Verdana"/>
        </w:rPr>
        <w:t xml:space="preserve">To begin, the senior leadership team would need to demonstrate visible commitment to the programme to ensure it is taken seriously by managers.  This could be achieved through organisational communications, such as emails, leadership briefings, and messages on the internal intranet, ensuring that all staff have access to consistent information.  Providing opportunities for questions and open discussion would be essential to encourage participation and secure engagement with the programme (Nielsen </w:t>
      </w:r>
      <w:r w:rsidRPr="0006788A">
        <w:rPr>
          <w:rFonts w:ascii="Verdana" w:hAnsi="Verdana"/>
          <w:i/>
          <w:iCs/>
        </w:rPr>
        <w:t>et al.,</w:t>
      </w:r>
      <w:r w:rsidRPr="0006788A">
        <w:rPr>
          <w:rFonts w:ascii="Verdana" w:hAnsi="Verdana"/>
        </w:rPr>
        <w:t xml:space="preserve"> 2010). </w:t>
      </w:r>
    </w:p>
    <w:p w14:paraId="29EA5FDF" w14:textId="77777777" w:rsidR="00715A5B" w:rsidRDefault="00715A5B" w:rsidP="004A16C2">
      <w:pPr>
        <w:rPr>
          <w:rFonts w:ascii="Verdana" w:hAnsi="Verdana"/>
        </w:rPr>
      </w:pPr>
    </w:p>
    <w:p w14:paraId="78FFC0DD" w14:textId="6DA5B09B" w:rsidR="004A16C2" w:rsidRDefault="004A16C2" w:rsidP="004A16C2">
      <w:pPr>
        <w:rPr>
          <w:rFonts w:ascii="Verdana" w:hAnsi="Verdana"/>
        </w:rPr>
      </w:pPr>
      <w:r w:rsidRPr="0006788A">
        <w:rPr>
          <w:rFonts w:ascii="Verdana" w:hAnsi="Verdana"/>
        </w:rPr>
        <w:t xml:space="preserve">Leaders could also contribute to the opening content of the programme to set expectations or take part in a steering group alongside people managers and external specialists.  This group would oversee delivery and ensure that programme objectives align with organisational strategy and legal requirements.  Such visible leadership involvement would demonstrate </w:t>
      </w:r>
      <w:proofErr w:type="spellStart"/>
      <w:r w:rsidRPr="0006788A">
        <w:rPr>
          <w:rFonts w:ascii="Verdana" w:hAnsi="Verdana"/>
        </w:rPr>
        <w:t>Insursave</w:t>
      </w:r>
      <w:proofErr w:type="spellEnd"/>
      <w:r w:rsidRPr="0006788A">
        <w:rPr>
          <w:rFonts w:ascii="Verdana" w:hAnsi="Verdana"/>
        </w:rPr>
        <w:t xml:space="preserve"> </w:t>
      </w:r>
      <w:proofErr w:type="spellStart"/>
      <w:r w:rsidRPr="0006788A">
        <w:rPr>
          <w:rFonts w:ascii="Verdana" w:hAnsi="Verdana"/>
        </w:rPr>
        <w:t>Ltd’s</w:t>
      </w:r>
      <w:proofErr w:type="spellEnd"/>
      <w:r w:rsidRPr="0006788A">
        <w:rPr>
          <w:rFonts w:ascii="Verdana" w:hAnsi="Verdana"/>
        </w:rPr>
        <w:t xml:space="preserve"> commitment to improving employee wellbeing and supporting managers in their role.  Research highlights leadership endorsement as a critical factor in embedding sustainable wellbeing programmes within organisations (Hammer </w:t>
      </w:r>
      <w:r w:rsidRPr="0006788A">
        <w:rPr>
          <w:rFonts w:ascii="Verdana" w:hAnsi="Verdana"/>
          <w:i/>
          <w:iCs/>
        </w:rPr>
        <w:t>et al.,</w:t>
      </w:r>
      <w:r w:rsidRPr="0006788A">
        <w:rPr>
          <w:rFonts w:ascii="Verdana" w:hAnsi="Verdana"/>
        </w:rPr>
        <w:t xml:space="preserve"> 2024).</w:t>
      </w:r>
    </w:p>
    <w:p w14:paraId="2AC30D4D" w14:textId="77777777" w:rsidR="00715A5B" w:rsidRPr="0006788A" w:rsidRDefault="00715A5B" w:rsidP="004A16C2">
      <w:pPr>
        <w:rPr>
          <w:rFonts w:ascii="Verdana" w:hAnsi="Verdana"/>
        </w:rPr>
      </w:pPr>
    </w:p>
    <w:p w14:paraId="0696D460" w14:textId="1F3B2664" w:rsidR="004A16C2" w:rsidRDefault="004A16C2" w:rsidP="004A16C2">
      <w:pPr>
        <w:rPr>
          <w:rFonts w:ascii="Verdana" w:hAnsi="Verdana"/>
        </w:rPr>
      </w:pPr>
      <w:r w:rsidRPr="0006788A">
        <w:rPr>
          <w:rFonts w:ascii="Verdana" w:hAnsi="Verdana"/>
        </w:rPr>
        <w:t xml:space="preserve">To ensure the programme is fit for purpose, a phased rollout with pilot testing could initially be undertaken at one of </w:t>
      </w:r>
      <w:proofErr w:type="spellStart"/>
      <w:r w:rsidRPr="0006788A">
        <w:rPr>
          <w:rFonts w:ascii="Verdana" w:hAnsi="Verdana"/>
        </w:rPr>
        <w:t>Insursave</w:t>
      </w:r>
      <w:proofErr w:type="spellEnd"/>
      <w:r w:rsidRPr="0006788A">
        <w:rPr>
          <w:rFonts w:ascii="Verdana" w:hAnsi="Verdana"/>
        </w:rPr>
        <w:t xml:space="preserve"> </w:t>
      </w:r>
      <w:proofErr w:type="spellStart"/>
      <w:r w:rsidRPr="0006788A">
        <w:rPr>
          <w:rFonts w:ascii="Verdana" w:hAnsi="Verdana"/>
        </w:rPr>
        <w:t>Ltd’s</w:t>
      </w:r>
      <w:proofErr w:type="spellEnd"/>
      <w:r w:rsidRPr="0006788A">
        <w:rPr>
          <w:rFonts w:ascii="Verdana" w:hAnsi="Verdana"/>
        </w:rPr>
        <w:t xml:space="preserve"> smaller sites.  This approach would allow the programme content to be refined and any unforeseen barriers or implementation challenges to be identified before full rollout across all sites.  Pilot testing supports effective implementation and reduces the costs associated with ineffective or poorly designed training interventions (Cunningham </w:t>
      </w:r>
      <w:r w:rsidRPr="0006788A">
        <w:rPr>
          <w:rFonts w:ascii="Verdana" w:hAnsi="Verdana"/>
          <w:i/>
          <w:iCs/>
        </w:rPr>
        <w:t>et al.,</w:t>
      </w:r>
      <w:r w:rsidRPr="0006788A">
        <w:rPr>
          <w:rFonts w:ascii="Verdana" w:hAnsi="Verdana"/>
        </w:rPr>
        <w:t xml:space="preserve"> 2024).</w:t>
      </w:r>
    </w:p>
    <w:p w14:paraId="635E248A" w14:textId="1E7BCDED" w:rsidR="004A16C2" w:rsidRDefault="004A16C2" w:rsidP="004A16C2">
      <w:pPr>
        <w:rPr>
          <w:rFonts w:ascii="Verdana" w:hAnsi="Verdana"/>
        </w:rPr>
      </w:pPr>
      <w:r w:rsidRPr="0006788A">
        <w:rPr>
          <w:rFonts w:ascii="Verdana" w:hAnsi="Verdana"/>
        </w:rPr>
        <w:lastRenderedPageBreak/>
        <w:t>The programme should be delivered using a blended learning approach to ensure accessibility for all managers.  This could include face</w:t>
      </w:r>
      <w:r w:rsidRPr="0006788A">
        <w:rPr>
          <w:rFonts w:ascii="Verdana" w:hAnsi="Verdana"/>
        </w:rPr>
        <w:noBreakHyphen/>
        <w:t>to</w:t>
      </w:r>
      <w:r w:rsidRPr="0006788A">
        <w:rPr>
          <w:rFonts w:ascii="Verdana" w:hAnsi="Verdana"/>
        </w:rPr>
        <w:noBreakHyphen/>
        <w:t xml:space="preserve">face workshops, online learning modules, and practical toolkits to support conversations about wellbeing and absence management.  Content should be developed collaboratively with </w:t>
      </w:r>
      <w:proofErr w:type="spellStart"/>
      <w:r w:rsidRPr="0006788A">
        <w:rPr>
          <w:rFonts w:ascii="Verdana" w:hAnsi="Verdana"/>
        </w:rPr>
        <w:t>Insursave</w:t>
      </w:r>
      <w:proofErr w:type="spellEnd"/>
      <w:r w:rsidRPr="0006788A">
        <w:rPr>
          <w:rFonts w:ascii="Verdana" w:hAnsi="Verdana"/>
        </w:rPr>
        <w:t xml:space="preserve"> </w:t>
      </w:r>
      <w:proofErr w:type="spellStart"/>
      <w:r w:rsidRPr="0006788A">
        <w:rPr>
          <w:rFonts w:ascii="Verdana" w:hAnsi="Verdana"/>
        </w:rPr>
        <w:t>Ltd’s</w:t>
      </w:r>
      <w:proofErr w:type="spellEnd"/>
      <w:r w:rsidRPr="0006788A">
        <w:rPr>
          <w:rFonts w:ascii="Verdana" w:hAnsi="Verdana"/>
        </w:rPr>
        <w:t xml:space="preserve"> people practice function and external partners to ensure organisational relevance. Evidence shows that learning reinforced over time and supported by practical tools is more effective than one</w:t>
      </w:r>
      <w:r w:rsidRPr="0006788A">
        <w:rPr>
          <w:rFonts w:ascii="Verdana" w:hAnsi="Verdana"/>
        </w:rPr>
        <w:noBreakHyphen/>
        <w:t xml:space="preserve">off training interventions (Hassard </w:t>
      </w:r>
      <w:r w:rsidRPr="0006788A">
        <w:rPr>
          <w:rFonts w:ascii="Verdana" w:hAnsi="Verdana"/>
          <w:i/>
          <w:iCs/>
        </w:rPr>
        <w:t>et al.,</w:t>
      </w:r>
      <w:r w:rsidRPr="0006788A">
        <w:rPr>
          <w:rFonts w:ascii="Verdana" w:hAnsi="Verdana"/>
        </w:rPr>
        <w:t xml:space="preserve"> 2024).</w:t>
      </w:r>
    </w:p>
    <w:p w14:paraId="05F67986" w14:textId="77777777" w:rsidR="00715A5B" w:rsidRPr="0006788A" w:rsidRDefault="00715A5B" w:rsidP="004A16C2">
      <w:pPr>
        <w:rPr>
          <w:rFonts w:ascii="Verdana" w:hAnsi="Verdana"/>
        </w:rPr>
      </w:pPr>
    </w:p>
    <w:p w14:paraId="2DACAEC8" w14:textId="77777777" w:rsidR="004A16C2" w:rsidRDefault="004A16C2" w:rsidP="004A16C2">
      <w:pPr>
        <w:rPr>
          <w:rFonts w:ascii="Verdana" w:hAnsi="Verdana"/>
        </w:rPr>
      </w:pPr>
      <w:r w:rsidRPr="0006788A">
        <w:rPr>
          <w:rFonts w:ascii="Verdana" w:hAnsi="Verdana"/>
        </w:rPr>
        <w:t>To support consistency and long</w:t>
      </w:r>
      <w:r w:rsidRPr="0006788A">
        <w:rPr>
          <w:rFonts w:ascii="Verdana" w:hAnsi="Verdana"/>
        </w:rPr>
        <w:noBreakHyphen/>
        <w:t xml:space="preserve">term impact, the programme should be embedded within existing organisational policies and mandatory training requirements, including new manager induction processes. Integration with established procedures can support compliance, promote consistent management behaviours, reduce duplication, and enhance the credibility of the wellbeing programme (Rasmussen </w:t>
      </w:r>
      <w:r w:rsidRPr="0006788A">
        <w:rPr>
          <w:rFonts w:ascii="Verdana" w:hAnsi="Verdana"/>
          <w:i/>
          <w:iCs/>
        </w:rPr>
        <w:t>et al.,</w:t>
      </w:r>
      <w:r w:rsidRPr="0006788A">
        <w:rPr>
          <w:rFonts w:ascii="Verdana" w:hAnsi="Verdana"/>
        </w:rPr>
        <w:t xml:space="preserve"> 2025).</w:t>
      </w:r>
    </w:p>
    <w:p w14:paraId="3EB98DE5" w14:textId="77777777" w:rsidR="00715A5B" w:rsidRPr="0006788A" w:rsidRDefault="00715A5B" w:rsidP="004A16C2">
      <w:pPr>
        <w:rPr>
          <w:rFonts w:ascii="Verdana" w:hAnsi="Verdana"/>
        </w:rPr>
      </w:pPr>
    </w:p>
    <w:p w14:paraId="54B9F0AB" w14:textId="77777777" w:rsidR="004A16C2" w:rsidRPr="0006788A" w:rsidRDefault="004A16C2" w:rsidP="004A16C2">
      <w:pPr>
        <w:rPr>
          <w:rFonts w:ascii="Verdana" w:hAnsi="Verdana"/>
        </w:rPr>
      </w:pPr>
      <w:r w:rsidRPr="0006788A">
        <w:rPr>
          <w:rFonts w:ascii="Verdana" w:hAnsi="Verdana"/>
        </w:rPr>
        <w:t xml:space="preserve">Following completion of the programme, managers should receive ongoing support through peer networking opportunities, access to specialist advice, and refresher training sessions. This continued support is important for sustaining positive behavioural change and fostering a culture that prioritises wellbeing (Reeves </w:t>
      </w:r>
      <w:r w:rsidRPr="0006788A">
        <w:rPr>
          <w:rFonts w:ascii="Verdana" w:hAnsi="Verdana"/>
          <w:i/>
          <w:iCs/>
        </w:rPr>
        <w:t>et al.,</w:t>
      </w:r>
      <w:r w:rsidRPr="0006788A">
        <w:rPr>
          <w:rFonts w:ascii="Verdana" w:hAnsi="Verdana"/>
        </w:rPr>
        <w:t xml:space="preserve"> 2023). The programme could also be incorporated into managers’ performance objectives or leadership development processes, ensuring wellbeing responsibilities are reflected in appraisals and development plans (CIPD, 2023a).</w:t>
      </w:r>
    </w:p>
    <w:p w14:paraId="4CFC0374" w14:textId="2CE80D16" w:rsidR="00D02D6F" w:rsidRDefault="00D02D6F">
      <w:pPr>
        <w:rPr>
          <w:rFonts w:ascii="Verdana" w:eastAsiaTheme="minorHAnsi" w:hAnsi="Verdana" w:cs="Arial"/>
          <w:kern w:val="0"/>
          <w:sz w:val="22"/>
          <w:szCs w:val="22"/>
          <w:lang w:eastAsia="en-US"/>
          <w14:ligatures w14:val="none"/>
        </w:rPr>
      </w:pPr>
      <w:r>
        <w:rPr>
          <w:rFonts w:ascii="Verdana" w:eastAsiaTheme="minorHAnsi" w:hAnsi="Verdana" w:cs="Arial"/>
          <w:kern w:val="0"/>
          <w:sz w:val="22"/>
          <w:szCs w:val="22"/>
          <w:lang w:eastAsia="en-US"/>
          <w14:ligatures w14:val="none"/>
        </w:rPr>
        <w:br w:type="page"/>
      </w:r>
    </w:p>
    <w:p w14:paraId="0B11363C" w14:textId="727EDDFB" w:rsidR="002733D0" w:rsidRPr="00D02D6F" w:rsidRDefault="002733D0" w:rsidP="004A6366">
      <w:pPr>
        <w:pStyle w:val="Nornal"/>
        <w:numPr>
          <w:ilvl w:val="0"/>
          <w:numId w:val="2"/>
        </w:numPr>
        <w:spacing w:after="120" w:line="276" w:lineRule="auto"/>
        <w:ind w:left="426" w:hanging="426"/>
        <w:rPr>
          <w:rFonts w:ascii="Verdana" w:hAnsi="Verdana"/>
          <w:b/>
          <w:bCs/>
          <w:sz w:val="24"/>
          <w:szCs w:val="24"/>
        </w:rPr>
      </w:pPr>
      <w:r w:rsidRPr="00D02D6F">
        <w:rPr>
          <w:rFonts w:ascii="Verdana" w:hAnsi="Verdana"/>
          <w:b/>
          <w:bCs/>
          <w:sz w:val="24"/>
          <w:szCs w:val="24"/>
        </w:rPr>
        <w:lastRenderedPageBreak/>
        <w:t xml:space="preserve">Explain how your </w:t>
      </w:r>
      <w:proofErr w:type="spellStart"/>
      <w:r w:rsidRPr="00D02D6F">
        <w:rPr>
          <w:rFonts w:ascii="Verdana" w:hAnsi="Verdana"/>
          <w:b/>
          <w:bCs/>
          <w:sz w:val="24"/>
          <w:szCs w:val="24"/>
        </w:rPr>
        <w:t>Insursave</w:t>
      </w:r>
      <w:proofErr w:type="spellEnd"/>
      <w:r w:rsidRPr="00D02D6F">
        <w:rPr>
          <w:rFonts w:ascii="Verdana" w:hAnsi="Verdana"/>
          <w:b/>
          <w:bCs/>
          <w:sz w:val="24"/>
          <w:szCs w:val="24"/>
        </w:rPr>
        <w:t xml:space="preserve"> Ltd wellbeing programme would be evaluated and monitored. (AC 3.4)</w:t>
      </w:r>
    </w:p>
    <w:p w14:paraId="02D50120" w14:textId="77777777" w:rsidR="009A4BE6" w:rsidRPr="0006788A" w:rsidRDefault="009A4BE6" w:rsidP="00130D72">
      <w:pPr>
        <w:rPr>
          <w:rFonts w:ascii="Verdana" w:hAnsi="Verdana"/>
        </w:rPr>
      </w:pPr>
    </w:p>
    <w:p w14:paraId="4F404072" w14:textId="5F622F10" w:rsidR="003552DF" w:rsidRDefault="003552DF" w:rsidP="003552DF">
      <w:pPr>
        <w:rPr>
          <w:rFonts w:ascii="Verdana" w:hAnsi="Verdana"/>
        </w:rPr>
      </w:pPr>
      <w:proofErr w:type="spellStart"/>
      <w:r w:rsidRPr="003552DF">
        <w:rPr>
          <w:rFonts w:ascii="Verdana" w:hAnsi="Verdana"/>
        </w:rPr>
        <w:t>Insursave</w:t>
      </w:r>
      <w:proofErr w:type="spellEnd"/>
      <w:r w:rsidRPr="003552DF">
        <w:rPr>
          <w:rFonts w:ascii="Verdana" w:hAnsi="Verdana"/>
        </w:rPr>
        <w:t xml:space="preserve"> </w:t>
      </w:r>
      <w:proofErr w:type="spellStart"/>
      <w:r w:rsidRPr="003552DF">
        <w:rPr>
          <w:rFonts w:ascii="Verdana" w:hAnsi="Verdana"/>
        </w:rPr>
        <w:t>Ltd’s</w:t>
      </w:r>
      <w:proofErr w:type="spellEnd"/>
      <w:r w:rsidRPr="003552DF">
        <w:rPr>
          <w:rFonts w:ascii="Verdana" w:hAnsi="Verdana"/>
        </w:rPr>
        <w:t xml:space="preserve"> manager wellbeing training programme would be evaluated and monitored to ensure it achieves its intended outcomes, represents value for money, and leads to sustained changes in managerial behaviour and wellbeing. </w:t>
      </w:r>
      <w:r w:rsidR="006D5E77" w:rsidRPr="0006788A">
        <w:rPr>
          <w:rFonts w:ascii="Verdana" w:hAnsi="Verdana"/>
        </w:rPr>
        <w:t xml:space="preserve"> </w:t>
      </w:r>
      <w:r w:rsidRPr="003552DF">
        <w:rPr>
          <w:rFonts w:ascii="Verdana" w:hAnsi="Verdana"/>
        </w:rPr>
        <w:t xml:space="preserve">Evidence from workplace wellbeing research demonstrates that training alone does not automatically translate into improved wellbeing or behaviour change, making systematic evaluation essential (Baicker </w:t>
      </w:r>
      <w:r w:rsidRPr="003552DF">
        <w:rPr>
          <w:rFonts w:ascii="Verdana" w:hAnsi="Verdana"/>
          <w:i/>
          <w:iCs/>
        </w:rPr>
        <w:t>et</w:t>
      </w:r>
      <w:r w:rsidRPr="003552DF">
        <w:rPr>
          <w:rFonts w:ascii="Verdana" w:hAnsi="Verdana" w:cs="Arial"/>
          <w:i/>
          <w:iCs/>
        </w:rPr>
        <w:t> </w:t>
      </w:r>
      <w:r w:rsidRPr="003552DF">
        <w:rPr>
          <w:rFonts w:ascii="Verdana" w:hAnsi="Verdana"/>
          <w:i/>
          <w:iCs/>
        </w:rPr>
        <w:t>al.,</w:t>
      </w:r>
      <w:r w:rsidRPr="003552DF">
        <w:rPr>
          <w:rFonts w:ascii="Verdana" w:hAnsi="Verdana" w:cs="Arial"/>
        </w:rPr>
        <w:t> </w:t>
      </w:r>
      <w:r w:rsidRPr="003552DF">
        <w:rPr>
          <w:rFonts w:ascii="Verdana" w:hAnsi="Verdana"/>
        </w:rPr>
        <w:t xml:space="preserve">2019; Nielsen </w:t>
      </w:r>
      <w:r w:rsidR="00DD184F" w:rsidRPr="0006788A">
        <w:rPr>
          <w:rFonts w:ascii="Verdana" w:hAnsi="Verdana"/>
        </w:rPr>
        <w:t>and</w:t>
      </w:r>
      <w:r w:rsidRPr="003552DF">
        <w:rPr>
          <w:rFonts w:ascii="Verdana" w:hAnsi="Verdana"/>
        </w:rPr>
        <w:t xml:space="preserve"> Miraglia,</w:t>
      </w:r>
      <w:r w:rsidRPr="003552DF">
        <w:rPr>
          <w:rFonts w:ascii="Verdana" w:hAnsi="Verdana" w:cs="Arial"/>
        </w:rPr>
        <w:t> </w:t>
      </w:r>
      <w:r w:rsidRPr="003552DF">
        <w:rPr>
          <w:rFonts w:ascii="Verdana" w:hAnsi="Verdana"/>
        </w:rPr>
        <w:t>2017).</w:t>
      </w:r>
    </w:p>
    <w:p w14:paraId="6C5E0CF0" w14:textId="77777777" w:rsidR="00715A5B" w:rsidRPr="003552DF" w:rsidRDefault="00715A5B" w:rsidP="003552DF">
      <w:pPr>
        <w:rPr>
          <w:rFonts w:ascii="Verdana" w:hAnsi="Verdana"/>
        </w:rPr>
      </w:pPr>
    </w:p>
    <w:p w14:paraId="486FDBD0" w14:textId="77777777" w:rsidR="006D5E77" w:rsidRDefault="006D5E77" w:rsidP="006D5E77">
      <w:pPr>
        <w:rPr>
          <w:rFonts w:ascii="Verdana" w:hAnsi="Verdana"/>
        </w:rPr>
      </w:pPr>
      <w:r w:rsidRPr="006D5E77">
        <w:rPr>
          <w:rFonts w:ascii="Verdana" w:hAnsi="Verdana"/>
        </w:rPr>
        <w:t>Evaluation would be designed to assess not only manager reaction and knowledge acquisition, but also changes in manager capability, behaviour, and downstream employee outcomes. This reflects evidence that manager wellbeing and leadership behaviour are key drivers of employee mental wellbeing, engagement, and performance (</w:t>
      </w:r>
      <w:proofErr w:type="spellStart"/>
      <w:r w:rsidRPr="006D5E77">
        <w:rPr>
          <w:rFonts w:ascii="Verdana" w:hAnsi="Verdana"/>
        </w:rPr>
        <w:t>Skakon</w:t>
      </w:r>
      <w:proofErr w:type="spellEnd"/>
      <w:r w:rsidRPr="006D5E77">
        <w:rPr>
          <w:rFonts w:ascii="Verdana" w:hAnsi="Verdana"/>
        </w:rPr>
        <w:t xml:space="preserve"> </w:t>
      </w:r>
      <w:r w:rsidRPr="006D5E77">
        <w:rPr>
          <w:rFonts w:ascii="Verdana" w:hAnsi="Verdana"/>
          <w:i/>
          <w:iCs/>
        </w:rPr>
        <w:t>et</w:t>
      </w:r>
      <w:r w:rsidRPr="006D5E77">
        <w:rPr>
          <w:rFonts w:ascii="Verdana" w:hAnsi="Verdana" w:cs="Arial"/>
          <w:i/>
          <w:iCs/>
        </w:rPr>
        <w:t> </w:t>
      </w:r>
      <w:r w:rsidRPr="006D5E77">
        <w:rPr>
          <w:rFonts w:ascii="Verdana" w:hAnsi="Verdana"/>
          <w:i/>
          <w:iCs/>
        </w:rPr>
        <w:t>al.,</w:t>
      </w:r>
      <w:r w:rsidRPr="006D5E77">
        <w:rPr>
          <w:rFonts w:ascii="Verdana" w:hAnsi="Verdana" w:cs="Arial"/>
        </w:rPr>
        <w:t> </w:t>
      </w:r>
      <w:r w:rsidRPr="006D5E77">
        <w:rPr>
          <w:rFonts w:ascii="Verdana" w:hAnsi="Verdana"/>
        </w:rPr>
        <w:t>2010; World Wellbeing Movement,</w:t>
      </w:r>
      <w:r w:rsidRPr="006D5E77">
        <w:rPr>
          <w:rFonts w:ascii="Verdana" w:hAnsi="Verdana" w:cs="Arial"/>
        </w:rPr>
        <w:t> </w:t>
      </w:r>
      <w:r w:rsidRPr="006D5E77">
        <w:rPr>
          <w:rFonts w:ascii="Verdana" w:hAnsi="Verdana"/>
        </w:rPr>
        <w:t>2024).</w:t>
      </w:r>
    </w:p>
    <w:p w14:paraId="355AA215" w14:textId="77777777" w:rsidR="00715A5B" w:rsidRPr="006D5E77" w:rsidRDefault="00715A5B" w:rsidP="006D5E77">
      <w:pPr>
        <w:rPr>
          <w:rFonts w:ascii="Verdana" w:hAnsi="Verdana"/>
        </w:rPr>
      </w:pPr>
    </w:p>
    <w:p w14:paraId="4D4E6E97" w14:textId="4CF5E9F1" w:rsidR="00E45520" w:rsidRDefault="00E45520" w:rsidP="00BE1718">
      <w:pPr>
        <w:tabs>
          <w:tab w:val="num" w:pos="720"/>
        </w:tabs>
        <w:rPr>
          <w:rFonts w:ascii="Verdana" w:hAnsi="Verdana"/>
        </w:rPr>
      </w:pPr>
      <w:proofErr w:type="spellStart"/>
      <w:r w:rsidRPr="00E45520">
        <w:rPr>
          <w:rFonts w:ascii="Verdana" w:hAnsi="Verdana"/>
        </w:rPr>
        <w:t>Insursave</w:t>
      </w:r>
      <w:proofErr w:type="spellEnd"/>
      <w:r w:rsidRPr="00E45520">
        <w:rPr>
          <w:rFonts w:ascii="Verdana" w:hAnsi="Verdana"/>
        </w:rPr>
        <w:t xml:space="preserve"> Ltd would collect quantitative data at </w:t>
      </w:r>
      <w:r w:rsidR="00BE1718" w:rsidRPr="0006788A">
        <w:rPr>
          <w:rFonts w:ascii="Verdana" w:hAnsi="Verdana"/>
        </w:rPr>
        <w:t>different</w:t>
      </w:r>
      <w:r w:rsidRPr="00E45520">
        <w:rPr>
          <w:rFonts w:ascii="Verdana" w:hAnsi="Verdana"/>
        </w:rPr>
        <w:t xml:space="preserve"> levels, including</w:t>
      </w:r>
      <w:r w:rsidR="00BE1718" w:rsidRPr="0006788A">
        <w:rPr>
          <w:rFonts w:ascii="Verdana" w:hAnsi="Verdana"/>
        </w:rPr>
        <w:t xml:space="preserve"> p</w:t>
      </w:r>
      <w:r w:rsidRPr="00E45520">
        <w:rPr>
          <w:rFonts w:ascii="Verdana" w:hAnsi="Verdana"/>
        </w:rPr>
        <w:t>re</w:t>
      </w:r>
      <w:r w:rsidRPr="00E45520">
        <w:rPr>
          <w:rFonts w:ascii="Verdana" w:hAnsi="Verdana"/>
        </w:rPr>
        <w:noBreakHyphen/>
        <w:t xml:space="preserve"> and post</w:t>
      </w:r>
      <w:r w:rsidRPr="00E45520">
        <w:rPr>
          <w:rFonts w:ascii="Verdana" w:hAnsi="Verdana"/>
        </w:rPr>
        <w:noBreakHyphen/>
        <w:t>training manager measures, such as wellbeing and confidence scores, and knowledge checks, to assess learning and perceived capability.</w:t>
      </w:r>
      <w:r w:rsidR="00BE1718" w:rsidRPr="0006788A">
        <w:rPr>
          <w:rFonts w:ascii="Verdana" w:hAnsi="Verdana"/>
        </w:rPr>
        <w:t xml:space="preserve">  </w:t>
      </w:r>
      <w:r w:rsidRPr="00E45520">
        <w:rPr>
          <w:rFonts w:ascii="Verdana" w:hAnsi="Verdana"/>
        </w:rPr>
        <w:t>Workforce metrics linked to trained managers, including sickness absence rates (particularly mental</w:t>
      </w:r>
      <w:r w:rsidRPr="00E45520">
        <w:rPr>
          <w:rFonts w:ascii="Verdana" w:hAnsi="Verdana"/>
        </w:rPr>
        <w:noBreakHyphen/>
        <w:t>health</w:t>
      </w:r>
      <w:r w:rsidRPr="00E45520">
        <w:rPr>
          <w:rFonts w:ascii="Verdana" w:hAnsi="Verdana"/>
        </w:rPr>
        <w:noBreakHyphen/>
        <w:t>related absence), staff turnover, and retention of new employees.</w:t>
      </w:r>
      <w:r w:rsidR="00BE1718" w:rsidRPr="0006788A">
        <w:rPr>
          <w:rFonts w:ascii="Verdana" w:hAnsi="Verdana"/>
        </w:rPr>
        <w:t xml:space="preserve">  </w:t>
      </w:r>
      <w:r w:rsidRPr="00E45520">
        <w:rPr>
          <w:rFonts w:ascii="Verdana" w:hAnsi="Verdana"/>
        </w:rPr>
        <w:t>HR indicators, such as consistency of absence management processes and reductions in disciplinary cases related to stress or conduct.</w:t>
      </w:r>
    </w:p>
    <w:p w14:paraId="78FC3FC0" w14:textId="77777777" w:rsidR="00715A5B" w:rsidRPr="00E45520" w:rsidRDefault="00715A5B" w:rsidP="00BE1718">
      <w:pPr>
        <w:tabs>
          <w:tab w:val="num" w:pos="720"/>
        </w:tabs>
        <w:rPr>
          <w:rFonts w:ascii="Verdana" w:hAnsi="Verdana"/>
        </w:rPr>
      </w:pPr>
    </w:p>
    <w:p w14:paraId="54F570FE" w14:textId="77777777" w:rsidR="00E45520" w:rsidRDefault="00E45520" w:rsidP="00E45520">
      <w:pPr>
        <w:rPr>
          <w:rFonts w:ascii="Verdana" w:hAnsi="Verdana"/>
        </w:rPr>
      </w:pPr>
      <w:r w:rsidRPr="00E45520">
        <w:rPr>
          <w:rFonts w:ascii="Verdana" w:hAnsi="Verdana"/>
        </w:rPr>
        <w:t>Research shows that evaluating leadership wellbeing interventions using both individual</w:t>
      </w:r>
      <w:r w:rsidRPr="00E45520">
        <w:rPr>
          <w:rFonts w:ascii="Verdana" w:hAnsi="Verdana"/>
        </w:rPr>
        <w:noBreakHyphen/>
        <w:t>level and organisational</w:t>
      </w:r>
      <w:r w:rsidRPr="00E45520">
        <w:rPr>
          <w:rFonts w:ascii="Verdana" w:hAnsi="Verdana"/>
        </w:rPr>
        <w:noBreakHyphen/>
        <w:t>level indicators provides a stronger assessment of impact than relying on self</w:t>
      </w:r>
      <w:r w:rsidRPr="00E45520">
        <w:rPr>
          <w:rFonts w:ascii="Verdana" w:hAnsi="Verdana"/>
        </w:rPr>
        <w:noBreakHyphen/>
        <w:t xml:space="preserve">reported confidence alone (Jarden </w:t>
      </w:r>
      <w:r w:rsidRPr="00E45520">
        <w:rPr>
          <w:rFonts w:ascii="Verdana" w:hAnsi="Verdana"/>
          <w:i/>
          <w:iCs/>
        </w:rPr>
        <w:t>et</w:t>
      </w:r>
      <w:r w:rsidRPr="00E45520">
        <w:rPr>
          <w:rFonts w:ascii="Verdana" w:hAnsi="Verdana" w:cs="Arial"/>
          <w:i/>
          <w:iCs/>
        </w:rPr>
        <w:t> </w:t>
      </w:r>
      <w:r w:rsidRPr="00E45520">
        <w:rPr>
          <w:rFonts w:ascii="Verdana" w:hAnsi="Verdana"/>
          <w:i/>
          <w:iCs/>
        </w:rPr>
        <w:t>al</w:t>
      </w:r>
      <w:r w:rsidRPr="00E45520">
        <w:rPr>
          <w:rFonts w:ascii="Verdana" w:hAnsi="Verdana"/>
        </w:rPr>
        <w:t>.,</w:t>
      </w:r>
      <w:r w:rsidRPr="00E45520">
        <w:rPr>
          <w:rFonts w:ascii="Verdana" w:hAnsi="Verdana" w:cs="Arial"/>
        </w:rPr>
        <w:t> </w:t>
      </w:r>
      <w:r w:rsidRPr="00E45520">
        <w:rPr>
          <w:rFonts w:ascii="Verdana" w:hAnsi="Verdana"/>
        </w:rPr>
        <w:t xml:space="preserve">2023; Baicker </w:t>
      </w:r>
      <w:r w:rsidRPr="00E45520">
        <w:rPr>
          <w:rFonts w:ascii="Verdana" w:hAnsi="Verdana"/>
          <w:i/>
          <w:iCs/>
        </w:rPr>
        <w:t>et</w:t>
      </w:r>
      <w:r w:rsidRPr="00E45520">
        <w:rPr>
          <w:rFonts w:ascii="Verdana" w:hAnsi="Verdana" w:cs="Arial"/>
          <w:i/>
          <w:iCs/>
        </w:rPr>
        <w:t> </w:t>
      </w:r>
      <w:r w:rsidRPr="00E45520">
        <w:rPr>
          <w:rFonts w:ascii="Verdana" w:hAnsi="Verdana"/>
          <w:i/>
          <w:iCs/>
        </w:rPr>
        <w:t>al.,</w:t>
      </w:r>
      <w:r w:rsidRPr="00E45520">
        <w:rPr>
          <w:rFonts w:ascii="Verdana" w:hAnsi="Verdana" w:cs="Arial"/>
        </w:rPr>
        <w:t> </w:t>
      </w:r>
      <w:r w:rsidRPr="00E45520">
        <w:rPr>
          <w:rFonts w:ascii="Verdana" w:hAnsi="Verdana"/>
        </w:rPr>
        <w:t>2019).</w:t>
      </w:r>
    </w:p>
    <w:p w14:paraId="63358C87" w14:textId="77777777" w:rsidR="00715A5B" w:rsidRPr="00E45520" w:rsidRDefault="00715A5B" w:rsidP="00E45520">
      <w:pPr>
        <w:rPr>
          <w:rFonts w:ascii="Verdana" w:hAnsi="Verdana"/>
        </w:rPr>
      </w:pPr>
    </w:p>
    <w:p w14:paraId="1AAF2E1D" w14:textId="68CB7505" w:rsidR="005229AD" w:rsidRDefault="005229AD" w:rsidP="00BE1718">
      <w:pPr>
        <w:tabs>
          <w:tab w:val="num" w:pos="720"/>
        </w:tabs>
        <w:rPr>
          <w:rFonts w:ascii="Verdana" w:hAnsi="Verdana"/>
        </w:rPr>
      </w:pPr>
      <w:r w:rsidRPr="005229AD">
        <w:rPr>
          <w:rFonts w:ascii="Verdana" w:hAnsi="Verdana"/>
        </w:rPr>
        <w:t>Qualitative methods would be used to understand how the training translates into day</w:t>
      </w:r>
      <w:r w:rsidRPr="005229AD">
        <w:rPr>
          <w:rFonts w:ascii="Verdana" w:hAnsi="Verdana"/>
        </w:rPr>
        <w:noBreakHyphen/>
        <w:t>to</w:t>
      </w:r>
      <w:r w:rsidRPr="005229AD">
        <w:rPr>
          <w:rFonts w:ascii="Verdana" w:hAnsi="Verdana"/>
        </w:rPr>
        <w:noBreakHyphen/>
        <w:t>day management practice, including</w:t>
      </w:r>
      <w:r w:rsidR="00BE1718" w:rsidRPr="0006788A">
        <w:rPr>
          <w:rFonts w:ascii="Verdana" w:hAnsi="Verdana"/>
        </w:rPr>
        <w:t xml:space="preserve"> e</w:t>
      </w:r>
      <w:r w:rsidRPr="005229AD">
        <w:rPr>
          <w:rFonts w:ascii="Verdana" w:hAnsi="Verdana"/>
        </w:rPr>
        <w:t>mployee engagement and wellbeing survey feedback</w:t>
      </w:r>
      <w:r w:rsidR="00BE1718" w:rsidRPr="0006788A">
        <w:rPr>
          <w:rFonts w:ascii="Verdana" w:hAnsi="Verdana"/>
        </w:rPr>
        <w:t>, m</w:t>
      </w:r>
      <w:r w:rsidRPr="005229AD">
        <w:rPr>
          <w:rFonts w:ascii="Verdana" w:hAnsi="Verdana"/>
        </w:rPr>
        <w:t>anager self</w:t>
      </w:r>
      <w:r w:rsidRPr="005229AD">
        <w:rPr>
          <w:rFonts w:ascii="Verdana" w:hAnsi="Verdana"/>
        </w:rPr>
        <w:noBreakHyphen/>
        <w:t>reflection and post</w:t>
      </w:r>
      <w:r w:rsidRPr="005229AD">
        <w:rPr>
          <w:rFonts w:ascii="Verdana" w:hAnsi="Verdana"/>
        </w:rPr>
        <w:noBreakHyphen/>
        <w:t>training self</w:t>
      </w:r>
      <w:r w:rsidRPr="005229AD">
        <w:rPr>
          <w:rFonts w:ascii="Verdana" w:hAnsi="Verdana"/>
        </w:rPr>
        <w:noBreakHyphen/>
        <w:t>assessments</w:t>
      </w:r>
      <w:r w:rsidR="00BE1718" w:rsidRPr="0006788A">
        <w:rPr>
          <w:rFonts w:ascii="Verdana" w:hAnsi="Verdana"/>
        </w:rPr>
        <w:t xml:space="preserve"> and t</w:t>
      </w:r>
      <w:r w:rsidRPr="005229AD">
        <w:rPr>
          <w:rFonts w:ascii="Verdana" w:hAnsi="Verdana"/>
        </w:rPr>
        <w:t xml:space="preserve">hematic feedback from staff about </w:t>
      </w:r>
      <w:r w:rsidRPr="005229AD">
        <w:rPr>
          <w:rFonts w:ascii="Verdana" w:hAnsi="Verdana"/>
        </w:rPr>
        <w:lastRenderedPageBreak/>
        <w:t>managerial support, workload management, and psychological safety</w:t>
      </w:r>
      <w:r w:rsidR="00BE1718" w:rsidRPr="0006788A">
        <w:rPr>
          <w:rFonts w:ascii="Verdana" w:hAnsi="Verdana"/>
        </w:rPr>
        <w:t>.  A m</w:t>
      </w:r>
      <w:r w:rsidRPr="005229AD">
        <w:rPr>
          <w:rFonts w:ascii="Verdana" w:hAnsi="Verdana"/>
        </w:rPr>
        <w:t>ixed</w:t>
      </w:r>
      <w:r w:rsidRPr="005229AD">
        <w:rPr>
          <w:rFonts w:ascii="Verdana" w:hAnsi="Verdana"/>
        </w:rPr>
        <w:noBreakHyphen/>
        <w:t xml:space="preserve">methods evaluation is recommended in leadership and wellbeing research as it captures contextual factors, implementation barriers, and unintended consequences that quantitative measures alone may miss (Nielsen </w:t>
      </w:r>
      <w:r w:rsidR="005319DB" w:rsidRPr="0006788A">
        <w:rPr>
          <w:rFonts w:ascii="Verdana" w:hAnsi="Verdana"/>
        </w:rPr>
        <w:t>and</w:t>
      </w:r>
      <w:r w:rsidRPr="005229AD">
        <w:rPr>
          <w:rFonts w:ascii="Verdana" w:hAnsi="Verdana"/>
        </w:rPr>
        <w:t xml:space="preserve"> Miraglia,</w:t>
      </w:r>
      <w:r w:rsidRPr="005229AD">
        <w:rPr>
          <w:rFonts w:ascii="Verdana" w:hAnsi="Verdana" w:cs="Arial"/>
        </w:rPr>
        <w:t> </w:t>
      </w:r>
      <w:r w:rsidRPr="005229AD">
        <w:rPr>
          <w:rFonts w:ascii="Verdana" w:hAnsi="Verdana"/>
        </w:rPr>
        <w:t xml:space="preserve">2017; Clarke </w:t>
      </w:r>
      <w:r w:rsidRPr="005229AD">
        <w:rPr>
          <w:rFonts w:ascii="Verdana" w:hAnsi="Verdana"/>
          <w:i/>
          <w:iCs/>
        </w:rPr>
        <w:t>et</w:t>
      </w:r>
      <w:r w:rsidRPr="005229AD">
        <w:rPr>
          <w:rFonts w:ascii="Verdana" w:hAnsi="Verdana" w:cs="Arial"/>
          <w:i/>
          <w:iCs/>
        </w:rPr>
        <w:t> </w:t>
      </w:r>
      <w:r w:rsidRPr="005229AD">
        <w:rPr>
          <w:rFonts w:ascii="Verdana" w:hAnsi="Verdana"/>
          <w:i/>
          <w:iCs/>
        </w:rPr>
        <w:t>al.,</w:t>
      </w:r>
      <w:r w:rsidRPr="005229AD">
        <w:rPr>
          <w:rFonts w:ascii="Verdana" w:hAnsi="Verdana" w:cs="Arial"/>
        </w:rPr>
        <w:t> </w:t>
      </w:r>
      <w:r w:rsidRPr="005229AD">
        <w:rPr>
          <w:rFonts w:ascii="Verdana" w:hAnsi="Verdana"/>
        </w:rPr>
        <w:t>2019).</w:t>
      </w:r>
    </w:p>
    <w:p w14:paraId="439CEB1D" w14:textId="77777777" w:rsidR="00715A5B" w:rsidRPr="005229AD" w:rsidRDefault="00715A5B" w:rsidP="00BE1718">
      <w:pPr>
        <w:tabs>
          <w:tab w:val="num" w:pos="720"/>
        </w:tabs>
        <w:rPr>
          <w:rFonts w:ascii="Verdana" w:hAnsi="Verdana"/>
        </w:rPr>
      </w:pPr>
    </w:p>
    <w:p w14:paraId="3BB2E17F" w14:textId="6CF2CBDF" w:rsidR="005229AD" w:rsidRDefault="005229AD" w:rsidP="00BE4EDF">
      <w:pPr>
        <w:tabs>
          <w:tab w:val="num" w:pos="720"/>
        </w:tabs>
        <w:rPr>
          <w:rFonts w:ascii="Verdana" w:hAnsi="Verdana"/>
        </w:rPr>
      </w:pPr>
      <w:r w:rsidRPr="005229AD">
        <w:rPr>
          <w:rFonts w:ascii="Verdana" w:hAnsi="Verdana"/>
        </w:rPr>
        <w:t>Ongoing monitoring would include</w:t>
      </w:r>
      <w:r w:rsidR="002458DC" w:rsidRPr="0006788A">
        <w:rPr>
          <w:rFonts w:ascii="Verdana" w:hAnsi="Verdana"/>
        </w:rPr>
        <w:t xml:space="preserve"> q</w:t>
      </w:r>
      <w:r w:rsidRPr="005229AD">
        <w:rPr>
          <w:rFonts w:ascii="Verdana" w:hAnsi="Verdana"/>
        </w:rPr>
        <w:t>uarterly reviews of absence and turnover data</w:t>
      </w:r>
      <w:r w:rsidR="002458DC" w:rsidRPr="0006788A">
        <w:rPr>
          <w:rFonts w:ascii="Verdana" w:hAnsi="Verdana"/>
        </w:rPr>
        <w:t>, a</w:t>
      </w:r>
      <w:r w:rsidRPr="005229AD">
        <w:rPr>
          <w:rFonts w:ascii="Verdana" w:hAnsi="Verdana"/>
        </w:rPr>
        <w:t>nnual employee engagement and wellbeing surveys</w:t>
      </w:r>
      <w:r w:rsidR="002458DC" w:rsidRPr="0006788A">
        <w:rPr>
          <w:rFonts w:ascii="Verdana" w:hAnsi="Verdana"/>
        </w:rPr>
        <w:t xml:space="preserve"> and m</w:t>
      </w:r>
      <w:r w:rsidRPr="005229AD">
        <w:rPr>
          <w:rFonts w:ascii="Verdana" w:hAnsi="Verdana"/>
        </w:rPr>
        <w:t>onitoring participation and compliance with mandatory refresher training</w:t>
      </w:r>
      <w:r w:rsidR="00BE4EDF" w:rsidRPr="0006788A">
        <w:rPr>
          <w:rFonts w:ascii="Verdana" w:hAnsi="Verdana"/>
        </w:rPr>
        <w:t xml:space="preserve">.  </w:t>
      </w:r>
      <w:r w:rsidRPr="005229AD">
        <w:rPr>
          <w:rFonts w:ascii="Verdana" w:hAnsi="Verdana"/>
        </w:rPr>
        <w:t>Continuous evaluation enables wellbeing programmes to adapt over time in response to organisational change and feedback, which has been shown to improve the sustainability and long</w:t>
      </w:r>
      <w:r w:rsidRPr="005229AD">
        <w:rPr>
          <w:rFonts w:ascii="Verdana" w:hAnsi="Verdana"/>
        </w:rPr>
        <w:noBreakHyphen/>
        <w:t>term impact of manager</w:t>
      </w:r>
      <w:r w:rsidRPr="005229AD">
        <w:rPr>
          <w:rFonts w:ascii="Verdana" w:hAnsi="Verdana"/>
        </w:rPr>
        <w:noBreakHyphen/>
        <w:t xml:space="preserve">led wellbeing interventions (Goetzel </w:t>
      </w:r>
      <w:r w:rsidRPr="005229AD">
        <w:rPr>
          <w:rFonts w:ascii="Verdana" w:hAnsi="Verdana"/>
          <w:i/>
          <w:iCs/>
        </w:rPr>
        <w:t>et</w:t>
      </w:r>
      <w:r w:rsidRPr="005229AD">
        <w:rPr>
          <w:rFonts w:ascii="Verdana" w:hAnsi="Verdana" w:cs="Arial"/>
          <w:i/>
          <w:iCs/>
        </w:rPr>
        <w:t> </w:t>
      </w:r>
      <w:r w:rsidRPr="005229AD">
        <w:rPr>
          <w:rFonts w:ascii="Verdana" w:hAnsi="Verdana"/>
          <w:i/>
          <w:iCs/>
        </w:rPr>
        <w:t>al.,</w:t>
      </w:r>
      <w:r w:rsidRPr="005229AD">
        <w:rPr>
          <w:rFonts w:ascii="Verdana" w:hAnsi="Verdana" w:cs="Arial"/>
        </w:rPr>
        <w:t> </w:t>
      </w:r>
      <w:r w:rsidRPr="005229AD">
        <w:rPr>
          <w:rFonts w:ascii="Verdana" w:hAnsi="Verdana"/>
        </w:rPr>
        <w:t>2014; World Wellbeing Movement,</w:t>
      </w:r>
      <w:r w:rsidRPr="005229AD">
        <w:rPr>
          <w:rFonts w:ascii="Verdana" w:hAnsi="Verdana" w:cs="Arial"/>
        </w:rPr>
        <w:t> </w:t>
      </w:r>
      <w:r w:rsidRPr="005229AD">
        <w:rPr>
          <w:rFonts w:ascii="Verdana" w:hAnsi="Verdana"/>
        </w:rPr>
        <w:t>2024).</w:t>
      </w:r>
    </w:p>
    <w:p w14:paraId="410CD1F9" w14:textId="77777777" w:rsidR="00715A5B" w:rsidRPr="005229AD" w:rsidRDefault="00715A5B" w:rsidP="00BE4EDF">
      <w:pPr>
        <w:tabs>
          <w:tab w:val="num" w:pos="720"/>
        </w:tabs>
        <w:rPr>
          <w:rFonts w:ascii="Verdana" w:hAnsi="Verdana"/>
        </w:rPr>
      </w:pPr>
    </w:p>
    <w:p w14:paraId="3D824333" w14:textId="5D4A53E7" w:rsidR="005229AD" w:rsidRDefault="005229AD" w:rsidP="005229AD">
      <w:pPr>
        <w:rPr>
          <w:rFonts w:ascii="Verdana" w:hAnsi="Verdana"/>
        </w:rPr>
      </w:pPr>
      <w:r w:rsidRPr="005229AD">
        <w:rPr>
          <w:rFonts w:ascii="Verdana" w:hAnsi="Verdana"/>
        </w:rPr>
        <w:t xml:space="preserve">Evaluation would also assess potential unintended negative impacts, such as increased role strain on managers, unequal access to training, or inconsistency in application across teams. Research highlights that poorly designed or inadequately monitored workplace wellbeing initiatives can inadvertently increase stress or shift responsibility onto individual managers without sufficient organisational support (Nielsen </w:t>
      </w:r>
      <w:r w:rsidR="0081121D" w:rsidRPr="0006788A">
        <w:rPr>
          <w:rFonts w:ascii="Verdana" w:hAnsi="Verdana"/>
        </w:rPr>
        <w:t>and</w:t>
      </w:r>
      <w:r w:rsidRPr="005229AD">
        <w:rPr>
          <w:rFonts w:ascii="Verdana" w:hAnsi="Verdana"/>
        </w:rPr>
        <w:t xml:space="preserve"> Miraglia,</w:t>
      </w:r>
      <w:r w:rsidRPr="005229AD">
        <w:rPr>
          <w:rFonts w:ascii="Verdana" w:hAnsi="Verdana" w:cs="Arial"/>
        </w:rPr>
        <w:t> </w:t>
      </w:r>
      <w:r w:rsidRPr="005229AD">
        <w:rPr>
          <w:rFonts w:ascii="Verdana" w:hAnsi="Verdana"/>
        </w:rPr>
        <w:t>2017).</w:t>
      </w:r>
    </w:p>
    <w:p w14:paraId="64CE2898" w14:textId="77777777" w:rsidR="00715A5B" w:rsidRPr="005229AD" w:rsidRDefault="00715A5B" w:rsidP="005229AD">
      <w:pPr>
        <w:rPr>
          <w:rFonts w:ascii="Verdana" w:hAnsi="Verdana"/>
        </w:rPr>
      </w:pPr>
    </w:p>
    <w:p w14:paraId="2EA99432" w14:textId="0B8BC0EC" w:rsidR="005229AD" w:rsidRPr="005229AD" w:rsidRDefault="005229AD" w:rsidP="005229AD">
      <w:pPr>
        <w:rPr>
          <w:rFonts w:ascii="Verdana" w:hAnsi="Verdana"/>
        </w:rPr>
      </w:pPr>
      <w:r w:rsidRPr="005229AD">
        <w:rPr>
          <w:rFonts w:ascii="Verdana" w:hAnsi="Verdana"/>
        </w:rPr>
        <w:t>Robust evaluation data</w:t>
      </w:r>
      <w:r w:rsidR="0081121D" w:rsidRPr="0006788A">
        <w:rPr>
          <w:rFonts w:ascii="Verdana" w:hAnsi="Verdana"/>
        </w:rPr>
        <w:t xml:space="preserve"> combined with </w:t>
      </w:r>
      <w:r w:rsidRPr="005229AD">
        <w:rPr>
          <w:rFonts w:ascii="Verdana" w:hAnsi="Verdana"/>
        </w:rPr>
        <w:t>demonstrating improved wellbeing scores, reduced mental</w:t>
      </w:r>
      <w:r w:rsidRPr="005229AD">
        <w:rPr>
          <w:rFonts w:ascii="Verdana" w:hAnsi="Verdana"/>
        </w:rPr>
        <w:noBreakHyphen/>
        <w:t>health</w:t>
      </w:r>
      <w:r w:rsidRPr="005229AD">
        <w:rPr>
          <w:rFonts w:ascii="Verdana" w:hAnsi="Verdana"/>
        </w:rPr>
        <w:noBreakHyphen/>
        <w:t>related absence, and improved staff retention</w:t>
      </w:r>
      <w:r w:rsidR="0081121D" w:rsidRPr="0006788A">
        <w:rPr>
          <w:rFonts w:ascii="Verdana" w:hAnsi="Verdana"/>
        </w:rPr>
        <w:t xml:space="preserve"> </w:t>
      </w:r>
      <w:r w:rsidRPr="005229AD">
        <w:rPr>
          <w:rFonts w:ascii="Verdana" w:hAnsi="Verdana"/>
        </w:rPr>
        <w:t>would be used to support leadership engagement and organisational buy</w:t>
      </w:r>
      <w:r w:rsidRPr="005229AD">
        <w:rPr>
          <w:rFonts w:ascii="Verdana" w:hAnsi="Verdana"/>
        </w:rPr>
        <w:noBreakHyphen/>
        <w:t xml:space="preserve">in. </w:t>
      </w:r>
      <w:r w:rsidR="0081121D" w:rsidRPr="0006788A">
        <w:rPr>
          <w:rFonts w:ascii="Verdana" w:hAnsi="Verdana"/>
        </w:rPr>
        <w:t xml:space="preserve"> </w:t>
      </w:r>
      <w:r w:rsidRPr="005229AD">
        <w:rPr>
          <w:rFonts w:ascii="Verdana" w:hAnsi="Verdana"/>
        </w:rPr>
        <w:t>Evidence</w:t>
      </w:r>
      <w:r w:rsidRPr="005229AD">
        <w:rPr>
          <w:rFonts w:ascii="Verdana" w:hAnsi="Verdana"/>
        </w:rPr>
        <w:noBreakHyphen/>
        <w:t xml:space="preserve">based evaluation improves credibility, supports ongoing investment decisions, and reinforces </w:t>
      </w:r>
      <w:proofErr w:type="spellStart"/>
      <w:r w:rsidRPr="005229AD">
        <w:rPr>
          <w:rFonts w:ascii="Verdana" w:hAnsi="Verdana"/>
        </w:rPr>
        <w:t>Insursave</w:t>
      </w:r>
      <w:proofErr w:type="spellEnd"/>
      <w:r w:rsidRPr="005229AD">
        <w:rPr>
          <w:rFonts w:ascii="Verdana" w:hAnsi="Verdana"/>
        </w:rPr>
        <w:t xml:space="preserve"> </w:t>
      </w:r>
      <w:proofErr w:type="spellStart"/>
      <w:r w:rsidRPr="005229AD">
        <w:rPr>
          <w:rFonts w:ascii="Verdana" w:hAnsi="Verdana"/>
        </w:rPr>
        <w:t>Ltd’s</w:t>
      </w:r>
      <w:proofErr w:type="spellEnd"/>
      <w:r w:rsidRPr="005229AD">
        <w:rPr>
          <w:rFonts w:ascii="Verdana" w:hAnsi="Verdana"/>
        </w:rPr>
        <w:t xml:space="preserve"> commitment to sustainable manager wellbeing and effective leadership practice (World Wellbeing Movement,</w:t>
      </w:r>
      <w:r w:rsidRPr="005229AD">
        <w:rPr>
          <w:rFonts w:ascii="Verdana" w:hAnsi="Verdana" w:cs="Arial"/>
        </w:rPr>
        <w:t> </w:t>
      </w:r>
      <w:r w:rsidRPr="005229AD">
        <w:rPr>
          <w:rFonts w:ascii="Verdana" w:hAnsi="Verdana"/>
        </w:rPr>
        <w:t xml:space="preserve">2024; Jarden </w:t>
      </w:r>
      <w:r w:rsidRPr="005229AD">
        <w:rPr>
          <w:rFonts w:ascii="Verdana" w:hAnsi="Verdana"/>
          <w:i/>
          <w:iCs/>
        </w:rPr>
        <w:t>et</w:t>
      </w:r>
      <w:r w:rsidRPr="005229AD">
        <w:rPr>
          <w:rFonts w:ascii="Verdana" w:hAnsi="Verdana" w:cs="Arial"/>
          <w:i/>
          <w:iCs/>
        </w:rPr>
        <w:t> </w:t>
      </w:r>
      <w:r w:rsidRPr="005229AD">
        <w:rPr>
          <w:rFonts w:ascii="Verdana" w:hAnsi="Verdana"/>
          <w:i/>
          <w:iCs/>
        </w:rPr>
        <w:t>al.,</w:t>
      </w:r>
      <w:r w:rsidRPr="005229AD">
        <w:rPr>
          <w:rFonts w:ascii="Verdana" w:hAnsi="Verdana" w:cs="Arial"/>
        </w:rPr>
        <w:t> </w:t>
      </w:r>
      <w:r w:rsidRPr="005229AD">
        <w:rPr>
          <w:rFonts w:ascii="Verdana" w:hAnsi="Verdana"/>
        </w:rPr>
        <w:t>2023).</w:t>
      </w:r>
    </w:p>
    <w:p w14:paraId="547EFEAC" w14:textId="77777777" w:rsidR="00E45520" w:rsidRPr="0006788A" w:rsidRDefault="00E45520" w:rsidP="00130D72">
      <w:pPr>
        <w:rPr>
          <w:rFonts w:ascii="Verdana" w:hAnsi="Verdana"/>
        </w:rPr>
      </w:pPr>
    </w:p>
    <w:p w14:paraId="583E7202" w14:textId="77777777" w:rsidR="002733D0" w:rsidRPr="0006788A" w:rsidRDefault="002733D0" w:rsidP="002733D0">
      <w:pPr>
        <w:pStyle w:val="Nornal"/>
        <w:spacing w:after="120"/>
        <w:rPr>
          <w:rFonts w:ascii="Verdana" w:hAnsi="Verdana"/>
        </w:rPr>
      </w:pPr>
    </w:p>
    <w:p w14:paraId="3A98221C" w14:textId="735A29F6" w:rsidR="002733D0" w:rsidRPr="006A0907" w:rsidRDefault="002733D0">
      <w:pPr>
        <w:rPr>
          <w:rFonts w:ascii="Verdana" w:hAnsi="Verdana"/>
        </w:rPr>
      </w:pPr>
      <w:r w:rsidRPr="006A0907">
        <w:rPr>
          <w:rFonts w:ascii="Verdana" w:hAnsi="Verdana"/>
        </w:rPr>
        <w:br w:type="page"/>
      </w:r>
    </w:p>
    <w:p w14:paraId="45DF99A0" w14:textId="03CDBB69" w:rsidR="002733D0" w:rsidRPr="0006788A" w:rsidRDefault="002733D0">
      <w:pPr>
        <w:rPr>
          <w:rFonts w:ascii="Verdana" w:hAnsi="Verdana"/>
          <w:sz w:val="28"/>
          <w:szCs w:val="28"/>
        </w:rPr>
      </w:pPr>
      <w:r w:rsidRPr="0006788A">
        <w:rPr>
          <w:rFonts w:ascii="Verdana" w:hAnsi="Verdana" w:cstheme="minorHAnsi"/>
          <w:bCs/>
          <w:sz w:val="28"/>
          <w:szCs w:val="28"/>
        </w:rPr>
        <w:lastRenderedPageBreak/>
        <w:t>Bibliography</w:t>
      </w:r>
      <w:r w:rsidRPr="0006788A">
        <w:rPr>
          <w:rFonts w:ascii="Verdana" w:hAnsi="Verdana"/>
          <w:sz w:val="28"/>
          <w:szCs w:val="28"/>
        </w:rPr>
        <w:t xml:space="preserve"> </w:t>
      </w:r>
    </w:p>
    <w:p w14:paraId="2FC1FF68" w14:textId="38AC108C" w:rsidR="00234071" w:rsidRPr="0006788A" w:rsidRDefault="00234071" w:rsidP="00234071">
      <w:pPr>
        <w:rPr>
          <w:rFonts w:ascii="Verdana" w:hAnsi="Verdana"/>
        </w:rPr>
      </w:pPr>
      <w:r w:rsidRPr="0006788A">
        <w:rPr>
          <w:rFonts w:ascii="Verdana" w:hAnsi="Verdana"/>
        </w:rPr>
        <w:t xml:space="preserve">ACAS (2024) </w:t>
      </w:r>
      <w:r w:rsidRPr="001863C3">
        <w:rPr>
          <w:rFonts w:ascii="Verdana" w:hAnsi="Verdana"/>
          <w:i/>
          <w:iCs/>
        </w:rPr>
        <w:t>Mental health and the law: Supporting mental health at work.</w:t>
      </w:r>
      <w:r w:rsidR="006A0907">
        <w:rPr>
          <w:rFonts w:ascii="Verdana" w:hAnsi="Verdana"/>
        </w:rPr>
        <w:t xml:space="preserve">  </w:t>
      </w:r>
      <w:r w:rsidRPr="0006788A">
        <w:rPr>
          <w:rFonts w:ascii="Verdana" w:hAnsi="Verdana"/>
        </w:rPr>
        <w:t xml:space="preserve">Available at: </w:t>
      </w:r>
      <w:hyperlink r:id="rId5" w:history="1">
        <w:r w:rsidRPr="0006788A">
          <w:rPr>
            <w:rStyle w:val="Hyperlink"/>
            <w:rFonts w:ascii="Verdana" w:hAnsi="Verdana"/>
          </w:rPr>
          <w:t>https://www.acas.org.uk/supporting-mental-health-workplace</w:t>
        </w:r>
      </w:hyperlink>
      <w:r w:rsidRPr="0006788A">
        <w:rPr>
          <w:rFonts w:ascii="Verdana" w:hAnsi="Verdana"/>
        </w:rPr>
        <w:t xml:space="preserve"> (Accessed: 29 April 2026)</w:t>
      </w:r>
      <w:r w:rsidR="001863C3">
        <w:rPr>
          <w:rFonts w:ascii="Verdana" w:hAnsi="Verdana"/>
        </w:rPr>
        <w:t>.</w:t>
      </w:r>
    </w:p>
    <w:p w14:paraId="521381CD" w14:textId="38B8CBE8" w:rsidR="009E541E" w:rsidRPr="0006788A" w:rsidRDefault="009E541E">
      <w:pPr>
        <w:rPr>
          <w:rFonts w:ascii="Verdana" w:hAnsi="Verdana"/>
        </w:rPr>
      </w:pPr>
      <w:r w:rsidRPr="0006788A">
        <w:rPr>
          <w:rFonts w:ascii="Verdana" w:hAnsi="Verdana"/>
        </w:rPr>
        <w:t>ACAS (2025</w:t>
      </w:r>
      <w:r w:rsidR="00BA354F" w:rsidRPr="0006788A">
        <w:rPr>
          <w:rFonts w:ascii="Verdana" w:hAnsi="Verdana"/>
        </w:rPr>
        <w:t>a</w:t>
      </w:r>
      <w:r w:rsidRPr="0006788A">
        <w:rPr>
          <w:rFonts w:ascii="Verdana" w:hAnsi="Verdana"/>
        </w:rPr>
        <w:t xml:space="preserve">) </w:t>
      </w:r>
      <w:r w:rsidRPr="001863C3">
        <w:rPr>
          <w:rFonts w:ascii="Verdana" w:hAnsi="Verdana"/>
          <w:i/>
          <w:iCs/>
        </w:rPr>
        <w:t>Managing work-related stress</w:t>
      </w:r>
      <w:r w:rsidR="00D321C5" w:rsidRPr="001863C3">
        <w:rPr>
          <w:rFonts w:ascii="Verdana" w:hAnsi="Verdana"/>
          <w:i/>
          <w:iCs/>
        </w:rPr>
        <w:t>.</w:t>
      </w:r>
      <w:r w:rsidR="00D321C5" w:rsidRPr="0006788A">
        <w:rPr>
          <w:rFonts w:ascii="Verdana" w:hAnsi="Verdana"/>
        </w:rPr>
        <w:t xml:space="preserve"> Available at: </w:t>
      </w:r>
      <w:hyperlink r:id="rId6" w:history="1">
        <w:r w:rsidR="00D321C5" w:rsidRPr="0006788A">
          <w:rPr>
            <w:rStyle w:val="Hyperlink"/>
            <w:rFonts w:ascii="Verdana" w:hAnsi="Verdana"/>
          </w:rPr>
          <w:t>https://www.acas.org.uk/managing-work-related-stress/risk-assessments</w:t>
        </w:r>
      </w:hyperlink>
      <w:r w:rsidR="00D321C5" w:rsidRPr="0006788A">
        <w:rPr>
          <w:rFonts w:ascii="Verdana" w:hAnsi="Verdana"/>
        </w:rPr>
        <w:t xml:space="preserve"> (Accessed: 29 April 2026)</w:t>
      </w:r>
      <w:r w:rsidR="001863C3">
        <w:rPr>
          <w:rFonts w:ascii="Verdana" w:hAnsi="Verdana"/>
        </w:rPr>
        <w:t>.</w:t>
      </w:r>
    </w:p>
    <w:p w14:paraId="3248ACE2" w14:textId="3CE1ACB9" w:rsidR="00CF17C6" w:rsidRPr="0006788A" w:rsidRDefault="00CF17C6" w:rsidP="00CF17C6">
      <w:pPr>
        <w:rPr>
          <w:rFonts w:ascii="Verdana" w:hAnsi="Verdana"/>
        </w:rPr>
      </w:pPr>
      <w:r w:rsidRPr="0006788A">
        <w:rPr>
          <w:rFonts w:ascii="Verdana" w:hAnsi="Verdana"/>
        </w:rPr>
        <w:t>ACAS (2025</w:t>
      </w:r>
      <w:r w:rsidR="00BA354F" w:rsidRPr="0006788A">
        <w:rPr>
          <w:rFonts w:ascii="Verdana" w:hAnsi="Verdana"/>
        </w:rPr>
        <w:t>b</w:t>
      </w:r>
      <w:r w:rsidRPr="0006788A">
        <w:rPr>
          <w:rFonts w:ascii="Verdana" w:hAnsi="Verdana"/>
        </w:rPr>
        <w:t xml:space="preserve">) </w:t>
      </w:r>
      <w:r w:rsidRPr="001863C3">
        <w:rPr>
          <w:rFonts w:ascii="Verdana" w:hAnsi="Verdana"/>
          <w:i/>
          <w:iCs/>
        </w:rPr>
        <w:t>Mental health and the law: Supporting mental health at work.</w:t>
      </w:r>
      <w:r w:rsidR="001863C3">
        <w:rPr>
          <w:rFonts w:ascii="Verdana" w:hAnsi="Verdana"/>
          <w:i/>
          <w:iCs/>
        </w:rPr>
        <w:t xml:space="preserve"> </w:t>
      </w:r>
      <w:r w:rsidRPr="0006788A">
        <w:rPr>
          <w:rFonts w:ascii="Verdana" w:hAnsi="Verdana"/>
        </w:rPr>
        <w:t xml:space="preserve">Available at: </w:t>
      </w:r>
      <w:hyperlink r:id="rId7" w:history="1">
        <w:r w:rsidRPr="0006788A">
          <w:rPr>
            <w:rStyle w:val="Hyperlink"/>
            <w:rFonts w:ascii="Verdana" w:hAnsi="Verdana"/>
          </w:rPr>
          <w:t>https://www.acas.org.uk/supporting-mental-health-workplace</w:t>
        </w:r>
      </w:hyperlink>
      <w:r w:rsidRPr="0006788A">
        <w:rPr>
          <w:rFonts w:ascii="Verdana" w:hAnsi="Verdana"/>
        </w:rPr>
        <w:t xml:space="preserve"> (Accessed: 29 April 2026)</w:t>
      </w:r>
      <w:r w:rsidR="001863C3">
        <w:rPr>
          <w:rFonts w:ascii="Verdana" w:hAnsi="Verdana"/>
        </w:rPr>
        <w:t>.</w:t>
      </w:r>
    </w:p>
    <w:p w14:paraId="5710A7F9" w14:textId="356A0AEE" w:rsidR="00413920" w:rsidRPr="0006788A" w:rsidRDefault="00413920" w:rsidP="00413920">
      <w:pPr>
        <w:rPr>
          <w:rFonts w:ascii="Verdana" w:hAnsi="Verdana"/>
        </w:rPr>
      </w:pPr>
      <w:r w:rsidRPr="0006788A">
        <w:rPr>
          <w:rFonts w:ascii="Verdana" w:hAnsi="Verdana"/>
        </w:rPr>
        <w:t xml:space="preserve">Albrecht, S. L., Green, C. R., </w:t>
      </w:r>
      <w:r w:rsidR="004F008E">
        <w:rPr>
          <w:rFonts w:ascii="Verdana" w:hAnsi="Verdana"/>
        </w:rPr>
        <w:t>and</w:t>
      </w:r>
      <w:r w:rsidRPr="0006788A">
        <w:rPr>
          <w:rFonts w:ascii="Verdana" w:hAnsi="Verdana"/>
        </w:rPr>
        <w:t xml:space="preserve"> Marty, A. (2021) </w:t>
      </w:r>
      <w:r w:rsidR="004F008E">
        <w:rPr>
          <w:rFonts w:ascii="Verdana" w:hAnsi="Verdana"/>
        </w:rPr>
        <w:t>‘</w:t>
      </w:r>
      <w:r w:rsidRPr="0006788A">
        <w:rPr>
          <w:rFonts w:ascii="Verdana" w:hAnsi="Verdana"/>
        </w:rPr>
        <w:t>Meaningful work, job resources, and employee engagement</w:t>
      </w:r>
      <w:r w:rsidR="004F008E">
        <w:rPr>
          <w:rFonts w:ascii="Verdana" w:hAnsi="Verdana"/>
        </w:rPr>
        <w:t>’,</w:t>
      </w:r>
      <w:r w:rsidRPr="0006788A">
        <w:rPr>
          <w:rFonts w:ascii="Verdana" w:hAnsi="Verdana"/>
        </w:rPr>
        <w:t xml:space="preserve"> </w:t>
      </w:r>
      <w:r w:rsidRPr="0006788A">
        <w:rPr>
          <w:rFonts w:ascii="Verdana" w:hAnsi="Verdana"/>
          <w:i/>
          <w:iCs/>
        </w:rPr>
        <w:t xml:space="preserve">Sustainability, </w:t>
      </w:r>
      <w:r w:rsidRPr="004F008E">
        <w:rPr>
          <w:rFonts w:ascii="Verdana" w:hAnsi="Verdana"/>
        </w:rPr>
        <w:t>13(7),</w:t>
      </w:r>
      <w:r w:rsidRPr="0006788A">
        <w:rPr>
          <w:rFonts w:ascii="Verdana" w:hAnsi="Verdana"/>
        </w:rPr>
        <w:t xml:space="preserve"> 4045.</w:t>
      </w:r>
      <w:r w:rsidR="004F008E">
        <w:rPr>
          <w:rFonts w:ascii="Verdana" w:hAnsi="Verdana"/>
        </w:rPr>
        <w:t xml:space="preserve">  Available at: </w:t>
      </w:r>
      <w:hyperlink r:id="rId8" w:history="1">
        <w:r w:rsidR="00F4487C" w:rsidRPr="0006788A">
          <w:rPr>
            <w:rStyle w:val="Hyperlink"/>
            <w:rFonts w:ascii="Verdana" w:hAnsi="Verdana"/>
          </w:rPr>
          <w:t>https://doi.org/10.3390/su13074045</w:t>
        </w:r>
      </w:hyperlink>
    </w:p>
    <w:p w14:paraId="5E116930" w14:textId="5163E525" w:rsidR="00F4487C" w:rsidRPr="0006788A" w:rsidRDefault="00F4487C" w:rsidP="00413920">
      <w:pPr>
        <w:rPr>
          <w:rFonts w:ascii="Verdana" w:hAnsi="Verdana"/>
        </w:rPr>
      </w:pPr>
      <w:r w:rsidRPr="00F4487C">
        <w:rPr>
          <w:rFonts w:ascii="Verdana" w:hAnsi="Verdana"/>
        </w:rPr>
        <w:t xml:space="preserve">Baicker, K., Cutler, D., </w:t>
      </w:r>
      <w:r w:rsidR="00D95E3A">
        <w:rPr>
          <w:rFonts w:ascii="Verdana" w:hAnsi="Verdana"/>
        </w:rPr>
        <w:t>and</w:t>
      </w:r>
      <w:r w:rsidRPr="00F4487C">
        <w:rPr>
          <w:rFonts w:ascii="Verdana" w:hAnsi="Verdana"/>
        </w:rPr>
        <w:t xml:space="preserve"> Song, Z. (2019) </w:t>
      </w:r>
      <w:r w:rsidR="00D95E3A">
        <w:rPr>
          <w:rFonts w:ascii="Verdana" w:hAnsi="Verdana"/>
        </w:rPr>
        <w:t>‘</w:t>
      </w:r>
      <w:r w:rsidRPr="00F4487C">
        <w:rPr>
          <w:rFonts w:ascii="Verdana" w:hAnsi="Verdana"/>
        </w:rPr>
        <w:t>Effect of a workplace wellness program on employee health and economic outcomes: A randomized clinical trial</w:t>
      </w:r>
      <w:r w:rsidR="00D95E3A" w:rsidRPr="00D95E3A">
        <w:rPr>
          <w:rFonts w:ascii="Verdana" w:hAnsi="Verdana"/>
        </w:rPr>
        <w:t>,</w:t>
      </w:r>
      <w:r w:rsidRPr="00F4487C">
        <w:rPr>
          <w:rFonts w:ascii="Verdana" w:hAnsi="Verdana"/>
        </w:rPr>
        <w:t xml:space="preserve"> </w:t>
      </w:r>
      <w:r w:rsidRPr="00F4487C">
        <w:rPr>
          <w:rFonts w:ascii="Verdana" w:hAnsi="Verdana"/>
          <w:i/>
          <w:iCs/>
        </w:rPr>
        <w:t>JAMA</w:t>
      </w:r>
      <w:r w:rsidRPr="00F4487C">
        <w:rPr>
          <w:rFonts w:ascii="Verdana" w:hAnsi="Verdana"/>
        </w:rPr>
        <w:t xml:space="preserve">, 321(15), </w:t>
      </w:r>
      <w:r w:rsidR="00D95E3A">
        <w:rPr>
          <w:rFonts w:ascii="Verdana" w:hAnsi="Verdana"/>
        </w:rPr>
        <w:t xml:space="preserve">pp. </w:t>
      </w:r>
      <w:r w:rsidRPr="00F4487C">
        <w:rPr>
          <w:rFonts w:ascii="Verdana" w:hAnsi="Verdana"/>
        </w:rPr>
        <w:t>1491–1501.</w:t>
      </w:r>
      <w:r w:rsidRPr="0006788A">
        <w:rPr>
          <w:rFonts w:ascii="Verdana" w:hAnsi="Verdana"/>
        </w:rPr>
        <w:t xml:space="preserve">  Available at: </w:t>
      </w:r>
      <w:hyperlink r:id="rId9" w:history="1">
        <w:r w:rsidRPr="00F4487C">
          <w:rPr>
            <w:rStyle w:val="Hyperlink"/>
            <w:rFonts w:ascii="Verdana" w:hAnsi="Verdana"/>
          </w:rPr>
          <w:t>https://jamanetwork.com/journals/jama/fullarticle/2730614</w:t>
        </w:r>
      </w:hyperlink>
      <w:r w:rsidR="00D95E3A">
        <w:rPr>
          <w:rFonts w:ascii="Verdana" w:hAnsi="Verdana"/>
        </w:rPr>
        <w:t xml:space="preserve"> (Accessed: </w:t>
      </w:r>
      <w:r w:rsidR="001010C7">
        <w:rPr>
          <w:rFonts w:ascii="Verdana" w:hAnsi="Verdana"/>
        </w:rPr>
        <w:t>08 May 2026).</w:t>
      </w:r>
    </w:p>
    <w:p w14:paraId="146D2069" w14:textId="4F93D8EA" w:rsidR="0094004B" w:rsidRPr="0006788A" w:rsidRDefault="0094004B" w:rsidP="0094004B">
      <w:pPr>
        <w:rPr>
          <w:rFonts w:ascii="Verdana" w:hAnsi="Verdana"/>
        </w:rPr>
      </w:pPr>
      <w:r w:rsidRPr="0006788A">
        <w:rPr>
          <w:rFonts w:ascii="Verdana" w:hAnsi="Verdana"/>
        </w:rPr>
        <w:t xml:space="preserve">Bakker, A. B., </w:t>
      </w:r>
      <w:r w:rsidR="001010C7">
        <w:rPr>
          <w:rFonts w:ascii="Verdana" w:hAnsi="Verdana"/>
        </w:rPr>
        <w:t>and</w:t>
      </w:r>
      <w:r w:rsidRPr="0006788A">
        <w:rPr>
          <w:rFonts w:ascii="Verdana" w:hAnsi="Verdana"/>
        </w:rPr>
        <w:t xml:space="preserve"> Demerouti, E (2017)</w:t>
      </w:r>
      <w:r w:rsidR="001010C7">
        <w:rPr>
          <w:rFonts w:ascii="Verdana" w:hAnsi="Verdana"/>
        </w:rPr>
        <w:t xml:space="preserve"> ‘</w:t>
      </w:r>
      <w:r w:rsidRPr="0006788A">
        <w:rPr>
          <w:rFonts w:ascii="Verdana" w:hAnsi="Verdana"/>
        </w:rPr>
        <w:t>Job demands-resources theory: Taking stock and looking forward</w:t>
      </w:r>
      <w:r w:rsidR="001010C7">
        <w:rPr>
          <w:rFonts w:ascii="Verdana" w:hAnsi="Verdana"/>
        </w:rPr>
        <w:t>’,</w:t>
      </w:r>
      <w:r w:rsidRPr="0006788A">
        <w:rPr>
          <w:rFonts w:ascii="Verdana" w:hAnsi="Verdana"/>
        </w:rPr>
        <w:t> </w:t>
      </w:r>
      <w:r w:rsidRPr="0006788A">
        <w:rPr>
          <w:rFonts w:ascii="Verdana" w:hAnsi="Verdana"/>
          <w:i/>
          <w:iCs/>
        </w:rPr>
        <w:t>Journal of occupational health psychology</w:t>
      </w:r>
      <w:r w:rsidRPr="0006788A">
        <w:rPr>
          <w:rFonts w:ascii="Verdana" w:hAnsi="Verdana"/>
        </w:rPr>
        <w:t>, </w:t>
      </w:r>
      <w:r w:rsidRPr="0006788A">
        <w:rPr>
          <w:rFonts w:ascii="Verdana" w:hAnsi="Verdana"/>
          <w:i/>
          <w:iCs/>
        </w:rPr>
        <w:t>22</w:t>
      </w:r>
      <w:r w:rsidRPr="0006788A">
        <w:rPr>
          <w:rFonts w:ascii="Verdana" w:hAnsi="Verdana"/>
        </w:rPr>
        <w:t xml:space="preserve">(3), </w:t>
      </w:r>
      <w:r w:rsidR="001010C7">
        <w:rPr>
          <w:rFonts w:ascii="Verdana" w:hAnsi="Verdana"/>
        </w:rPr>
        <w:t xml:space="preserve">pp. </w:t>
      </w:r>
      <w:r w:rsidRPr="0006788A">
        <w:rPr>
          <w:rFonts w:ascii="Verdana" w:hAnsi="Verdana"/>
        </w:rPr>
        <w:t xml:space="preserve">273–285. </w:t>
      </w:r>
      <w:r w:rsidR="001010C7">
        <w:rPr>
          <w:rFonts w:ascii="Verdana" w:hAnsi="Verdana"/>
        </w:rPr>
        <w:t xml:space="preserve">Available at: </w:t>
      </w:r>
      <w:hyperlink r:id="rId10" w:history="1">
        <w:r w:rsidR="001010C7" w:rsidRPr="001A35EA">
          <w:rPr>
            <w:rStyle w:val="Hyperlink"/>
            <w:rFonts w:ascii="Verdana" w:hAnsi="Verdana"/>
          </w:rPr>
          <w:t>https://doi.org/10.1037/ocp0000056</w:t>
        </w:r>
      </w:hyperlink>
    </w:p>
    <w:p w14:paraId="7B37904B" w14:textId="41A61162" w:rsidR="00E864D3" w:rsidRPr="0006788A" w:rsidRDefault="00E864D3" w:rsidP="00E864D3">
      <w:pPr>
        <w:rPr>
          <w:rFonts w:ascii="Verdana" w:eastAsiaTheme="minorHAnsi" w:hAnsi="Verdana" w:cstheme="minorHAnsi"/>
          <w:bCs/>
          <w:kern w:val="0"/>
          <w:lang w:eastAsia="en-US"/>
          <w14:ligatures w14:val="none"/>
        </w:rPr>
      </w:pPr>
      <w:r w:rsidRPr="0006788A">
        <w:rPr>
          <w:rFonts w:ascii="Verdana" w:eastAsiaTheme="minorHAnsi" w:hAnsi="Verdana" w:cstheme="minorHAnsi"/>
          <w:bCs/>
          <w:kern w:val="0"/>
          <w:lang w:eastAsia="en-US"/>
          <w14:ligatures w14:val="none"/>
        </w:rPr>
        <w:t xml:space="preserve">Bhoir, M. </w:t>
      </w:r>
      <w:r w:rsidR="001010C7">
        <w:rPr>
          <w:rFonts w:ascii="Verdana" w:eastAsiaTheme="minorHAnsi" w:hAnsi="Verdana" w:cstheme="minorHAnsi"/>
          <w:bCs/>
          <w:kern w:val="0"/>
          <w:lang w:eastAsia="en-US"/>
          <w14:ligatures w14:val="none"/>
        </w:rPr>
        <w:t>and</w:t>
      </w:r>
      <w:r w:rsidRPr="0006788A">
        <w:rPr>
          <w:rFonts w:ascii="Verdana" w:eastAsiaTheme="minorHAnsi" w:hAnsi="Verdana" w:cstheme="minorHAnsi"/>
          <w:bCs/>
          <w:kern w:val="0"/>
          <w:lang w:eastAsia="en-US"/>
          <w14:ligatures w14:val="none"/>
        </w:rPr>
        <w:t xml:space="preserve"> Sinha, V. (2024) ‘Employee wellbeing HR practices: A systematic literature review’, </w:t>
      </w:r>
      <w:r w:rsidRPr="0006788A">
        <w:rPr>
          <w:rFonts w:ascii="Verdana" w:eastAsiaTheme="minorHAnsi" w:hAnsi="Verdana" w:cstheme="minorHAnsi"/>
          <w:bCs/>
          <w:i/>
          <w:iCs/>
          <w:kern w:val="0"/>
          <w:lang w:eastAsia="en-US"/>
          <w14:ligatures w14:val="none"/>
        </w:rPr>
        <w:t>Future Business Journal</w:t>
      </w:r>
      <w:r w:rsidRPr="0006788A">
        <w:rPr>
          <w:rFonts w:ascii="Verdana" w:eastAsiaTheme="minorHAnsi" w:hAnsi="Verdana" w:cstheme="minorHAnsi"/>
          <w:bCs/>
          <w:kern w:val="0"/>
          <w:lang w:eastAsia="en-US"/>
          <w14:ligatures w14:val="none"/>
        </w:rPr>
        <w:t xml:space="preserve">, 10(95). Available at: </w:t>
      </w:r>
      <w:hyperlink r:id="rId11" w:history="1">
        <w:r w:rsidR="005A5857" w:rsidRPr="0006788A">
          <w:rPr>
            <w:rStyle w:val="Hyperlink"/>
            <w:rFonts w:ascii="Verdana" w:eastAsiaTheme="minorHAnsi" w:hAnsi="Verdana" w:cstheme="minorHAnsi"/>
            <w:bCs/>
            <w:kern w:val="0"/>
            <w:lang w:eastAsia="en-US"/>
            <w14:ligatures w14:val="none"/>
          </w:rPr>
          <w:t>https://link.springer.com/article/10.1186/s43093-024-00382-w</w:t>
        </w:r>
      </w:hyperlink>
      <w:r w:rsidR="005A5857" w:rsidRPr="0006788A">
        <w:rPr>
          <w:rFonts w:ascii="Verdana" w:eastAsiaTheme="minorHAnsi" w:hAnsi="Verdana" w:cstheme="minorHAnsi"/>
          <w:bCs/>
          <w:kern w:val="0"/>
          <w:lang w:eastAsia="en-US"/>
          <w14:ligatures w14:val="none"/>
        </w:rPr>
        <w:t xml:space="preserve"> (Accessed: 20 April 2026)</w:t>
      </w:r>
      <w:r w:rsidR="001010C7">
        <w:rPr>
          <w:rFonts w:ascii="Verdana" w:eastAsiaTheme="minorHAnsi" w:hAnsi="Verdana" w:cstheme="minorHAnsi"/>
          <w:bCs/>
          <w:kern w:val="0"/>
          <w:lang w:eastAsia="en-US"/>
          <w14:ligatures w14:val="none"/>
        </w:rPr>
        <w:t>.</w:t>
      </w:r>
    </w:p>
    <w:p w14:paraId="50955AA3" w14:textId="1AF5B671" w:rsidR="00CD6E80" w:rsidRPr="0006788A" w:rsidRDefault="00B37B76" w:rsidP="00E864D3">
      <w:pPr>
        <w:rPr>
          <w:rFonts w:ascii="Verdana" w:eastAsiaTheme="minorHAnsi" w:hAnsi="Verdana" w:cstheme="minorHAnsi"/>
          <w:bCs/>
          <w:kern w:val="0"/>
          <w:lang w:eastAsia="en-US"/>
          <w14:ligatures w14:val="none"/>
        </w:rPr>
      </w:pPr>
      <w:r w:rsidRPr="0006788A">
        <w:rPr>
          <w:rFonts w:ascii="Verdana" w:eastAsiaTheme="minorHAnsi" w:hAnsi="Verdana" w:cstheme="minorHAnsi"/>
          <w:kern w:val="0"/>
          <w:lang w:eastAsia="en-US"/>
          <w14:ligatures w14:val="none"/>
        </w:rPr>
        <w:t xml:space="preserve">Brotheridge, C. M., </w:t>
      </w:r>
      <w:r w:rsidR="001010C7">
        <w:rPr>
          <w:rFonts w:ascii="Verdana" w:eastAsiaTheme="minorHAnsi" w:hAnsi="Verdana" w:cstheme="minorHAnsi"/>
          <w:kern w:val="0"/>
          <w:lang w:eastAsia="en-US"/>
          <w14:ligatures w14:val="none"/>
        </w:rPr>
        <w:t>and</w:t>
      </w:r>
      <w:r w:rsidRPr="0006788A">
        <w:rPr>
          <w:rFonts w:ascii="Verdana" w:eastAsiaTheme="minorHAnsi" w:hAnsi="Verdana" w:cstheme="minorHAnsi"/>
          <w:kern w:val="0"/>
          <w:lang w:eastAsia="en-US"/>
          <w14:ligatures w14:val="none"/>
        </w:rPr>
        <w:t xml:space="preserve"> Lee, R. T. (2021)</w:t>
      </w:r>
      <w:r w:rsidRPr="0006788A">
        <w:rPr>
          <w:rFonts w:ascii="Verdana" w:eastAsiaTheme="minorHAnsi" w:hAnsi="Verdana" w:cstheme="minorHAnsi"/>
          <w:b/>
          <w:bCs/>
          <w:kern w:val="0"/>
          <w:lang w:eastAsia="en-US"/>
          <w14:ligatures w14:val="none"/>
        </w:rPr>
        <w:t xml:space="preserve"> </w:t>
      </w:r>
      <w:r w:rsidR="001010C7">
        <w:rPr>
          <w:rFonts w:ascii="Verdana" w:eastAsiaTheme="minorHAnsi" w:hAnsi="Verdana" w:cstheme="minorHAnsi"/>
          <w:b/>
          <w:bCs/>
          <w:kern w:val="0"/>
          <w:lang w:eastAsia="en-US"/>
          <w14:ligatures w14:val="none"/>
        </w:rPr>
        <w:t>‘</w:t>
      </w:r>
      <w:r w:rsidRPr="0006788A">
        <w:rPr>
          <w:rFonts w:ascii="Verdana" w:eastAsiaTheme="minorHAnsi" w:hAnsi="Verdana" w:cstheme="minorHAnsi"/>
          <w:bCs/>
          <w:kern w:val="0"/>
          <w:lang w:eastAsia="en-US"/>
          <w14:ligatures w14:val="none"/>
        </w:rPr>
        <w:t xml:space="preserve">Emotional </w:t>
      </w:r>
      <w:proofErr w:type="spellStart"/>
      <w:r w:rsidRPr="0006788A">
        <w:rPr>
          <w:rFonts w:ascii="Verdana" w:eastAsiaTheme="minorHAnsi" w:hAnsi="Verdana" w:cstheme="minorHAnsi"/>
          <w:bCs/>
          <w:kern w:val="0"/>
          <w:lang w:eastAsia="en-US"/>
          <w14:ligatures w14:val="none"/>
        </w:rPr>
        <w:t>labor</w:t>
      </w:r>
      <w:proofErr w:type="spellEnd"/>
      <w:r w:rsidRPr="0006788A">
        <w:rPr>
          <w:rFonts w:ascii="Verdana" w:eastAsiaTheme="minorHAnsi" w:hAnsi="Verdana" w:cstheme="minorHAnsi"/>
          <w:bCs/>
          <w:kern w:val="0"/>
          <w:lang w:eastAsia="en-US"/>
          <w14:ligatures w14:val="none"/>
        </w:rPr>
        <w:t xml:space="preserve"> and burnout: Comparing service roles</w:t>
      </w:r>
      <w:r w:rsidR="001010C7">
        <w:rPr>
          <w:rFonts w:ascii="Verdana" w:eastAsiaTheme="minorHAnsi" w:hAnsi="Verdana" w:cstheme="minorHAnsi"/>
          <w:bCs/>
          <w:kern w:val="0"/>
          <w:lang w:eastAsia="en-US"/>
          <w14:ligatures w14:val="none"/>
        </w:rPr>
        <w:t>’,</w:t>
      </w:r>
      <w:r w:rsidRPr="0006788A">
        <w:rPr>
          <w:rFonts w:ascii="Verdana" w:eastAsiaTheme="minorHAnsi" w:hAnsi="Verdana" w:cstheme="minorHAnsi"/>
          <w:bCs/>
          <w:kern w:val="0"/>
          <w:lang w:eastAsia="en-US"/>
          <w14:ligatures w14:val="none"/>
        </w:rPr>
        <w:t xml:space="preserve"> </w:t>
      </w:r>
      <w:r w:rsidRPr="0006788A">
        <w:rPr>
          <w:rFonts w:ascii="Verdana" w:eastAsiaTheme="minorHAnsi" w:hAnsi="Verdana" w:cstheme="minorHAnsi"/>
          <w:bCs/>
          <w:i/>
          <w:iCs/>
          <w:kern w:val="0"/>
          <w:lang w:eastAsia="en-US"/>
          <w14:ligatures w14:val="none"/>
        </w:rPr>
        <w:t xml:space="preserve">Journal of Service Management, </w:t>
      </w:r>
      <w:r w:rsidRPr="001010C7">
        <w:rPr>
          <w:rFonts w:ascii="Verdana" w:eastAsiaTheme="minorHAnsi" w:hAnsi="Verdana" w:cstheme="minorHAnsi"/>
          <w:bCs/>
          <w:kern w:val="0"/>
          <w:lang w:eastAsia="en-US"/>
          <w14:ligatures w14:val="none"/>
        </w:rPr>
        <w:t>32(1),</w:t>
      </w:r>
      <w:r w:rsidRPr="0006788A">
        <w:rPr>
          <w:rFonts w:ascii="Verdana" w:eastAsiaTheme="minorHAnsi" w:hAnsi="Verdana" w:cstheme="minorHAnsi"/>
          <w:bCs/>
          <w:kern w:val="0"/>
          <w:lang w:eastAsia="en-US"/>
          <w14:ligatures w14:val="none"/>
        </w:rPr>
        <w:t xml:space="preserve"> </w:t>
      </w:r>
      <w:r w:rsidR="001010C7">
        <w:rPr>
          <w:rFonts w:ascii="Verdana" w:eastAsiaTheme="minorHAnsi" w:hAnsi="Verdana" w:cstheme="minorHAnsi"/>
          <w:bCs/>
          <w:kern w:val="0"/>
          <w:lang w:eastAsia="en-US"/>
          <w14:ligatures w14:val="none"/>
        </w:rPr>
        <w:t xml:space="preserve">pp. </w:t>
      </w:r>
      <w:r w:rsidRPr="0006788A">
        <w:rPr>
          <w:rFonts w:ascii="Verdana" w:eastAsiaTheme="minorHAnsi" w:hAnsi="Verdana" w:cstheme="minorHAnsi"/>
          <w:bCs/>
          <w:kern w:val="0"/>
          <w:lang w:eastAsia="en-US"/>
          <w14:ligatures w14:val="none"/>
        </w:rPr>
        <w:t xml:space="preserve">56–74.  Available at: </w:t>
      </w:r>
      <w:hyperlink r:id="rId12" w:history="1">
        <w:r w:rsidR="001010C7" w:rsidRPr="001A35EA">
          <w:rPr>
            <w:rStyle w:val="Hyperlink"/>
            <w:rFonts w:ascii="Verdana" w:eastAsiaTheme="minorHAnsi" w:hAnsi="Verdana" w:cstheme="minorHAnsi"/>
            <w:bCs/>
            <w:kern w:val="0"/>
            <w:lang w:eastAsia="en-US"/>
            <w14:ligatures w14:val="none"/>
          </w:rPr>
          <w:t>https://doi.org/10.1108/JOSM-10-2020-0382</w:t>
        </w:r>
      </w:hyperlink>
      <w:r w:rsidR="001010C7">
        <w:rPr>
          <w:rFonts w:ascii="Verdana" w:eastAsiaTheme="minorHAnsi" w:hAnsi="Verdana" w:cstheme="minorHAnsi"/>
          <w:bCs/>
          <w:kern w:val="0"/>
          <w:lang w:eastAsia="en-US"/>
          <w14:ligatures w14:val="none"/>
        </w:rPr>
        <w:t xml:space="preserve"> </w:t>
      </w:r>
      <w:r w:rsidR="001010C7" w:rsidRPr="0006788A">
        <w:rPr>
          <w:rFonts w:ascii="Verdana" w:eastAsiaTheme="minorHAnsi" w:hAnsi="Verdana" w:cstheme="minorHAnsi"/>
          <w:bCs/>
          <w:kern w:val="0"/>
          <w:lang w:eastAsia="en-US"/>
          <w14:ligatures w14:val="none"/>
        </w:rPr>
        <w:t>(Accessed: 20 April 2026)</w:t>
      </w:r>
      <w:r w:rsidR="001010C7">
        <w:rPr>
          <w:rFonts w:ascii="Verdana" w:eastAsiaTheme="minorHAnsi" w:hAnsi="Verdana" w:cstheme="minorHAnsi"/>
          <w:bCs/>
          <w:kern w:val="0"/>
          <w:lang w:eastAsia="en-US"/>
          <w14:ligatures w14:val="none"/>
        </w:rPr>
        <w:t>.</w:t>
      </w:r>
    </w:p>
    <w:p w14:paraId="39811E15" w14:textId="5F64DEB9" w:rsidR="0094004B" w:rsidRPr="0006788A" w:rsidRDefault="0094004B" w:rsidP="0094004B">
      <w:pPr>
        <w:rPr>
          <w:rFonts w:ascii="Verdana" w:hAnsi="Verdana"/>
        </w:rPr>
      </w:pPr>
      <w:r w:rsidRPr="0006788A">
        <w:rPr>
          <w:rFonts w:ascii="Verdana" w:hAnsi="Verdana"/>
        </w:rPr>
        <w:t>CIPD (2023</w:t>
      </w:r>
      <w:r w:rsidR="006C327B" w:rsidRPr="0006788A">
        <w:rPr>
          <w:rFonts w:ascii="Verdana" w:hAnsi="Verdana"/>
        </w:rPr>
        <w:t>a</w:t>
      </w:r>
      <w:r w:rsidRPr="0006788A">
        <w:rPr>
          <w:rFonts w:ascii="Verdana" w:hAnsi="Verdana"/>
        </w:rPr>
        <w:t xml:space="preserve">) </w:t>
      </w:r>
      <w:r w:rsidRPr="001010C7">
        <w:rPr>
          <w:rFonts w:ascii="Verdana" w:hAnsi="Verdana"/>
          <w:i/>
          <w:iCs/>
        </w:rPr>
        <w:t>Wellbeing at work</w:t>
      </w:r>
      <w:r w:rsidRPr="0006788A">
        <w:rPr>
          <w:rFonts w:ascii="Verdana" w:hAnsi="Verdana"/>
        </w:rPr>
        <w:t xml:space="preserve">. Available at: </w:t>
      </w:r>
      <w:hyperlink r:id="rId13" w:history="1">
        <w:r w:rsidRPr="0006788A">
          <w:rPr>
            <w:rStyle w:val="Hyperlink"/>
            <w:rFonts w:ascii="Verdana" w:hAnsi="Verdana"/>
          </w:rPr>
          <w:t>https://www.cipd.org/uk/knowledge/factsheets/well-being-factsheet/</w:t>
        </w:r>
      </w:hyperlink>
      <w:r w:rsidRPr="0006788A">
        <w:rPr>
          <w:rFonts w:ascii="Verdana" w:hAnsi="Verdana"/>
        </w:rPr>
        <w:t xml:space="preserve"> (Accessed: 19 April 2026)</w:t>
      </w:r>
      <w:r w:rsidR="001010C7">
        <w:rPr>
          <w:rFonts w:ascii="Verdana" w:hAnsi="Verdana"/>
        </w:rPr>
        <w:t>.</w:t>
      </w:r>
    </w:p>
    <w:p w14:paraId="296BDF7A" w14:textId="3BC13899" w:rsidR="0094004B" w:rsidRPr="0006788A" w:rsidRDefault="0094004B" w:rsidP="0094004B">
      <w:pPr>
        <w:rPr>
          <w:rFonts w:ascii="Verdana" w:hAnsi="Verdana"/>
        </w:rPr>
      </w:pPr>
      <w:r w:rsidRPr="0006788A">
        <w:rPr>
          <w:rFonts w:ascii="Verdana" w:hAnsi="Verdana"/>
        </w:rPr>
        <w:t>CIPD (2023</w:t>
      </w:r>
      <w:r w:rsidR="006F47A8" w:rsidRPr="0006788A">
        <w:rPr>
          <w:rFonts w:ascii="Verdana" w:hAnsi="Verdana"/>
        </w:rPr>
        <w:t>b</w:t>
      </w:r>
      <w:r w:rsidRPr="0006788A">
        <w:rPr>
          <w:rFonts w:ascii="Verdana" w:hAnsi="Verdana"/>
        </w:rPr>
        <w:t xml:space="preserve">) </w:t>
      </w:r>
      <w:r w:rsidRPr="0006788A">
        <w:rPr>
          <w:rFonts w:ascii="Verdana" w:hAnsi="Verdana"/>
          <w:i/>
          <w:iCs/>
        </w:rPr>
        <w:t>Health and wellbeing at work survey</w:t>
      </w:r>
      <w:r w:rsidRPr="0006788A">
        <w:rPr>
          <w:rFonts w:ascii="Verdana" w:hAnsi="Verdana"/>
        </w:rPr>
        <w:t>. Chartered Institute of Personnel and Development.</w:t>
      </w:r>
      <w:r w:rsidR="00B1605E" w:rsidRPr="0006788A">
        <w:rPr>
          <w:rFonts w:ascii="Verdana" w:hAnsi="Verdana"/>
        </w:rPr>
        <w:t xml:space="preserve"> (Accessed: 19 April 2026)</w:t>
      </w:r>
      <w:r w:rsidR="001010C7">
        <w:rPr>
          <w:rFonts w:ascii="Verdana" w:hAnsi="Verdana"/>
        </w:rPr>
        <w:t>.</w:t>
      </w:r>
    </w:p>
    <w:p w14:paraId="05E9D1EF" w14:textId="5F71576C" w:rsidR="008F1E52" w:rsidRPr="008F1E52" w:rsidRDefault="006F47A8" w:rsidP="008F1E52">
      <w:pPr>
        <w:rPr>
          <w:rFonts w:ascii="Verdana" w:hAnsi="Verdana"/>
        </w:rPr>
      </w:pPr>
      <w:r w:rsidRPr="0006788A">
        <w:rPr>
          <w:rFonts w:ascii="Verdana" w:hAnsi="Verdana"/>
        </w:rPr>
        <w:lastRenderedPageBreak/>
        <w:t>CIPD (2023c) Financial wellbeing and mental health</w:t>
      </w:r>
      <w:r w:rsidRPr="008F1E52">
        <w:rPr>
          <w:rFonts w:ascii="Verdana" w:hAnsi="Verdana"/>
        </w:rPr>
        <w:t xml:space="preserve">.  </w:t>
      </w:r>
      <w:r w:rsidR="00D35774" w:rsidRPr="008F1E52">
        <w:rPr>
          <w:rFonts w:ascii="Verdana" w:hAnsi="Verdana"/>
        </w:rPr>
        <w:t>Available at:</w:t>
      </w:r>
      <w:r w:rsidR="008F1E52">
        <w:rPr>
          <w:rFonts w:ascii="Verdana" w:hAnsi="Verdana"/>
        </w:rPr>
        <w:t xml:space="preserve"> </w:t>
      </w:r>
      <w:r w:rsidR="008F1E52" w:rsidRPr="008F1E52">
        <w:rPr>
          <w:rFonts w:ascii="Verdana" w:hAnsi="Verdana"/>
        </w:rPr>
        <w:t xml:space="preserve">Available at: </w:t>
      </w:r>
      <w:hyperlink r:id="rId14" w:history="1">
        <w:r w:rsidR="008F1E52" w:rsidRPr="001A35EA">
          <w:rPr>
            <w:rStyle w:val="Hyperlink"/>
            <w:rFonts w:ascii="Verdana" w:hAnsi="Verdana"/>
          </w:rPr>
          <w:t>https://www.cipd.org/uk/knowledge/factsheets/financial-wellbeing-and-mental-health-factsheet/</w:t>
        </w:r>
      </w:hyperlink>
      <w:r w:rsidR="008F1E52">
        <w:rPr>
          <w:rFonts w:ascii="Verdana" w:hAnsi="Verdana"/>
        </w:rPr>
        <w:t xml:space="preserve"> </w:t>
      </w:r>
      <w:r w:rsidR="008F1E52" w:rsidRPr="0006788A">
        <w:rPr>
          <w:rFonts w:ascii="Verdana" w:hAnsi="Verdana"/>
        </w:rPr>
        <w:t>(Accessed: 19 April 2026)</w:t>
      </w:r>
      <w:r w:rsidR="008F1E52">
        <w:rPr>
          <w:rFonts w:ascii="Verdana" w:hAnsi="Verdana"/>
        </w:rPr>
        <w:t>.</w:t>
      </w:r>
    </w:p>
    <w:p w14:paraId="6F4802DB" w14:textId="34584E5B" w:rsidR="004226AA" w:rsidRPr="004226AA" w:rsidRDefault="00FC6B4A" w:rsidP="004226AA">
      <w:pPr>
        <w:rPr>
          <w:rFonts w:ascii="Verdana" w:hAnsi="Verdana"/>
        </w:rPr>
      </w:pPr>
      <w:r w:rsidRPr="0006788A">
        <w:rPr>
          <w:rFonts w:ascii="Verdana" w:hAnsi="Verdana"/>
        </w:rPr>
        <w:t>CIPD (2024</w:t>
      </w:r>
      <w:r w:rsidR="00F030C5" w:rsidRPr="0006788A">
        <w:rPr>
          <w:rFonts w:ascii="Verdana" w:hAnsi="Verdana"/>
        </w:rPr>
        <w:t>a</w:t>
      </w:r>
      <w:r w:rsidRPr="0006788A">
        <w:rPr>
          <w:rFonts w:ascii="Verdana" w:hAnsi="Verdana"/>
        </w:rPr>
        <w:t xml:space="preserve">) Labour market outlook.  </w:t>
      </w:r>
      <w:r w:rsidRPr="003A48EF">
        <w:rPr>
          <w:rFonts w:ascii="Verdana" w:hAnsi="Verdana"/>
        </w:rPr>
        <w:t>Available at:</w:t>
      </w:r>
      <w:r w:rsidRPr="0006788A">
        <w:rPr>
          <w:rFonts w:ascii="Verdana" w:hAnsi="Verdana"/>
        </w:rPr>
        <w:t xml:space="preserve"> </w:t>
      </w:r>
      <w:hyperlink r:id="rId15" w:history="1">
        <w:r w:rsidR="004226AA" w:rsidRPr="001A35EA">
          <w:rPr>
            <w:rStyle w:val="Hyperlink"/>
            <w:rFonts w:ascii="Verdana" w:hAnsi="Verdana"/>
          </w:rPr>
          <w:t>https://www.cipd.org/uk/knowledge/reports/labour-market-outlook/</w:t>
        </w:r>
      </w:hyperlink>
      <w:r w:rsidR="004226AA">
        <w:rPr>
          <w:rFonts w:ascii="Verdana" w:hAnsi="Verdana"/>
        </w:rPr>
        <w:t xml:space="preserve"> </w:t>
      </w:r>
      <w:r w:rsidR="004226AA" w:rsidRPr="0006788A">
        <w:rPr>
          <w:rFonts w:ascii="Verdana" w:hAnsi="Verdana"/>
        </w:rPr>
        <w:t xml:space="preserve">(Accessed: </w:t>
      </w:r>
      <w:r w:rsidR="004226AA">
        <w:rPr>
          <w:rFonts w:ascii="Verdana" w:hAnsi="Verdana"/>
        </w:rPr>
        <w:t>08</w:t>
      </w:r>
      <w:r w:rsidR="004226AA" w:rsidRPr="0006788A">
        <w:rPr>
          <w:rFonts w:ascii="Verdana" w:hAnsi="Verdana"/>
        </w:rPr>
        <w:t xml:space="preserve"> </w:t>
      </w:r>
      <w:r w:rsidR="004226AA">
        <w:rPr>
          <w:rFonts w:ascii="Verdana" w:hAnsi="Verdana"/>
        </w:rPr>
        <w:t>May</w:t>
      </w:r>
      <w:r w:rsidR="004226AA" w:rsidRPr="0006788A">
        <w:rPr>
          <w:rFonts w:ascii="Verdana" w:hAnsi="Verdana"/>
        </w:rPr>
        <w:t xml:space="preserve"> 2026)</w:t>
      </w:r>
      <w:r w:rsidR="004226AA">
        <w:rPr>
          <w:rFonts w:ascii="Verdana" w:hAnsi="Verdana"/>
        </w:rPr>
        <w:t>.</w:t>
      </w:r>
    </w:p>
    <w:p w14:paraId="7AF1F43B" w14:textId="3ADBC775" w:rsidR="00BE31F3" w:rsidRPr="00BE31F3" w:rsidRDefault="00F030C5" w:rsidP="00BE31F3">
      <w:pPr>
        <w:rPr>
          <w:rFonts w:ascii="Verdana" w:hAnsi="Verdana"/>
        </w:rPr>
      </w:pPr>
      <w:r w:rsidRPr="0006788A">
        <w:rPr>
          <w:rFonts w:ascii="Verdana" w:hAnsi="Verdana"/>
        </w:rPr>
        <w:t xml:space="preserve">CIPD (2024b) Managing an ageing workforce.  </w:t>
      </w:r>
      <w:r w:rsidRPr="003A48EF">
        <w:rPr>
          <w:rFonts w:ascii="Verdana" w:hAnsi="Verdana"/>
        </w:rPr>
        <w:t>Available at:</w:t>
      </w:r>
      <w:r w:rsidRPr="0006788A">
        <w:rPr>
          <w:rFonts w:ascii="Verdana" w:hAnsi="Verdana"/>
        </w:rPr>
        <w:t xml:space="preserve"> </w:t>
      </w:r>
      <w:hyperlink r:id="rId16" w:history="1">
        <w:r w:rsidR="00BE31F3" w:rsidRPr="001A35EA">
          <w:rPr>
            <w:rStyle w:val="Hyperlink"/>
            <w:rFonts w:ascii="Verdana" w:hAnsi="Verdana"/>
          </w:rPr>
          <w:t>https://www.cipd.org/uk/knowledge/reports/understanding-older-workers/</w:t>
        </w:r>
      </w:hyperlink>
      <w:r w:rsidR="00BE31F3">
        <w:rPr>
          <w:rFonts w:ascii="Verdana" w:hAnsi="Verdana"/>
        </w:rPr>
        <w:t xml:space="preserve"> (Accessed: 05 May 2026).</w:t>
      </w:r>
    </w:p>
    <w:p w14:paraId="788E6469" w14:textId="4813CBBC" w:rsidR="006973DB" w:rsidRPr="0006788A" w:rsidRDefault="006973DB" w:rsidP="006973DB">
      <w:pPr>
        <w:rPr>
          <w:rFonts w:ascii="Verdana" w:hAnsi="Verdana"/>
        </w:rPr>
      </w:pPr>
      <w:r w:rsidRPr="0006788A">
        <w:rPr>
          <w:rFonts w:ascii="Verdana" w:hAnsi="Verdana"/>
        </w:rPr>
        <w:t>CIPD (2025</w:t>
      </w:r>
      <w:r w:rsidR="00FE6704" w:rsidRPr="0006788A">
        <w:rPr>
          <w:rFonts w:ascii="Verdana" w:hAnsi="Verdana"/>
        </w:rPr>
        <w:t>a</w:t>
      </w:r>
      <w:r w:rsidRPr="0006788A">
        <w:rPr>
          <w:rFonts w:ascii="Verdana" w:hAnsi="Verdana"/>
        </w:rPr>
        <w:t xml:space="preserve">) Health and wellbeing at work. Available at: </w:t>
      </w:r>
      <w:hyperlink r:id="rId17" w:history="1">
        <w:r w:rsidR="00B1605E" w:rsidRPr="0006788A">
          <w:rPr>
            <w:rStyle w:val="Hyperlink"/>
            <w:rFonts w:ascii="Verdana" w:hAnsi="Verdana"/>
          </w:rPr>
          <w:t>https://www.cipd.org/uk/knowledge/factsheets/health-wellbeing/</w:t>
        </w:r>
      </w:hyperlink>
      <w:r w:rsidR="00B1605E" w:rsidRPr="0006788A">
        <w:rPr>
          <w:rFonts w:ascii="Verdana" w:hAnsi="Verdana"/>
        </w:rPr>
        <w:t xml:space="preserve"> (Accessed: 19 April 2026)</w:t>
      </w:r>
      <w:r w:rsidR="00347333">
        <w:rPr>
          <w:rFonts w:ascii="Verdana" w:hAnsi="Verdana"/>
        </w:rPr>
        <w:t>.</w:t>
      </w:r>
    </w:p>
    <w:p w14:paraId="2E697067" w14:textId="3A7BB926" w:rsidR="00581E2A" w:rsidRPr="0006788A" w:rsidRDefault="00581E2A" w:rsidP="006973DB">
      <w:pPr>
        <w:rPr>
          <w:rFonts w:ascii="Verdana" w:hAnsi="Verdana"/>
        </w:rPr>
      </w:pPr>
      <w:r w:rsidRPr="0006788A">
        <w:rPr>
          <w:rFonts w:ascii="Verdana" w:hAnsi="Verdana"/>
        </w:rPr>
        <w:t xml:space="preserve">CIPD (2025b) </w:t>
      </w:r>
      <w:r w:rsidR="00FE6704" w:rsidRPr="0006788A">
        <w:rPr>
          <w:rFonts w:ascii="Verdana" w:hAnsi="Verdana"/>
        </w:rPr>
        <w:t xml:space="preserve">Reward: An Introduction. Available at: </w:t>
      </w:r>
      <w:hyperlink r:id="rId18" w:history="1">
        <w:r w:rsidR="00FE6704" w:rsidRPr="0006788A">
          <w:rPr>
            <w:rStyle w:val="Hyperlink"/>
            <w:rFonts w:ascii="Verdana" w:hAnsi="Verdana"/>
          </w:rPr>
          <w:t>https://www.cipd.org/uk/knowledge/factsheets/reward-factsheet/</w:t>
        </w:r>
      </w:hyperlink>
      <w:r w:rsidR="00FE6704" w:rsidRPr="0006788A">
        <w:rPr>
          <w:rFonts w:ascii="Verdana" w:hAnsi="Verdana"/>
        </w:rPr>
        <w:t xml:space="preserve"> (Accessed: 19 April 2026)</w:t>
      </w:r>
      <w:r w:rsidR="00347333">
        <w:rPr>
          <w:rFonts w:ascii="Verdana" w:hAnsi="Verdana"/>
        </w:rPr>
        <w:t>.</w:t>
      </w:r>
    </w:p>
    <w:p w14:paraId="5245A19C" w14:textId="377AB614" w:rsidR="001C2224" w:rsidRPr="0006788A" w:rsidRDefault="000E1347" w:rsidP="001C2224">
      <w:pPr>
        <w:rPr>
          <w:rFonts w:ascii="Verdana" w:hAnsi="Verdana"/>
        </w:rPr>
      </w:pPr>
      <w:r w:rsidRPr="0006788A">
        <w:rPr>
          <w:rFonts w:ascii="Verdana" w:hAnsi="Verdana"/>
        </w:rPr>
        <w:t xml:space="preserve">CIPD (2025c) Good Work Index 2025.  Available at: </w:t>
      </w:r>
      <w:hyperlink r:id="rId19" w:history="1">
        <w:r w:rsidR="001C2224" w:rsidRPr="0006788A">
          <w:rPr>
            <w:rStyle w:val="Hyperlink"/>
            <w:rFonts w:ascii="Verdana" w:hAnsi="Verdana"/>
          </w:rPr>
          <w:t>https://www.cipd.org/uk/knowledge/research/goodwork/</w:t>
        </w:r>
      </w:hyperlink>
      <w:r w:rsidR="001C2224" w:rsidRPr="0006788A">
        <w:rPr>
          <w:rFonts w:ascii="Verdana" w:hAnsi="Verdana"/>
        </w:rPr>
        <w:t xml:space="preserve"> (Accessed: 19 April 2026)</w:t>
      </w:r>
      <w:r w:rsidR="00347333">
        <w:rPr>
          <w:rFonts w:ascii="Verdana" w:hAnsi="Verdana"/>
        </w:rPr>
        <w:t>.</w:t>
      </w:r>
    </w:p>
    <w:p w14:paraId="55E9FF55" w14:textId="79A7FDD8" w:rsidR="002F4E8E" w:rsidRPr="0006788A" w:rsidRDefault="002F4E8E" w:rsidP="001C2224">
      <w:pPr>
        <w:rPr>
          <w:rFonts w:ascii="Verdana" w:hAnsi="Verdana"/>
        </w:rPr>
      </w:pPr>
      <w:r w:rsidRPr="0006788A">
        <w:rPr>
          <w:rFonts w:ascii="Verdana" w:hAnsi="Verdana"/>
        </w:rPr>
        <w:t xml:space="preserve">CIPD (2025d) Wellbeing at Work.  Available at: </w:t>
      </w:r>
      <w:hyperlink r:id="rId20" w:anchor="a-holistic-approach-to-wellbeing" w:history="1">
        <w:r w:rsidR="00252181" w:rsidRPr="0006788A">
          <w:rPr>
            <w:rStyle w:val="Hyperlink"/>
            <w:rFonts w:ascii="Verdana" w:hAnsi="Verdana"/>
          </w:rPr>
          <w:t>https://www.cipd.org/en/knowledge/factsheets/well-being-factsheet/#a-holistic-approach-to-wellbeing</w:t>
        </w:r>
      </w:hyperlink>
      <w:r w:rsidR="00252181" w:rsidRPr="0006788A">
        <w:rPr>
          <w:rFonts w:ascii="Verdana" w:hAnsi="Verdana"/>
        </w:rPr>
        <w:t xml:space="preserve"> (Accessed: 03 May 2026)</w:t>
      </w:r>
      <w:r w:rsidR="00347333">
        <w:rPr>
          <w:rFonts w:ascii="Verdana" w:hAnsi="Verdana"/>
        </w:rPr>
        <w:t>.</w:t>
      </w:r>
    </w:p>
    <w:p w14:paraId="68AF5890" w14:textId="3CC24CD7" w:rsidR="00823D56" w:rsidRPr="0006788A" w:rsidRDefault="00823D56" w:rsidP="0094004B">
      <w:pPr>
        <w:rPr>
          <w:rFonts w:ascii="Verdana" w:hAnsi="Verdana"/>
        </w:rPr>
      </w:pPr>
      <w:r w:rsidRPr="0006788A">
        <w:rPr>
          <w:rFonts w:ascii="Verdana" w:hAnsi="Verdana"/>
        </w:rPr>
        <w:t>CIPD (2026</w:t>
      </w:r>
      <w:r w:rsidR="00407424" w:rsidRPr="0006788A">
        <w:rPr>
          <w:rFonts w:ascii="Verdana" w:hAnsi="Verdana"/>
        </w:rPr>
        <w:t>a</w:t>
      </w:r>
      <w:r w:rsidRPr="0006788A">
        <w:rPr>
          <w:rFonts w:ascii="Verdana" w:hAnsi="Verdana"/>
        </w:rPr>
        <w:t>)</w:t>
      </w:r>
      <w:r w:rsidR="001B7EF4" w:rsidRPr="0006788A">
        <w:rPr>
          <w:rFonts w:ascii="Verdana" w:hAnsi="Verdana"/>
        </w:rPr>
        <w:t xml:space="preserve"> Employee health and wellbeing.  Available at:</w:t>
      </w:r>
      <w:r w:rsidRPr="0006788A">
        <w:rPr>
          <w:rFonts w:ascii="Verdana" w:hAnsi="Verdana"/>
        </w:rPr>
        <w:t xml:space="preserve"> </w:t>
      </w:r>
      <w:hyperlink r:id="rId21" w:history="1">
        <w:r w:rsidR="00407424" w:rsidRPr="0006788A">
          <w:rPr>
            <w:rStyle w:val="Hyperlink"/>
            <w:rFonts w:ascii="Verdana" w:hAnsi="Verdana"/>
          </w:rPr>
          <w:t>https://www.cipd.org/en/views-and-insights/cipd-viewpoint/employee-health-wellbeing/</w:t>
        </w:r>
      </w:hyperlink>
      <w:r w:rsidR="00407424" w:rsidRPr="0006788A">
        <w:rPr>
          <w:rFonts w:ascii="Verdana" w:hAnsi="Verdana"/>
        </w:rPr>
        <w:t xml:space="preserve"> (Accessed: 28 April 2026)</w:t>
      </w:r>
      <w:r w:rsidR="00347333">
        <w:rPr>
          <w:rFonts w:ascii="Verdana" w:hAnsi="Verdana"/>
        </w:rPr>
        <w:t>.</w:t>
      </w:r>
    </w:p>
    <w:p w14:paraId="57527FC2" w14:textId="050ABA3D" w:rsidR="00407424" w:rsidRPr="0006788A" w:rsidRDefault="00407424" w:rsidP="00407424">
      <w:pPr>
        <w:rPr>
          <w:rFonts w:ascii="Verdana" w:hAnsi="Verdana"/>
        </w:rPr>
      </w:pPr>
      <w:r w:rsidRPr="0006788A">
        <w:rPr>
          <w:rFonts w:ascii="Verdana" w:hAnsi="Verdana"/>
        </w:rPr>
        <w:t>CIPD (2026b) Wellbeing strategy and organisational culture. Available at:</w:t>
      </w:r>
      <w:r w:rsidRPr="0006788A">
        <w:rPr>
          <w:rFonts w:ascii="Verdana" w:hAnsi="Verdana"/>
        </w:rPr>
        <w:br/>
      </w:r>
      <w:hyperlink r:id="rId22" w:history="1">
        <w:r w:rsidRPr="0006788A">
          <w:rPr>
            <w:rStyle w:val="Hyperlink"/>
            <w:rFonts w:ascii="Verdana" w:hAnsi="Verdana"/>
          </w:rPr>
          <w:t>https://www.cipd.org/uk/knowledge/strategy/wellbeing/</w:t>
        </w:r>
      </w:hyperlink>
      <w:r w:rsidRPr="0006788A">
        <w:rPr>
          <w:rFonts w:ascii="Verdana" w:hAnsi="Verdana"/>
        </w:rPr>
        <w:t xml:space="preserve"> (Accessed: 28 April 2026)</w:t>
      </w:r>
      <w:r w:rsidR="00347333">
        <w:rPr>
          <w:rFonts w:ascii="Verdana" w:hAnsi="Verdana"/>
        </w:rPr>
        <w:t>.</w:t>
      </w:r>
    </w:p>
    <w:p w14:paraId="01B54B69" w14:textId="77777777" w:rsidR="00347333" w:rsidRPr="0006788A" w:rsidRDefault="002458DC" w:rsidP="00347333">
      <w:pPr>
        <w:rPr>
          <w:rFonts w:ascii="Verdana" w:hAnsi="Verdana"/>
        </w:rPr>
      </w:pPr>
      <w:r w:rsidRPr="002458DC">
        <w:rPr>
          <w:rFonts w:ascii="Verdana" w:hAnsi="Verdana"/>
        </w:rPr>
        <w:t xml:space="preserve">Clarke, G. M., Conti, S., Wolters, A. T., </w:t>
      </w:r>
      <w:r w:rsidR="00347333">
        <w:rPr>
          <w:rFonts w:ascii="Verdana" w:hAnsi="Verdana"/>
        </w:rPr>
        <w:t>and</w:t>
      </w:r>
      <w:r w:rsidRPr="002458DC">
        <w:rPr>
          <w:rFonts w:ascii="Verdana" w:hAnsi="Verdana"/>
        </w:rPr>
        <w:t xml:space="preserve"> Steventon, A. (2019)</w:t>
      </w:r>
      <w:r w:rsidR="00347333">
        <w:rPr>
          <w:rFonts w:ascii="Verdana" w:hAnsi="Verdana"/>
        </w:rPr>
        <w:t xml:space="preserve"> ‘</w:t>
      </w:r>
      <w:r w:rsidRPr="002458DC">
        <w:rPr>
          <w:rFonts w:ascii="Verdana" w:hAnsi="Verdana"/>
        </w:rPr>
        <w:t>Evaluating the impact of healthcare interventions using routine</w:t>
      </w:r>
      <w:r w:rsidRPr="002458DC">
        <w:rPr>
          <w:rFonts w:ascii="Verdana" w:hAnsi="Verdana"/>
          <w:i/>
          <w:iCs/>
        </w:rPr>
        <w:t xml:space="preserve"> </w:t>
      </w:r>
      <w:r w:rsidRPr="002458DC">
        <w:rPr>
          <w:rFonts w:ascii="Verdana" w:hAnsi="Verdana"/>
        </w:rPr>
        <w:t>data</w:t>
      </w:r>
      <w:r w:rsidR="00347333" w:rsidRPr="00347333">
        <w:rPr>
          <w:rFonts w:ascii="Verdana" w:hAnsi="Verdana"/>
        </w:rPr>
        <w:t xml:space="preserve">’, </w:t>
      </w:r>
      <w:r w:rsidRPr="002458DC">
        <w:rPr>
          <w:rFonts w:ascii="Verdana" w:hAnsi="Verdana"/>
          <w:i/>
          <w:iCs/>
        </w:rPr>
        <w:t>B</w:t>
      </w:r>
      <w:r w:rsidR="00347333" w:rsidRPr="00347333">
        <w:rPr>
          <w:rFonts w:ascii="Verdana" w:hAnsi="Verdana"/>
          <w:i/>
          <w:iCs/>
        </w:rPr>
        <w:t>ritish</w:t>
      </w:r>
      <w:r w:rsidR="00347333">
        <w:rPr>
          <w:rFonts w:ascii="Verdana" w:hAnsi="Verdana"/>
          <w:i/>
          <w:iCs/>
        </w:rPr>
        <w:t xml:space="preserve"> Medical Journal</w:t>
      </w:r>
      <w:r w:rsidRPr="002458DC">
        <w:rPr>
          <w:rFonts w:ascii="Verdana" w:hAnsi="Verdana"/>
        </w:rPr>
        <w:t>, 365, l2239.</w:t>
      </w:r>
      <w:r w:rsidR="00347333">
        <w:rPr>
          <w:rFonts w:ascii="Verdana" w:hAnsi="Verdana"/>
        </w:rPr>
        <w:t xml:space="preserve">  </w:t>
      </w:r>
      <w:r w:rsidRPr="0006788A">
        <w:rPr>
          <w:rFonts w:ascii="Verdana" w:hAnsi="Verdana"/>
        </w:rPr>
        <w:t xml:space="preserve">Available at: </w:t>
      </w:r>
      <w:hyperlink r:id="rId23" w:history="1">
        <w:r w:rsidR="00347333" w:rsidRPr="002458DC">
          <w:rPr>
            <w:rStyle w:val="Hyperlink"/>
            <w:rFonts w:ascii="Verdana" w:hAnsi="Verdana"/>
          </w:rPr>
          <w:t>https://doi.org/10.1136/bmj.l2239</w:t>
        </w:r>
      </w:hyperlink>
      <w:r w:rsidR="00347333">
        <w:rPr>
          <w:rFonts w:ascii="Verdana" w:hAnsi="Verdana"/>
        </w:rPr>
        <w:t xml:space="preserve"> </w:t>
      </w:r>
      <w:r w:rsidR="00347333" w:rsidRPr="0006788A">
        <w:rPr>
          <w:rFonts w:ascii="Verdana" w:hAnsi="Verdana"/>
        </w:rPr>
        <w:t>(Accessed: 28 April 2026)</w:t>
      </w:r>
      <w:r w:rsidR="00347333">
        <w:rPr>
          <w:rFonts w:ascii="Verdana" w:hAnsi="Verdana"/>
        </w:rPr>
        <w:t>.</w:t>
      </w:r>
    </w:p>
    <w:p w14:paraId="45A37C96" w14:textId="5B306F8E" w:rsidR="007B2A45" w:rsidRPr="0006788A" w:rsidRDefault="007B2A45" w:rsidP="0094004B">
      <w:pPr>
        <w:rPr>
          <w:rFonts w:ascii="Verdana" w:hAnsi="Verdana"/>
        </w:rPr>
      </w:pPr>
      <w:r w:rsidRPr="0006788A">
        <w:rPr>
          <w:rFonts w:ascii="Verdana" w:hAnsi="Verdana"/>
        </w:rPr>
        <w:t xml:space="preserve">Cohen, C., </w:t>
      </w:r>
      <w:proofErr w:type="spellStart"/>
      <w:r w:rsidRPr="0006788A">
        <w:rPr>
          <w:rFonts w:ascii="Verdana" w:hAnsi="Verdana"/>
        </w:rPr>
        <w:t>Pignata</w:t>
      </w:r>
      <w:proofErr w:type="spellEnd"/>
      <w:r w:rsidRPr="0006788A">
        <w:rPr>
          <w:rFonts w:ascii="Verdana" w:hAnsi="Verdana"/>
        </w:rPr>
        <w:t xml:space="preserve">, S., Bezak, E., Tie, M., </w:t>
      </w:r>
      <w:r w:rsidR="00347333">
        <w:rPr>
          <w:rFonts w:ascii="Verdana" w:hAnsi="Verdana"/>
        </w:rPr>
        <w:t>and</w:t>
      </w:r>
      <w:r w:rsidRPr="0006788A">
        <w:rPr>
          <w:rFonts w:ascii="Verdana" w:hAnsi="Verdana"/>
        </w:rPr>
        <w:t xml:space="preserve"> Childs, J. (2023) </w:t>
      </w:r>
      <w:r w:rsidR="00347333">
        <w:rPr>
          <w:rFonts w:ascii="Verdana" w:hAnsi="Verdana"/>
        </w:rPr>
        <w:t>‘</w:t>
      </w:r>
      <w:r w:rsidRPr="0006788A">
        <w:rPr>
          <w:rFonts w:ascii="Verdana" w:hAnsi="Verdana"/>
        </w:rPr>
        <w:t>Workplace interventions to improve well-being and reduce burnout for nurses, physicians and allied healthcare professionals: a systematic review. </w:t>
      </w:r>
      <w:r w:rsidRPr="0006788A">
        <w:rPr>
          <w:rFonts w:ascii="Verdana" w:hAnsi="Verdana"/>
          <w:i/>
          <w:iCs/>
        </w:rPr>
        <w:t>BMJ open</w:t>
      </w:r>
      <w:r w:rsidRPr="0006788A">
        <w:rPr>
          <w:rFonts w:ascii="Verdana" w:hAnsi="Verdana"/>
        </w:rPr>
        <w:t>, </w:t>
      </w:r>
      <w:r w:rsidRPr="0006788A">
        <w:rPr>
          <w:rFonts w:ascii="Verdana" w:hAnsi="Verdana"/>
          <w:i/>
          <w:iCs/>
        </w:rPr>
        <w:t>13</w:t>
      </w:r>
      <w:r w:rsidRPr="0006788A">
        <w:rPr>
          <w:rFonts w:ascii="Verdana" w:hAnsi="Verdana"/>
        </w:rPr>
        <w:t>(6), e071203.</w:t>
      </w:r>
      <w:r w:rsidR="00347333">
        <w:rPr>
          <w:rFonts w:ascii="Verdana" w:hAnsi="Verdana"/>
        </w:rPr>
        <w:t xml:space="preserve"> Available at:</w:t>
      </w:r>
      <w:r w:rsidRPr="0006788A">
        <w:rPr>
          <w:rFonts w:ascii="Verdana" w:hAnsi="Verdana"/>
        </w:rPr>
        <w:t xml:space="preserve"> </w:t>
      </w:r>
      <w:hyperlink r:id="rId24" w:history="1">
        <w:r w:rsidRPr="0006788A">
          <w:rPr>
            <w:rStyle w:val="Hyperlink"/>
            <w:rFonts w:ascii="Verdana" w:hAnsi="Verdana"/>
          </w:rPr>
          <w:t>https://doi.org/10.1136/bmjopen-2022-071203</w:t>
        </w:r>
      </w:hyperlink>
    </w:p>
    <w:p w14:paraId="2EE624A6" w14:textId="1A6F5B1A" w:rsidR="00D661BE" w:rsidRPr="0006788A" w:rsidRDefault="00F65FB4" w:rsidP="0094004B">
      <w:pPr>
        <w:rPr>
          <w:rFonts w:ascii="Verdana" w:hAnsi="Verdana"/>
        </w:rPr>
      </w:pPr>
      <w:r w:rsidRPr="0006788A">
        <w:rPr>
          <w:rFonts w:ascii="Verdana" w:hAnsi="Verdana"/>
        </w:rPr>
        <w:lastRenderedPageBreak/>
        <w:t xml:space="preserve">Cunningham, S., Fleming, W., Regier, C., Kaats, M., </w:t>
      </w:r>
      <w:r w:rsidR="00537E38">
        <w:rPr>
          <w:rFonts w:ascii="Verdana" w:hAnsi="Verdana"/>
        </w:rPr>
        <w:t>and</w:t>
      </w:r>
      <w:r w:rsidRPr="0006788A">
        <w:rPr>
          <w:rFonts w:ascii="Verdana" w:hAnsi="Verdana"/>
        </w:rPr>
        <w:t xml:space="preserve"> De Neve, J. (2024)</w:t>
      </w:r>
      <w:r w:rsidR="00347333">
        <w:rPr>
          <w:rFonts w:ascii="Verdana" w:hAnsi="Verdana"/>
        </w:rPr>
        <w:t>’</w:t>
      </w:r>
      <w:r w:rsidRPr="0006788A">
        <w:rPr>
          <w:rFonts w:ascii="Verdana" w:hAnsi="Verdana"/>
        </w:rPr>
        <w:t xml:space="preserve"> Work Wellbeing Playbook: A Systematic Review of Evidence Based Interventions to Improve Employee Wellbeing. World Wellbeing Movement</w:t>
      </w:r>
      <w:r w:rsidR="00537E38">
        <w:rPr>
          <w:rFonts w:ascii="Verdana" w:hAnsi="Verdana"/>
        </w:rPr>
        <w:t>’,</w:t>
      </w:r>
      <w:r w:rsidR="00E25681" w:rsidRPr="0006788A">
        <w:rPr>
          <w:rFonts w:ascii="Verdana" w:hAnsi="Verdana"/>
        </w:rPr>
        <w:t xml:space="preserve"> Available at: </w:t>
      </w:r>
      <w:hyperlink r:id="rId25" w:history="1">
        <w:r w:rsidR="00E25681" w:rsidRPr="0006788A">
          <w:rPr>
            <w:rStyle w:val="Hyperlink"/>
            <w:rFonts w:ascii="Verdana" w:hAnsi="Verdana"/>
          </w:rPr>
          <w:t>https://worldwellbeingmovement.org/wp-content/uploads/2024/11/Work-Wellbeing-Playbook.pdf</w:t>
        </w:r>
      </w:hyperlink>
      <w:r w:rsidR="00E25681" w:rsidRPr="0006788A">
        <w:rPr>
          <w:rFonts w:ascii="Verdana" w:hAnsi="Verdana"/>
        </w:rPr>
        <w:t xml:space="preserve"> (Accessed: 19 April 2026)</w:t>
      </w:r>
      <w:r w:rsidR="00537E38">
        <w:rPr>
          <w:rFonts w:ascii="Verdana" w:hAnsi="Verdana"/>
        </w:rPr>
        <w:t>.</w:t>
      </w:r>
    </w:p>
    <w:p w14:paraId="2279F144" w14:textId="766C35ED" w:rsidR="005C6029" w:rsidRPr="0006788A" w:rsidRDefault="005C6029" w:rsidP="0094004B">
      <w:pPr>
        <w:rPr>
          <w:rFonts w:ascii="Verdana" w:hAnsi="Verdana"/>
        </w:rPr>
      </w:pPr>
      <w:r w:rsidRPr="0006788A">
        <w:rPr>
          <w:rFonts w:ascii="Verdana" w:hAnsi="Verdana" w:cstheme="minorHAnsi"/>
          <w:bCs/>
        </w:rPr>
        <w:t>De Neve, J</w:t>
      </w:r>
      <w:r w:rsidRPr="0006788A">
        <w:rPr>
          <w:rFonts w:ascii="Verdana" w:hAnsi="Verdana" w:cstheme="minorHAnsi"/>
          <w:bCs/>
        </w:rPr>
        <w:noBreakHyphen/>
        <w:t xml:space="preserve">E., Kaats, M. </w:t>
      </w:r>
      <w:r w:rsidR="00537E38">
        <w:rPr>
          <w:rFonts w:ascii="Verdana" w:hAnsi="Verdana" w:cstheme="minorHAnsi"/>
          <w:bCs/>
        </w:rPr>
        <w:t>and</w:t>
      </w:r>
      <w:r w:rsidRPr="0006788A">
        <w:rPr>
          <w:rFonts w:ascii="Verdana" w:hAnsi="Verdana" w:cstheme="minorHAnsi"/>
          <w:bCs/>
        </w:rPr>
        <w:t xml:space="preserve"> Ward, G. (2024) </w:t>
      </w:r>
      <w:r w:rsidR="00537E38">
        <w:rPr>
          <w:rFonts w:ascii="Verdana" w:hAnsi="Verdana" w:cstheme="minorHAnsi"/>
          <w:bCs/>
        </w:rPr>
        <w:t>‘</w:t>
      </w:r>
      <w:r w:rsidRPr="00537E38">
        <w:rPr>
          <w:rFonts w:ascii="Verdana" w:hAnsi="Verdana" w:cstheme="minorHAnsi"/>
          <w:bCs/>
        </w:rPr>
        <w:t>Workplace Wellbeing and Firm Performance</w:t>
      </w:r>
      <w:r w:rsidR="00537E38" w:rsidRPr="00537E38">
        <w:rPr>
          <w:rFonts w:ascii="Verdana" w:hAnsi="Verdana" w:cstheme="minorHAnsi"/>
          <w:bCs/>
        </w:rPr>
        <w:t>’</w:t>
      </w:r>
      <w:r w:rsidRPr="0006788A">
        <w:rPr>
          <w:rFonts w:ascii="Verdana" w:hAnsi="Verdana" w:cstheme="minorHAnsi"/>
          <w:bCs/>
        </w:rPr>
        <w:t xml:space="preserve">, </w:t>
      </w:r>
      <w:r w:rsidRPr="00537E38">
        <w:rPr>
          <w:rFonts w:ascii="Verdana" w:hAnsi="Verdana" w:cstheme="minorHAnsi"/>
          <w:bCs/>
          <w:i/>
          <w:iCs/>
        </w:rPr>
        <w:t>University of Oxford Wellbeing Research Centre Working Paper</w:t>
      </w:r>
      <w:r w:rsidR="00537E38">
        <w:rPr>
          <w:rFonts w:ascii="Verdana" w:hAnsi="Verdana" w:cstheme="minorHAnsi"/>
          <w:bCs/>
          <w:i/>
          <w:iCs/>
        </w:rPr>
        <w:t>,</w:t>
      </w:r>
      <w:r w:rsidRPr="0006788A">
        <w:rPr>
          <w:rFonts w:ascii="Verdana" w:hAnsi="Verdana" w:cstheme="minorHAnsi"/>
          <w:bCs/>
        </w:rPr>
        <w:t xml:space="preserve"> 2304.</w:t>
      </w:r>
      <w:r w:rsidR="00537E38">
        <w:rPr>
          <w:rFonts w:ascii="Verdana" w:hAnsi="Verdana" w:cstheme="minorHAnsi"/>
          <w:bCs/>
        </w:rPr>
        <w:t xml:space="preserve"> Available at: </w:t>
      </w:r>
      <w:hyperlink r:id="rId26" w:history="1">
        <w:r w:rsidRPr="0006788A">
          <w:rPr>
            <w:rStyle w:val="Hyperlink"/>
            <w:rFonts w:ascii="Verdana" w:hAnsi="Verdana" w:cstheme="minorHAnsi"/>
            <w:bCs/>
            <w:color w:val="auto"/>
          </w:rPr>
          <w:t>https://doi.org/10.5287/ora-bpkbjayvk</w:t>
        </w:r>
      </w:hyperlink>
    </w:p>
    <w:p w14:paraId="631502B6" w14:textId="178B453E" w:rsidR="00DD7ECE" w:rsidRPr="0006788A" w:rsidRDefault="00DD7ECE" w:rsidP="00DD7ECE">
      <w:pPr>
        <w:rPr>
          <w:rFonts w:ascii="Verdana" w:hAnsi="Verdana" w:cstheme="minorHAnsi"/>
          <w:bCs/>
        </w:rPr>
      </w:pPr>
      <w:r w:rsidRPr="0006788A">
        <w:rPr>
          <w:rFonts w:ascii="Verdana" w:hAnsi="Verdana" w:cstheme="minorHAnsi"/>
        </w:rPr>
        <w:t xml:space="preserve">De Neve, J.-E., Cunningham, S., Fleming, W., Kaats, M., </w:t>
      </w:r>
      <w:r w:rsidR="00272A29">
        <w:rPr>
          <w:rFonts w:ascii="Verdana" w:hAnsi="Verdana" w:cstheme="minorHAnsi"/>
        </w:rPr>
        <w:t>and</w:t>
      </w:r>
      <w:r w:rsidRPr="0006788A">
        <w:rPr>
          <w:rFonts w:ascii="Verdana" w:hAnsi="Verdana" w:cstheme="minorHAnsi"/>
        </w:rPr>
        <w:t xml:space="preserve"> Regier, C. (2025)</w:t>
      </w:r>
      <w:r w:rsidR="00537E38">
        <w:rPr>
          <w:rFonts w:ascii="Verdana" w:hAnsi="Verdana" w:cstheme="minorHAnsi"/>
        </w:rPr>
        <w:t xml:space="preserve"> </w:t>
      </w:r>
      <w:r w:rsidR="00537E38" w:rsidRPr="00264865">
        <w:rPr>
          <w:rFonts w:ascii="Verdana" w:hAnsi="Verdana" w:cstheme="minorHAnsi"/>
        </w:rPr>
        <w:t>‘</w:t>
      </w:r>
      <w:r w:rsidRPr="00264865">
        <w:rPr>
          <w:rFonts w:ascii="Verdana" w:hAnsi="Verdana" w:cstheme="minorHAnsi"/>
          <w:bCs/>
        </w:rPr>
        <w:t>Work wellbeing playbook: A systematic review of evidence</w:t>
      </w:r>
      <w:r w:rsidRPr="00264865">
        <w:rPr>
          <w:rFonts w:ascii="Verdana" w:hAnsi="Verdana" w:cstheme="minorHAnsi"/>
          <w:bCs/>
        </w:rPr>
        <w:noBreakHyphen/>
        <w:t>based interventions to improve employee wellbeing</w:t>
      </w:r>
      <w:r w:rsidR="00537E38" w:rsidRPr="00264865">
        <w:rPr>
          <w:rFonts w:ascii="Verdana" w:hAnsi="Verdana" w:cstheme="minorHAnsi"/>
          <w:bCs/>
        </w:rPr>
        <w:t>’</w:t>
      </w:r>
      <w:r w:rsidR="00537E38">
        <w:rPr>
          <w:rFonts w:ascii="Verdana" w:hAnsi="Verdana" w:cstheme="minorHAnsi"/>
          <w:bCs/>
          <w:i/>
          <w:iCs/>
        </w:rPr>
        <w:t xml:space="preserve">, </w:t>
      </w:r>
      <w:r w:rsidRPr="00264865">
        <w:rPr>
          <w:rFonts w:ascii="Verdana" w:hAnsi="Verdana" w:cstheme="minorHAnsi"/>
          <w:bCs/>
          <w:i/>
          <w:iCs/>
        </w:rPr>
        <w:t>World Wellbeing Movement, University of Oxford Wellbeing Research Centre.</w:t>
      </w:r>
      <w:r w:rsidR="00264865">
        <w:rPr>
          <w:rFonts w:ascii="Verdana" w:hAnsi="Verdana" w:cstheme="minorHAnsi"/>
          <w:bCs/>
          <w:i/>
          <w:iCs/>
        </w:rPr>
        <w:t xml:space="preserve">  </w:t>
      </w:r>
      <w:r w:rsidRPr="0006788A">
        <w:rPr>
          <w:rFonts w:ascii="Verdana" w:hAnsi="Verdana" w:cstheme="minorHAnsi"/>
          <w:bCs/>
        </w:rPr>
        <w:t xml:space="preserve">Available at: </w:t>
      </w:r>
      <w:hyperlink r:id="rId27" w:history="1">
        <w:r w:rsidRPr="0006788A">
          <w:rPr>
            <w:rStyle w:val="Hyperlink"/>
            <w:rFonts w:ascii="Verdana" w:hAnsi="Verdana" w:cstheme="minorHAnsi"/>
            <w:bCs/>
          </w:rPr>
          <w:t>https://wellbeing.hmc.ox.ac.uk/publications/work-wellbeing-playbook/</w:t>
        </w:r>
      </w:hyperlink>
      <w:r w:rsidRPr="0006788A">
        <w:rPr>
          <w:rFonts w:ascii="Verdana" w:hAnsi="Verdana" w:cstheme="minorHAnsi"/>
          <w:bCs/>
        </w:rPr>
        <w:t xml:space="preserve"> </w:t>
      </w:r>
      <w:r w:rsidR="00E23CBB" w:rsidRPr="0006788A">
        <w:rPr>
          <w:rFonts w:ascii="Verdana" w:hAnsi="Verdana" w:cstheme="minorHAnsi"/>
          <w:bCs/>
        </w:rPr>
        <w:t>(</w:t>
      </w:r>
      <w:r w:rsidRPr="0006788A">
        <w:rPr>
          <w:rFonts w:ascii="Verdana" w:hAnsi="Verdana" w:cstheme="minorHAnsi"/>
          <w:bCs/>
        </w:rPr>
        <w:t>Accessed: 29 April 2026</w:t>
      </w:r>
      <w:r w:rsidR="00E23CBB" w:rsidRPr="0006788A">
        <w:rPr>
          <w:rFonts w:ascii="Verdana" w:hAnsi="Verdana" w:cstheme="minorHAnsi"/>
          <w:bCs/>
        </w:rPr>
        <w:t>)</w:t>
      </w:r>
      <w:r w:rsidR="00264865">
        <w:rPr>
          <w:rFonts w:ascii="Verdana" w:hAnsi="Verdana" w:cstheme="minorHAnsi"/>
          <w:bCs/>
        </w:rPr>
        <w:t>.</w:t>
      </w:r>
    </w:p>
    <w:p w14:paraId="04B62E5C" w14:textId="1CF7FFF7" w:rsidR="008432D3" w:rsidRDefault="006F269B" w:rsidP="008432D3">
      <w:pPr>
        <w:rPr>
          <w:rFonts w:ascii="Verdana" w:hAnsi="Verdana" w:cstheme="minorHAnsi"/>
          <w:bCs/>
        </w:rPr>
      </w:pPr>
      <w:r w:rsidRPr="0006788A">
        <w:rPr>
          <w:rFonts w:ascii="Verdana" w:hAnsi="Verdana" w:cstheme="minorHAnsi"/>
          <w:bCs/>
        </w:rPr>
        <w:t xml:space="preserve">Deci, E. L., </w:t>
      </w:r>
      <w:r w:rsidR="00CB51A8">
        <w:rPr>
          <w:rFonts w:ascii="Verdana" w:hAnsi="Verdana" w:cstheme="minorHAnsi"/>
          <w:bCs/>
        </w:rPr>
        <w:t>and</w:t>
      </w:r>
      <w:r w:rsidRPr="0006788A">
        <w:rPr>
          <w:rFonts w:ascii="Verdana" w:hAnsi="Verdana" w:cstheme="minorHAnsi"/>
          <w:bCs/>
        </w:rPr>
        <w:t xml:space="preserve"> Ryan, R. M. (2000) </w:t>
      </w:r>
      <w:r w:rsidR="00CB51A8">
        <w:rPr>
          <w:rFonts w:ascii="Verdana" w:hAnsi="Verdana" w:cstheme="minorHAnsi"/>
          <w:bCs/>
        </w:rPr>
        <w:t>‘</w:t>
      </w:r>
      <w:r w:rsidRPr="0006788A">
        <w:rPr>
          <w:rFonts w:ascii="Verdana" w:hAnsi="Verdana" w:cstheme="minorHAnsi"/>
          <w:bCs/>
        </w:rPr>
        <w:t>Self</w:t>
      </w:r>
      <w:r w:rsidRPr="0006788A">
        <w:rPr>
          <w:rFonts w:ascii="Verdana" w:hAnsi="Verdana" w:cstheme="minorHAnsi"/>
          <w:bCs/>
        </w:rPr>
        <w:noBreakHyphen/>
        <w:t>determination theory</w:t>
      </w:r>
      <w:r w:rsidR="00CB51A8">
        <w:rPr>
          <w:rFonts w:ascii="Verdana" w:hAnsi="Verdana" w:cstheme="minorHAnsi"/>
          <w:bCs/>
        </w:rPr>
        <w:t>’,</w:t>
      </w:r>
      <w:r w:rsidRPr="0006788A">
        <w:rPr>
          <w:rFonts w:ascii="Verdana" w:hAnsi="Verdana" w:cstheme="minorHAnsi"/>
          <w:bCs/>
        </w:rPr>
        <w:t xml:space="preserve"> </w:t>
      </w:r>
      <w:r w:rsidRPr="0006788A">
        <w:rPr>
          <w:rFonts w:ascii="Verdana" w:hAnsi="Verdana" w:cstheme="minorHAnsi"/>
          <w:bCs/>
          <w:i/>
          <w:iCs/>
        </w:rPr>
        <w:t>Psychological Inquiry</w:t>
      </w:r>
      <w:r w:rsidRPr="0006788A">
        <w:rPr>
          <w:rFonts w:ascii="Verdana" w:hAnsi="Verdana" w:cstheme="minorHAnsi"/>
          <w:bCs/>
        </w:rPr>
        <w:t xml:space="preserve">, 11(4), </w:t>
      </w:r>
      <w:r w:rsidR="00CB51A8">
        <w:rPr>
          <w:rFonts w:ascii="Verdana" w:hAnsi="Verdana" w:cstheme="minorHAnsi"/>
          <w:bCs/>
        </w:rPr>
        <w:t xml:space="preserve">pp. </w:t>
      </w:r>
      <w:r w:rsidRPr="0006788A">
        <w:rPr>
          <w:rFonts w:ascii="Verdana" w:hAnsi="Verdana" w:cstheme="minorHAnsi"/>
          <w:bCs/>
        </w:rPr>
        <w:t xml:space="preserve">227–268. </w:t>
      </w:r>
      <w:r w:rsidRPr="008432D3">
        <w:rPr>
          <w:rFonts w:ascii="Verdana" w:hAnsi="Verdana" w:cstheme="minorHAnsi"/>
          <w:bCs/>
        </w:rPr>
        <w:t>Available at:</w:t>
      </w:r>
      <w:r w:rsidRPr="0006788A">
        <w:rPr>
          <w:rFonts w:ascii="Verdana" w:hAnsi="Verdana" w:cstheme="minorHAnsi"/>
          <w:bCs/>
        </w:rPr>
        <w:t xml:space="preserve"> </w:t>
      </w:r>
      <w:hyperlink r:id="rId28" w:history="1">
        <w:r w:rsidR="008432D3" w:rsidRPr="001A35EA">
          <w:rPr>
            <w:rStyle w:val="Hyperlink"/>
            <w:rFonts w:ascii="Verdana" w:hAnsi="Verdana" w:cstheme="minorHAnsi"/>
            <w:bCs/>
          </w:rPr>
          <w:t>https://doi.org/10.1207/S15327965PLI1104_01</w:t>
        </w:r>
      </w:hyperlink>
    </w:p>
    <w:p w14:paraId="13D4F11B" w14:textId="1F18F60F" w:rsidR="006D51C3" w:rsidRDefault="00CB604A" w:rsidP="006D51C3">
      <w:pPr>
        <w:rPr>
          <w:rFonts w:ascii="Verdana" w:hAnsi="Verdana" w:cstheme="minorHAnsi"/>
          <w:bCs/>
        </w:rPr>
      </w:pPr>
      <w:r w:rsidRPr="0006788A">
        <w:rPr>
          <w:rFonts w:ascii="Verdana" w:hAnsi="Verdana" w:cstheme="minorHAnsi"/>
          <w:bCs/>
        </w:rPr>
        <w:t xml:space="preserve">Deery, S., Iverson, R., </w:t>
      </w:r>
      <w:r w:rsidR="006553E8">
        <w:rPr>
          <w:rFonts w:ascii="Verdana" w:hAnsi="Verdana" w:cstheme="minorHAnsi"/>
          <w:bCs/>
        </w:rPr>
        <w:t>and</w:t>
      </w:r>
      <w:r w:rsidRPr="0006788A">
        <w:rPr>
          <w:rFonts w:ascii="Verdana" w:hAnsi="Verdana" w:cstheme="minorHAnsi"/>
          <w:bCs/>
        </w:rPr>
        <w:t xml:space="preserve"> Walsh, J. (2002) </w:t>
      </w:r>
      <w:r w:rsidR="006553E8">
        <w:rPr>
          <w:rFonts w:ascii="Verdana" w:hAnsi="Verdana" w:cstheme="minorHAnsi"/>
          <w:bCs/>
        </w:rPr>
        <w:t>‘</w:t>
      </w:r>
      <w:r w:rsidRPr="0006788A">
        <w:rPr>
          <w:rFonts w:ascii="Verdana" w:hAnsi="Verdana" w:cstheme="minorHAnsi"/>
          <w:bCs/>
        </w:rPr>
        <w:t>Work relationships in telephone call centres</w:t>
      </w:r>
      <w:r w:rsidR="006553E8">
        <w:rPr>
          <w:rFonts w:ascii="Verdana" w:hAnsi="Verdana" w:cstheme="minorHAnsi"/>
          <w:bCs/>
        </w:rPr>
        <w:t>’,</w:t>
      </w:r>
      <w:r w:rsidRPr="0006788A">
        <w:rPr>
          <w:rFonts w:ascii="Verdana" w:hAnsi="Verdana" w:cstheme="minorHAnsi"/>
          <w:bCs/>
        </w:rPr>
        <w:t xml:space="preserve"> </w:t>
      </w:r>
      <w:r w:rsidRPr="0006788A">
        <w:rPr>
          <w:rFonts w:ascii="Verdana" w:hAnsi="Verdana" w:cstheme="minorHAnsi"/>
          <w:bCs/>
          <w:i/>
          <w:iCs/>
        </w:rPr>
        <w:t>The Journal of Industrial Relations</w:t>
      </w:r>
      <w:r w:rsidRPr="0006788A">
        <w:rPr>
          <w:rFonts w:ascii="Verdana" w:hAnsi="Verdana" w:cstheme="minorHAnsi"/>
          <w:bCs/>
        </w:rPr>
        <w:t xml:space="preserve">, 44(4), pp. 471–496. </w:t>
      </w:r>
      <w:r w:rsidRPr="006D51C3">
        <w:rPr>
          <w:rFonts w:ascii="Verdana" w:hAnsi="Verdana" w:cstheme="minorHAnsi"/>
          <w:bCs/>
        </w:rPr>
        <w:t>Available at:</w:t>
      </w:r>
      <w:r w:rsidRPr="0006788A">
        <w:rPr>
          <w:rFonts w:ascii="Verdana" w:hAnsi="Verdana" w:cstheme="minorHAnsi"/>
          <w:bCs/>
        </w:rPr>
        <w:t xml:space="preserve"> </w:t>
      </w:r>
      <w:hyperlink r:id="rId29" w:history="1">
        <w:r w:rsidR="006D51C3" w:rsidRPr="001A35EA">
          <w:rPr>
            <w:rStyle w:val="Hyperlink"/>
            <w:rFonts w:ascii="Verdana" w:hAnsi="Verdana" w:cstheme="minorHAnsi"/>
            <w:bCs/>
          </w:rPr>
          <w:t>https://doi.org/10.1111/1472-9296.00030</w:t>
        </w:r>
      </w:hyperlink>
    </w:p>
    <w:p w14:paraId="0F9EAAA8" w14:textId="354B4091" w:rsidR="00525335" w:rsidRDefault="0094004B" w:rsidP="00525335">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Demerouti, E. </w:t>
      </w:r>
      <w:r w:rsidR="004360D6">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Bakker, A.B. (2023) ‘Job demands–resources theory in times of crises: New propositions’, </w:t>
      </w:r>
      <w:r w:rsidRPr="0006788A">
        <w:rPr>
          <w:rFonts w:ascii="Verdana" w:eastAsia="Times New Roman" w:hAnsi="Verdana" w:cs="Times New Roman"/>
          <w:i/>
          <w:iCs/>
          <w:kern w:val="0"/>
          <w14:ligatures w14:val="none"/>
        </w:rPr>
        <w:t>Organizational Psychology Review</w:t>
      </w:r>
      <w:r w:rsidRPr="0006788A">
        <w:rPr>
          <w:rFonts w:ascii="Verdana" w:eastAsia="Times New Roman" w:hAnsi="Verdana" w:cs="Times New Roman"/>
          <w:kern w:val="0"/>
          <w14:ligatures w14:val="none"/>
        </w:rPr>
        <w:t xml:space="preserve">, 13(3), pp. 209–236. </w:t>
      </w:r>
      <w:r w:rsidRPr="00525335">
        <w:rPr>
          <w:rFonts w:ascii="Verdana" w:eastAsia="Times New Roman" w:hAnsi="Verdana" w:cs="Times New Roman"/>
          <w:kern w:val="0"/>
          <w14:ligatures w14:val="none"/>
        </w:rPr>
        <w:t>Available at:</w:t>
      </w:r>
      <w:r w:rsidR="00525335">
        <w:rPr>
          <w:rFonts w:ascii="Verdana" w:eastAsia="Times New Roman" w:hAnsi="Verdana" w:cs="Times New Roman"/>
          <w:kern w:val="0"/>
          <w14:ligatures w14:val="none"/>
        </w:rPr>
        <w:t xml:space="preserve"> </w:t>
      </w:r>
      <w:hyperlink r:id="rId30" w:history="1">
        <w:r w:rsidR="004360D6" w:rsidRPr="001A35EA">
          <w:rPr>
            <w:rStyle w:val="Hyperlink"/>
            <w:rFonts w:ascii="Verdana" w:eastAsia="Times New Roman" w:hAnsi="Verdana" w:cs="Times New Roman"/>
            <w:kern w:val="0"/>
            <w14:ligatures w14:val="none"/>
          </w:rPr>
          <w:t>https://doi.org/10.1177/20413866231187847</w:t>
        </w:r>
      </w:hyperlink>
    </w:p>
    <w:p w14:paraId="1A7C38D8" w14:textId="49914517" w:rsidR="0094004B" w:rsidRPr="006244AC" w:rsidRDefault="0094004B" w:rsidP="006244AC">
      <w:pPr>
        <w:rPr>
          <w:rFonts w:ascii="Verdana" w:hAnsi="Verdana"/>
        </w:rPr>
      </w:pPr>
      <w:r w:rsidRPr="0006788A">
        <w:t xml:space="preserve">Donaldson, S. I., Lee, J. Y., </w:t>
      </w:r>
      <w:r w:rsidR="004360D6">
        <w:t>and</w:t>
      </w:r>
      <w:r w:rsidRPr="0006788A">
        <w:t xml:space="preserve"> Donaldson, S. I. (2019) </w:t>
      </w:r>
      <w:r w:rsidR="004360D6">
        <w:t>‘</w:t>
      </w:r>
      <w:r w:rsidRPr="0006788A">
        <w:t>Evaluating positive psychology interventions at work: A systematic review and meta-analysis</w:t>
      </w:r>
      <w:r w:rsidR="004360D6">
        <w:t>’,</w:t>
      </w:r>
      <w:r w:rsidRPr="0006788A">
        <w:t> </w:t>
      </w:r>
      <w:r w:rsidRPr="0006788A">
        <w:rPr>
          <w:i/>
          <w:iCs/>
        </w:rPr>
        <w:t>International journal of applied positive psychology</w:t>
      </w:r>
      <w:r w:rsidRPr="0006788A">
        <w:t>, </w:t>
      </w:r>
      <w:r w:rsidRPr="004360D6">
        <w:t>4(3),</w:t>
      </w:r>
      <w:r w:rsidRPr="0006788A">
        <w:t xml:space="preserve"> </w:t>
      </w:r>
      <w:r w:rsidR="004360D6">
        <w:t xml:space="preserve">pp. </w:t>
      </w:r>
      <w:r w:rsidRPr="0006788A">
        <w:t xml:space="preserve">113-134.  Available at: </w:t>
      </w:r>
      <w:hyperlink r:id="rId31" w:history="1">
        <w:r w:rsidRPr="006244AC">
          <w:rPr>
            <w:rStyle w:val="Hyperlink"/>
            <w:rFonts w:ascii="Verdana" w:hAnsi="Verdana"/>
          </w:rPr>
          <w:t>https://link.springer.com/article/10.1007/s41042-019-00021-8?trk=public_post_comment-text</w:t>
        </w:r>
      </w:hyperlink>
      <w:r w:rsidRPr="006244AC">
        <w:rPr>
          <w:rFonts w:ascii="Verdana" w:hAnsi="Verdana"/>
        </w:rPr>
        <w:t xml:space="preserve">  (Accessed: 19 April 2026)</w:t>
      </w:r>
      <w:r w:rsidR="006244AC" w:rsidRPr="006244AC">
        <w:rPr>
          <w:rFonts w:ascii="Verdana" w:hAnsi="Verdana"/>
        </w:rPr>
        <w:t>.</w:t>
      </w:r>
    </w:p>
    <w:p w14:paraId="4E11AB43" w14:textId="25A5AABA" w:rsidR="000351A4" w:rsidRPr="006244AC" w:rsidRDefault="0094004B" w:rsidP="006244AC">
      <w:pPr>
        <w:rPr>
          <w:rFonts w:ascii="Verdana" w:hAnsi="Verdana"/>
        </w:rPr>
      </w:pPr>
      <w:r w:rsidRPr="006244AC">
        <w:rPr>
          <w:rFonts w:ascii="Verdana" w:eastAsia="Times New Roman" w:hAnsi="Verdana" w:cs="Times New Roman"/>
          <w:kern w:val="0"/>
          <w14:ligatures w14:val="none"/>
        </w:rPr>
        <w:t xml:space="preserve">Donaldson, S.I., van Zyl, L.E. </w:t>
      </w:r>
      <w:r w:rsidR="004360D6" w:rsidRPr="006244AC">
        <w:rPr>
          <w:rFonts w:ascii="Verdana" w:eastAsia="Times New Roman" w:hAnsi="Verdana" w:cs="Times New Roman"/>
          <w:kern w:val="0"/>
          <w14:ligatures w14:val="none"/>
        </w:rPr>
        <w:t>and</w:t>
      </w:r>
      <w:r w:rsidRPr="006244AC">
        <w:rPr>
          <w:rFonts w:ascii="Verdana" w:eastAsia="Times New Roman" w:hAnsi="Verdana" w:cs="Times New Roman"/>
          <w:kern w:val="0"/>
          <w14:ligatures w14:val="none"/>
        </w:rPr>
        <w:t xml:space="preserve"> Donaldson, S.I. (2022) ‘PERMA+4: A framework for work-related wellbeing, performance and positive organisational psychology 2.0’, </w:t>
      </w:r>
      <w:r w:rsidRPr="006244AC">
        <w:rPr>
          <w:rFonts w:ascii="Verdana" w:eastAsia="Times New Roman" w:hAnsi="Verdana" w:cs="Times New Roman"/>
          <w:i/>
          <w:iCs/>
          <w:kern w:val="0"/>
          <w14:ligatures w14:val="none"/>
        </w:rPr>
        <w:t>Frontiers in Psychology</w:t>
      </w:r>
      <w:r w:rsidRPr="006244AC">
        <w:rPr>
          <w:rFonts w:ascii="Verdana" w:eastAsia="Times New Roman" w:hAnsi="Verdana" w:cs="Times New Roman"/>
          <w:kern w:val="0"/>
          <w14:ligatures w14:val="none"/>
        </w:rPr>
        <w:t xml:space="preserve">, 12, 817244.  Available at: </w:t>
      </w:r>
      <w:hyperlink r:id="rId32" w:history="1">
        <w:r w:rsidRPr="006244AC">
          <w:rPr>
            <w:rStyle w:val="Hyperlink"/>
            <w:rFonts w:ascii="Verdana" w:eastAsia="Times New Roman" w:hAnsi="Verdana" w:cs="Times New Roman"/>
            <w:color w:val="auto"/>
            <w:kern w:val="0"/>
            <w14:ligatures w14:val="none"/>
          </w:rPr>
          <w:t>https://doi.org/10.3389/fpsyg.2021.817244</w:t>
        </w:r>
      </w:hyperlink>
    </w:p>
    <w:p w14:paraId="14ADC4EF" w14:textId="50435EBB" w:rsidR="00C935E8" w:rsidRPr="006244AC" w:rsidRDefault="00C935E8" w:rsidP="006244AC">
      <w:pPr>
        <w:rPr>
          <w:rFonts w:ascii="Verdana" w:eastAsia="Times New Roman" w:hAnsi="Verdana" w:cs="Times New Roman"/>
          <w:kern w:val="0"/>
          <w14:ligatures w14:val="none"/>
        </w:rPr>
      </w:pPr>
      <w:r w:rsidRPr="006244AC">
        <w:rPr>
          <w:rFonts w:ascii="Verdana" w:eastAsia="Times New Roman" w:hAnsi="Verdana" w:cs="Times New Roman"/>
          <w:kern w:val="0"/>
          <w14:ligatures w14:val="none"/>
        </w:rPr>
        <w:t xml:space="preserve">Dimoff, J. K., </w:t>
      </w:r>
      <w:r w:rsidR="004360D6" w:rsidRPr="006244AC">
        <w:rPr>
          <w:rFonts w:ascii="Verdana" w:eastAsia="Times New Roman" w:hAnsi="Verdana" w:cs="Times New Roman"/>
          <w:kern w:val="0"/>
          <w14:ligatures w14:val="none"/>
        </w:rPr>
        <w:t>and</w:t>
      </w:r>
      <w:r w:rsidRPr="006244AC">
        <w:rPr>
          <w:rFonts w:ascii="Verdana" w:eastAsia="Times New Roman" w:hAnsi="Verdana" w:cs="Times New Roman"/>
          <w:kern w:val="0"/>
          <w14:ligatures w14:val="none"/>
        </w:rPr>
        <w:t xml:space="preserve"> Kelloway, E. K. (2019) </w:t>
      </w:r>
      <w:r w:rsidR="00ED4A75">
        <w:rPr>
          <w:rFonts w:ascii="Verdana" w:eastAsia="Times New Roman" w:hAnsi="Verdana" w:cs="Times New Roman"/>
          <w:kern w:val="0"/>
          <w14:ligatures w14:val="none"/>
        </w:rPr>
        <w:t>‘</w:t>
      </w:r>
      <w:r w:rsidRPr="006244AC">
        <w:rPr>
          <w:rFonts w:ascii="Verdana" w:eastAsia="Times New Roman" w:hAnsi="Verdana" w:cs="Times New Roman"/>
          <w:kern w:val="0"/>
          <w14:ligatures w14:val="none"/>
        </w:rPr>
        <w:t xml:space="preserve">With a little help from my boss: The impact of workplace mental health training on leader </w:t>
      </w:r>
      <w:proofErr w:type="spellStart"/>
      <w:r w:rsidRPr="006244AC">
        <w:rPr>
          <w:rFonts w:ascii="Verdana" w:eastAsia="Times New Roman" w:hAnsi="Verdana" w:cs="Times New Roman"/>
          <w:kern w:val="0"/>
          <w14:ligatures w14:val="none"/>
        </w:rPr>
        <w:t>behaviors</w:t>
      </w:r>
      <w:proofErr w:type="spellEnd"/>
      <w:r w:rsidRPr="006244AC">
        <w:rPr>
          <w:rFonts w:ascii="Verdana" w:eastAsia="Times New Roman" w:hAnsi="Verdana" w:cs="Times New Roman"/>
          <w:kern w:val="0"/>
          <w14:ligatures w14:val="none"/>
        </w:rPr>
        <w:t xml:space="preserve"> and </w:t>
      </w:r>
      <w:r w:rsidRPr="006244AC">
        <w:rPr>
          <w:rFonts w:ascii="Verdana" w:eastAsia="Times New Roman" w:hAnsi="Verdana" w:cs="Times New Roman"/>
          <w:kern w:val="0"/>
          <w14:ligatures w14:val="none"/>
        </w:rPr>
        <w:lastRenderedPageBreak/>
        <w:t>employee mental health</w:t>
      </w:r>
      <w:r w:rsidR="00ED4A75">
        <w:rPr>
          <w:rFonts w:ascii="Verdana" w:eastAsia="Times New Roman" w:hAnsi="Verdana" w:cs="Times New Roman"/>
          <w:kern w:val="0"/>
          <w14:ligatures w14:val="none"/>
        </w:rPr>
        <w:t>’,</w:t>
      </w:r>
      <w:r w:rsidRPr="006244AC">
        <w:rPr>
          <w:rFonts w:ascii="Verdana" w:eastAsia="Times New Roman" w:hAnsi="Verdana" w:cs="Times New Roman"/>
          <w:kern w:val="0"/>
          <w14:ligatures w14:val="none"/>
        </w:rPr>
        <w:t xml:space="preserve"> </w:t>
      </w:r>
      <w:r w:rsidRPr="006244AC">
        <w:rPr>
          <w:rFonts w:ascii="Verdana" w:eastAsia="Times New Roman" w:hAnsi="Verdana" w:cs="Times New Roman"/>
          <w:i/>
          <w:iCs/>
          <w:kern w:val="0"/>
          <w14:ligatures w14:val="none"/>
        </w:rPr>
        <w:t>Journal of Occupational Health Psychology, 24</w:t>
      </w:r>
      <w:r w:rsidRPr="006244AC">
        <w:rPr>
          <w:rFonts w:ascii="Verdana" w:eastAsia="Times New Roman" w:hAnsi="Verdana" w:cs="Times New Roman"/>
          <w:kern w:val="0"/>
          <w14:ligatures w14:val="none"/>
        </w:rPr>
        <w:t xml:space="preserve">(1), </w:t>
      </w:r>
      <w:r w:rsidR="000351A4" w:rsidRPr="006244AC">
        <w:rPr>
          <w:rFonts w:ascii="Verdana" w:eastAsia="Times New Roman" w:hAnsi="Verdana" w:cs="Times New Roman"/>
          <w:kern w:val="0"/>
          <w14:ligatures w14:val="none"/>
        </w:rPr>
        <w:t xml:space="preserve">pp. </w:t>
      </w:r>
      <w:r w:rsidRPr="006244AC">
        <w:rPr>
          <w:rFonts w:ascii="Verdana" w:eastAsia="Times New Roman" w:hAnsi="Verdana" w:cs="Times New Roman"/>
          <w:kern w:val="0"/>
          <w14:ligatures w14:val="none"/>
        </w:rPr>
        <w:t>4–19.</w:t>
      </w:r>
      <w:r w:rsidR="000351A4" w:rsidRPr="006244AC">
        <w:rPr>
          <w:rFonts w:ascii="Verdana" w:eastAsia="Times New Roman" w:hAnsi="Verdana" w:cs="Times New Roman"/>
          <w:kern w:val="0"/>
          <w14:ligatures w14:val="none"/>
        </w:rPr>
        <w:t xml:space="preserve">  Available at: </w:t>
      </w:r>
      <w:hyperlink r:id="rId33" w:history="1">
        <w:r w:rsidR="00AD5BBB" w:rsidRPr="006244AC">
          <w:rPr>
            <w:rStyle w:val="Hyperlink"/>
            <w:rFonts w:ascii="Verdana" w:eastAsia="Times New Roman" w:hAnsi="Verdana" w:cs="Times New Roman"/>
            <w:kern w:val="0"/>
            <w14:ligatures w14:val="none"/>
          </w:rPr>
          <w:t>https://doi.org/10.1037/ocp0000126</w:t>
        </w:r>
      </w:hyperlink>
    </w:p>
    <w:p w14:paraId="5075E919" w14:textId="35A2FE2E" w:rsidR="002C7F48" w:rsidRPr="006244AC" w:rsidRDefault="00ED4E0E" w:rsidP="0094004B">
      <w:pPr>
        <w:spacing w:before="100" w:beforeAutospacing="1" w:after="100" w:afterAutospacing="1" w:line="240" w:lineRule="auto"/>
        <w:rPr>
          <w:rFonts w:ascii="Verdana" w:eastAsia="Times New Roman" w:hAnsi="Verdana" w:cs="Times New Roman"/>
          <w:kern w:val="0"/>
          <w14:ligatures w14:val="none"/>
        </w:rPr>
      </w:pPr>
      <w:r w:rsidRPr="006244AC">
        <w:rPr>
          <w:rFonts w:ascii="Verdana" w:eastAsia="Times New Roman" w:hAnsi="Verdana" w:cs="Times New Roman"/>
          <w:kern w:val="0"/>
          <w14:ligatures w14:val="none"/>
        </w:rPr>
        <w:t xml:space="preserve">du Plessis, M., </w:t>
      </w:r>
      <w:r w:rsidR="00272A29" w:rsidRPr="006244AC">
        <w:rPr>
          <w:rFonts w:ascii="Verdana" w:eastAsia="Times New Roman" w:hAnsi="Verdana" w:cs="Times New Roman"/>
          <w:kern w:val="0"/>
          <w14:ligatures w14:val="none"/>
        </w:rPr>
        <w:t>and</w:t>
      </w:r>
      <w:r w:rsidRPr="006244AC">
        <w:rPr>
          <w:rFonts w:ascii="Verdana" w:eastAsia="Times New Roman" w:hAnsi="Verdana" w:cs="Times New Roman"/>
          <w:kern w:val="0"/>
          <w14:ligatures w14:val="none"/>
        </w:rPr>
        <w:t xml:space="preserve"> Rabie, C. (2025)</w:t>
      </w:r>
      <w:r w:rsidRPr="006244AC">
        <w:rPr>
          <w:rFonts w:ascii="Verdana" w:eastAsia="Times New Roman" w:hAnsi="Verdana" w:cs="Times New Roman"/>
          <w:b/>
          <w:bCs/>
          <w:kern w:val="0"/>
          <w14:ligatures w14:val="none"/>
        </w:rPr>
        <w:t xml:space="preserve"> </w:t>
      </w:r>
      <w:r w:rsidR="00ED4A75">
        <w:rPr>
          <w:rFonts w:ascii="Verdana" w:eastAsia="Times New Roman" w:hAnsi="Verdana" w:cs="Times New Roman"/>
          <w:b/>
          <w:bCs/>
          <w:kern w:val="0"/>
          <w14:ligatures w14:val="none"/>
        </w:rPr>
        <w:t>‘</w:t>
      </w:r>
      <w:r w:rsidRPr="006244AC">
        <w:rPr>
          <w:rFonts w:ascii="Verdana" w:eastAsia="Times New Roman" w:hAnsi="Verdana" w:cs="Times New Roman"/>
          <w:kern w:val="0"/>
          <w14:ligatures w14:val="none"/>
        </w:rPr>
        <w:t>Workplace wellness initiatives and service quality in customer</w:t>
      </w:r>
      <w:r w:rsidRPr="006244AC">
        <w:rPr>
          <w:rFonts w:ascii="Verdana" w:eastAsia="Times New Roman" w:hAnsi="Verdana" w:cs="Times New Roman"/>
          <w:kern w:val="0"/>
          <w14:ligatures w14:val="none"/>
        </w:rPr>
        <w:noBreakHyphen/>
        <w:t>facing industries: A systematic review</w:t>
      </w:r>
      <w:r w:rsidR="00ED4A75">
        <w:rPr>
          <w:rFonts w:ascii="Verdana" w:eastAsia="Times New Roman" w:hAnsi="Verdana" w:cs="Times New Roman"/>
          <w:kern w:val="0"/>
          <w14:ligatures w14:val="none"/>
        </w:rPr>
        <w:t>’,</w:t>
      </w:r>
      <w:r w:rsidRPr="006244AC">
        <w:rPr>
          <w:rFonts w:ascii="Verdana" w:eastAsia="Times New Roman" w:hAnsi="Verdana" w:cs="Times New Roman"/>
          <w:kern w:val="0"/>
          <w14:ligatures w14:val="none"/>
        </w:rPr>
        <w:t xml:space="preserve"> </w:t>
      </w:r>
      <w:r w:rsidRPr="006244AC">
        <w:rPr>
          <w:rFonts w:ascii="Verdana" w:eastAsia="Times New Roman" w:hAnsi="Verdana" w:cs="Times New Roman"/>
          <w:i/>
          <w:iCs/>
          <w:kern w:val="0"/>
          <w14:ligatures w14:val="none"/>
        </w:rPr>
        <w:t>South African Journal of Economic and Management Sciences, 28</w:t>
      </w:r>
      <w:r w:rsidRPr="006244AC">
        <w:rPr>
          <w:rFonts w:ascii="Verdana" w:eastAsia="Times New Roman" w:hAnsi="Verdana" w:cs="Times New Roman"/>
          <w:kern w:val="0"/>
          <w14:ligatures w14:val="none"/>
        </w:rPr>
        <w:t xml:space="preserve">(1), Article a6428.  Available at: </w:t>
      </w:r>
      <w:hyperlink r:id="rId34" w:history="1">
        <w:r w:rsidR="00595268" w:rsidRPr="006244AC">
          <w:rPr>
            <w:rStyle w:val="Hyperlink"/>
            <w:rFonts w:ascii="Verdana" w:eastAsia="Times New Roman" w:hAnsi="Verdana" w:cs="Times New Roman"/>
            <w:kern w:val="0"/>
            <w14:ligatures w14:val="none"/>
          </w:rPr>
          <w:t>https://doi.org/10.4102/sajems.v28i1.6428</w:t>
        </w:r>
      </w:hyperlink>
    </w:p>
    <w:p w14:paraId="13DDE2FC" w14:textId="3FF6644D" w:rsidR="002563D6" w:rsidRPr="0006788A" w:rsidRDefault="002563D6" w:rsidP="002563D6">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Dulal</w:t>
      </w:r>
      <w:r w:rsidRPr="0006788A">
        <w:rPr>
          <w:rFonts w:ascii="Verdana" w:eastAsia="Times New Roman" w:hAnsi="Verdana" w:cs="Times New Roman"/>
          <w:kern w:val="0"/>
          <w14:ligatures w14:val="none"/>
        </w:rPr>
        <w:noBreakHyphen/>
        <w:t>Arthur, T. et al. (2024)</w:t>
      </w:r>
      <w:r w:rsidR="00ED4A75">
        <w:rPr>
          <w:rFonts w:ascii="Verdana" w:eastAsia="Times New Roman" w:hAnsi="Verdana" w:cs="Times New Roman"/>
          <w:kern w:val="0"/>
          <w14:ligatures w14:val="none"/>
        </w:rPr>
        <w:t xml:space="preserve"> </w:t>
      </w:r>
      <w:r w:rsidR="00ED4A75" w:rsidRPr="00ED4A75">
        <w:rPr>
          <w:rFonts w:ascii="Verdana" w:eastAsia="Times New Roman" w:hAnsi="Verdana" w:cs="Times New Roman"/>
          <w:kern w:val="0"/>
          <w14:ligatures w14:val="none"/>
        </w:rPr>
        <w:t>‘</w:t>
      </w:r>
      <w:r w:rsidRPr="00ED4A75">
        <w:rPr>
          <w:rFonts w:ascii="Verdana" w:eastAsia="Times New Roman" w:hAnsi="Verdana" w:cs="Times New Roman"/>
          <w:kern w:val="0"/>
          <w14:ligatures w14:val="none"/>
        </w:rPr>
        <w:t>Line manager training and organisational approaches to supporting wellbeing</w:t>
      </w:r>
      <w:r w:rsidR="00ED4A75" w:rsidRPr="00ED4A75">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xml:space="preserve"> </w:t>
      </w:r>
      <w:r w:rsidRPr="00ED4A75">
        <w:rPr>
          <w:rFonts w:ascii="Verdana" w:eastAsia="Times New Roman" w:hAnsi="Verdana" w:cs="Times New Roman"/>
          <w:i/>
          <w:iCs/>
          <w:kern w:val="0"/>
          <w14:ligatures w14:val="none"/>
        </w:rPr>
        <w:t>Occupational Medicine,</w:t>
      </w:r>
      <w:r w:rsidRPr="0006788A">
        <w:rPr>
          <w:rFonts w:ascii="Verdana" w:eastAsia="Times New Roman" w:hAnsi="Verdana" w:cs="Times New Roman"/>
          <w:kern w:val="0"/>
          <w14:ligatures w14:val="none"/>
        </w:rPr>
        <w:t xml:space="preserve"> 74(6), </w:t>
      </w:r>
      <w:r w:rsidR="00ED4A75">
        <w:rPr>
          <w:rFonts w:ascii="Verdana" w:eastAsia="Times New Roman" w:hAnsi="Verdana" w:cs="Times New Roman"/>
          <w:kern w:val="0"/>
          <w14:ligatures w14:val="none"/>
        </w:rPr>
        <w:t>pp</w:t>
      </w:r>
      <w:r w:rsidR="001670EF">
        <w:rPr>
          <w:rFonts w:ascii="Verdana" w:eastAsia="Times New Roman" w:hAnsi="Verdana" w:cs="Times New Roman"/>
          <w:kern w:val="0"/>
          <w14:ligatures w14:val="none"/>
        </w:rPr>
        <w:t xml:space="preserve">. </w:t>
      </w:r>
      <w:r w:rsidRPr="0006788A">
        <w:rPr>
          <w:rFonts w:ascii="Verdana" w:eastAsia="Times New Roman" w:hAnsi="Verdana" w:cs="Times New Roman"/>
          <w:kern w:val="0"/>
          <w14:ligatures w14:val="none"/>
        </w:rPr>
        <w:t xml:space="preserve">416–422.  Available at: </w:t>
      </w:r>
      <w:hyperlink r:id="rId35" w:history="1">
        <w:r w:rsidR="001670EF" w:rsidRPr="001A35EA">
          <w:rPr>
            <w:rStyle w:val="Hyperlink"/>
            <w:rFonts w:ascii="Verdana" w:eastAsia="Times New Roman" w:hAnsi="Verdana" w:cs="Times New Roman"/>
            <w:kern w:val="0"/>
            <w14:ligatures w14:val="none"/>
          </w:rPr>
          <w:t>https://academic.oup.com/occmed/article/74/6/416/7712333</w:t>
        </w:r>
      </w:hyperlink>
      <w:r w:rsidR="003D578B" w:rsidRPr="0006788A">
        <w:rPr>
          <w:rFonts w:ascii="Verdana" w:eastAsia="Times New Roman" w:hAnsi="Verdana" w:cs="Times New Roman"/>
          <w:kern w:val="0"/>
          <w14:ligatures w14:val="none"/>
        </w:rPr>
        <w:t xml:space="preserve"> </w:t>
      </w:r>
      <w:r w:rsidR="001670EF">
        <w:rPr>
          <w:rFonts w:ascii="Verdana" w:eastAsia="Times New Roman" w:hAnsi="Verdana" w:cs="Times New Roman"/>
          <w:kern w:val="0"/>
          <w14:ligatures w14:val="none"/>
        </w:rPr>
        <w:t>(Accessed: 01 May 2026).</w:t>
      </w:r>
    </w:p>
    <w:p w14:paraId="398F80FE" w14:textId="0539D7F0" w:rsidR="00AD5BBB" w:rsidRPr="0006788A" w:rsidRDefault="00AD5BBB" w:rsidP="0094004B">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Dumitriu, S., </w:t>
      </w:r>
      <w:proofErr w:type="spellStart"/>
      <w:r w:rsidRPr="0006788A">
        <w:rPr>
          <w:rFonts w:ascii="Verdana" w:eastAsia="Times New Roman" w:hAnsi="Verdana" w:cs="Times New Roman"/>
          <w:kern w:val="0"/>
          <w14:ligatures w14:val="none"/>
        </w:rPr>
        <w:t>Bocean</w:t>
      </w:r>
      <w:proofErr w:type="spellEnd"/>
      <w:r w:rsidRPr="0006788A">
        <w:rPr>
          <w:rFonts w:ascii="Verdana" w:eastAsia="Times New Roman" w:hAnsi="Verdana" w:cs="Times New Roman"/>
          <w:kern w:val="0"/>
          <w14:ligatures w14:val="none"/>
        </w:rPr>
        <w:t xml:space="preserve">, C. G., </w:t>
      </w:r>
      <w:proofErr w:type="spellStart"/>
      <w:r w:rsidRPr="0006788A">
        <w:rPr>
          <w:rFonts w:ascii="Verdana" w:eastAsia="Times New Roman" w:hAnsi="Verdana" w:cs="Times New Roman"/>
          <w:kern w:val="0"/>
          <w14:ligatures w14:val="none"/>
        </w:rPr>
        <w:t>Vărzaru</w:t>
      </w:r>
      <w:proofErr w:type="spellEnd"/>
      <w:r w:rsidRPr="0006788A">
        <w:rPr>
          <w:rFonts w:ascii="Verdana" w:eastAsia="Times New Roman" w:hAnsi="Verdana" w:cs="Times New Roman"/>
          <w:kern w:val="0"/>
          <w14:ligatures w14:val="none"/>
        </w:rPr>
        <w:t>, A. A., Al-</w:t>
      </w:r>
      <w:proofErr w:type="spellStart"/>
      <w:r w:rsidRPr="0006788A">
        <w:rPr>
          <w:rFonts w:ascii="Verdana" w:eastAsia="Times New Roman" w:hAnsi="Verdana" w:cs="Times New Roman"/>
          <w:kern w:val="0"/>
          <w14:ligatures w14:val="none"/>
        </w:rPr>
        <w:t>Floarei</w:t>
      </w:r>
      <w:proofErr w:type="spellEnd"/>
      <w:r w:rsidRPr="0006788A">
        <w:rPr>
          <w:rFonts w:ascii="Verdana" w:eastAsia="Times New Roman" w:hAnsi="Verdana" w:cs="Times New Roman"/>
          <w:kern w:val="0"/>
          <w14:ligatures w14:val="none"/>
        </w:rPr>
        <w:t xml:space="preserve">, A. T., </w:t>
      </w:r>
      <w:proofErr w:type="spellStart"/>
      <w:r w:rsidRPr="0006788A">
        <w:rPr>
          <w:rFonts w:ascii="Verdana" w:eastAsia="Times New Roman" w:hAnsi="Verdana" w:cs="Times New Roman"/>
          <w:kern w:val="0"/>
          <w14:ligatures w14:val="none"/>
        </w:rPr>
        <w:t>Sperdea</w:t>
      </w:r>
      <w:proofErr w:type="spellEnd"/>
      <w:r w:rsidRPr="0006788A">
        <w:rPr>
          <w:rFonts w:ascii="Verdana" w:eastAsia="Times New Roman" w:hAnsi="Verdana" w:cs="Times New Roman"/>
          <w:kern w:val="0"/>
          <w14:ligatures w14:val="none"/>
        </w:rPr>
        <w:t xml:space="preserve">, N. M., Popescu, F. L., </w:t>
      </w:r>
      <w:r w:rsidR="00272A29">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w:t>
      </w:r>
      <w:proofErr w:type="spellStart"/>
      <w:r w:rsidRPr="0006788A">
        <w:rPr>
          <w:rFonts w:ascii="Verdana" w:eastAsia="Times New Roman" w:hAnsi="Verdana" w:cs="Times New Roman"/>
          <w:kern w:val="0"/>
          <w14:ligatures w14:val="none"/>
        </w:rPr>
        <w:t>Băloi</w:t>
      </w:r>
      <w:proofErr w:type="spellEnd"/>
      <w:r w:rsidRPr="0006788A">
        <w:rPr>
          <w:rFonts w:ascii="Verdana" w:eastAsia="Times New Roman" w:hAnsi="Verdana" w:cs="Times New Roman"/>
          <w:kern w:val="0"/>
          <w14:ligatures w14:val="none"/>
        </w:rPr>
        <w:t xml:space="preserve">, I.-C. (2025) </w:t>
      </w:r>
      <w:r w:rsidR="001670EF">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The Role of the Workplace Environment in Shaping Employees’ Well-Being</w:t>
      </w:r>
      <w:r w:rsidR="001670EF">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w:t>
      </w:r>
      <w:r w:rsidRPr="0006788A">
        <w:rPr>
          <w:rFonts w:ascii="Verdana" w:eastAsia="Times New Roman" w:hAnsi="Verdana" w:cs="Times New Roman"/>
          <w:i/>
          <w:iCs/>
          <w:kern w:val="0"/>
          <w14:ligatures w14:val="none"/>
        </w:rPr>
        <w:t>Sustainability</w:t>
      </w:r>
      <w:r w:rsidRPr="0006788A">
        <w:rPr>
          <w:rFonts w:ascii="Verdana" w:eastAsia="Times New Roman" w:hAnsi="Verdana" w:cs="Times New Roman"/>
          <w:kern w:val="0"/>
          <w14:ligatures w14:val="none"/>
        </w:rPr>
        <w:t>, </w:t>
      </w:r>
      <w:r w:rsidRPr="0006788A">
        <w:rPr>
          <w:rFonts w:ascii="Verdana" w:eastAsia="Times New Roman" w:hAnsi="Verdana" w:cs="Times New Roman"/>
          <w:i/>
          <w:iCs/>
          <w:kern w:val="0"/>
          <w14:ligatures w14:val="none"/>
        </w:rPr>
        <w:t>17</w:t>
      </w:r>
      <w:r w:rsidRPr="0006788A">
        <w:rPr>
          <w:rFonts w:ascii="Verdana" w:eastAsia="Times New Roman" w:hAnsi="Verdana" w:cs="Times New Roman"/>
          <w:kern w:val="0"/>
          <w14:ligatures w14:val="none"/>
        </w:rPr>
        <w:t xml:space="preserve">(6), 2613. </w:t>
      </w:r>
      <w:r w:rsidR="001670EF">
        <w:rPr>
          <w:rFonts w:ascii="Verdana" w:eastAsia="Times New Roman" w:hAnsi="Verdana" w:cs="Times New Roman"/>
          <w:kern w:val="0"/>
          <w14:ligatures w14:val="none"/>
        </w:rPr>
        <w:t xml:space="preserve">Available at: </w:t>
      </w:r>
      <w:hyperlink r:id="rId36" w:history="1">
        <w:r w:rsidR="001670EF" w:rsidRPr="001A35EA">
          <w:rPr>
            <w:rStyle w:val="Hyperlink"/>
            <w:rFonts w:ascii="Verdana" w:eastAsia="Times New Roman" w:hAnsi="Verdana" w:cs="Times New Roman"/>
            <w:kern w:val="0"/>
            <w14:ligatures w14:val="none"/>
          </w:rPr>
          <w:t>https://doi.org/10.3390/su17062613</w:t>
        </w:r>
      </w:hyperlink>
    </w:p>
    <w:p w14:paraId="060F8BF9" w14:textId="6F8EDD4B" w:rsidR="00772950" w:rsidRPr="0006788A" w:rsidRDefault="00772950" w:rsidP="00772950">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Edmondson, A. C. (2018)</w:t>
      </w:r>
      <w:r w:rsidR="00E50981" w:rsidRPr="0006788A">
        <w:rPr>
          <w:rFonts w:ascii="Verdana" w:eastAsia="Times New Roman" w:hAnsi="Verdana" w:cs="Times New Roman"/>
          <w:kern w:val="0"/>
          <w14:ligatures w14:val="none"/>
        </w:rPr>
        <w:t xml:space="preserve"> </w:t>
      </w:r>
      <w:r w:rsidR="001670EF">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The fearless organization: Creating psychological safety in the workplace for learning, innovation, and growth</w:t>
      </w:r>
      <w:r w:rsidR="001670EF">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Harvard Business School Press</w:t>
      </w:r>
      <w:r w:rsidR="00E50981" w:rsidRPr="0006788A">
        <w:rPr>
          <w:rFonts w:ascii="Verdana" w:eastAsia="Times New Roman" w:hAnsi="Verdana" w:cs="Times New Roman"/>
          <w:kern w:val="0"/>
          <w14:ligatures w14:val="none"/>
        </w:rPr>
        <w:t xml:space="preserve"> </w:t>
      </w:r>
      <w:r w:rsidR="00E50981" w:rsidRPr="0006788A">
        <w:rPr>
          <w:rFonts w:ascii="Verdana" w:hAnsi="Verdana" w:cstheme="minorHAnsi"/>
          <w:bCs/>
        </w:rPr>
        <w:t>(Accessed: 20 April 2026)</w:t>
      </w:r>
      <w:r w:rsidR="001670EF">
        <w:rPr>
          <w:rFonts w:ascii="Verdana" w:hAnsi="Verdana" w:cstheme="minorHAnsi"/>
          <w:bCs/>
        </w:rPr>
        <w:t>.</w:t>
      </w:r>
    </w:p>
    <w:p w14:paraId="737AA025" w14:textId="65989855" w:rsidR="0094004B" w:rsidRPr="0006788A" w:rsidRDefault="0094004B" w:rsidP="0094004B">
      <w:pPr>
        <w:rPr>
          <w:rFonts w:ascii="Verdana" w:hAnsi="Verdana"/>
        </w:rPr>
      </w:pPr>
      <w:r w:rsidRPr="0006788A">
        <w:rPr>
          <w:rFonts w:ascii="Verdana" w:hAnsi="Verdana"/>
        </w:rPr>
        <w:t xml:space="preserve">Ersoy, A. (2024) </w:t>
      </w:r>
      <w:r w:rsidR="001670EF">
        <w:rPr>
          <w:rFonts w:ascii="Verdana" w:hAnsi="Verdana"/>
        </w:rPr>
        <w:t>‘</w:t>
      </w:r>
      <w:r w:rsidRPr="0006788A">
        <w:rPr>
          <w:rFonts w:ascii="Verdana" w:hAnsi="Verdana"/>
        </w:rPr>
        <w:t>The relationship between job satisfaction and turnover intention: A meta</w:t>
      </w:r>
      <w:r w:rsidRPr="0006788A">
        <w:rPr>
          <w:rFonts w:ascii="Verdana" w:hAnsi="Verdana"/>
        </w:rPr>
        <w:noBreakHyphen/>
        <w:t>analysis</w:t>
      </w:r>
      <w:r w:rsidR="001670EF">
        <w:rPr>
          <w:rFonts w:ascii="Verdana" w:hAnsi="Verdana"/>
        </w:rPr>
        <w:t>’,</w:t>
      </w:r>
      <w:r w:rsidRPr="0006788A">
        <w:rPr>
          <w:rFonts w:ascii="Verdana" w:hAnsi="Verdana"/>
        </w:rPr>
        <w:t xml:space="preserve"> </w:t>
      </w:r>
      <w:r w:rsidRPr="0006788A">
        <w:rPr>
          <w:rFonts w:ascii="Verdana" w:hAnsi="Verdana"/>
          <w:i/>
          <w:iCs/>
        </w:rPr>
        <w:t>Journal of Human and Work, 11</w:t>
      </w:r>
      <w:r w:rsidRPr="0006788A">
        <w:rPr>
          <w:rFonts w:ascii="Verdana" w:hAnsi="Verdana"/>
        </w:rPr>
        <w:t xml:space="preserve">(2), </w:t>
      </w:r>
      <w:r w:rsidR="001670EF">
        <w:rPr>
          <w:rFonts w:ascii="Verdana" w:hAnsi="Verdana"/>
        </w:rPr>
        <w:t xml:space="preserve">pp. </w:t>
      </w:r>
      <w:r w:rsidRPr="0006788A">
        <w:rPr>
          <w:rFonts w:ascii="Verdana" w:hAnsi="Verdana"/>
        </w:rPr>
        <w:t>115–124.</w:t>
      </w:r>
      <w:r w:rsidR="001670EF">
        <w:rPr>
          <w:rFonts w:ascii="Verdana" w:hAnsi="Verdana"/>
        </w:rPr>
        <w:t xml:space="preserve">  Available at: </w:t>
      </w:r>
      <w:hyperlink r:id="rId37" w:history="1">
        <w:r w:rsidRPr="0006788A">
          <w:rPr>
            <w:rStyle w:val="Hyperlink"/>
            <w:rFonts w:ascii="Verdana" w:hAnsi="Verdana"/>
          </w:rPr>
          <w:t>https://doi.org/10.18394/iid.1464432</w:t>
        </w:r>
      </w:hyperlink>
    </w:p>
    <w:p w14:paraId="5B80ADCB" w14:textId="35D22F8E" w:rsidR="00FE090C" w:rsidRPr="0006788A" w:rsidRDefault="00C40ACC" w:rsidP="00FE090C">
      <w:pPr>
        <w:rPr>
          <w:rFonts w:ascii="Verdana" w:hAnsi="Verdana"/>
        </w:rPr>
      </w:pPr>
      <w:proofErr w:type="spellStart"/>
      <w:r w:rsidRPr="0006788A">
        <w:rPr>
          <w:rFonts w:ascii="Verdana" w:hAnsi="Verdana"/>
        </w:rPr>
        <w:t>Eurofound</w:t>
      </w:r>
      <w:proofErr w:type="spellEnd"/>
      <w:r w:rsidRPr="0006788A">
        <w:rPr>
          <w:rFonts w:ascii="Verdana" w:hAnsi="Verdana"/>
        </w:rPr>
        <w:t xml:space="preserve"> (202</w:t>
      </w:r>
      <w:r w:rsidR="00FE090C" w:rsidRPr="0006788A">
        <w:rPr>
          <w:rFonts w:ascii="Verdana" w:hAnsi="Verdana"/>
        </w:rPr>
        <w:t>3</w:t>
      </w:r>
      <w:r w:rsidRPr="0006788A">
        <w:rPr>
          <w:rFonts w:ascii="Verdana" w:hAnsi="Verdana"/>
        </w:rPr>
        <w:t xml:space="preserve">) </w:t>
      </w:r>
      <w:r w:rsidR="0079022B">
        <w:rPr>
          <w:rFonts w:ascii="Verdana" w:hAnsi="Verdana"/>
        </w:rPr>
        <w:t>‘</w:t>
      </w:r>
      <w:r w:rsidR="00FE090C" w:rsidRPr="0079022B">
        <w:rPr>
          <w:rFonts w:ascii="Verdana" w:hAnsi="Verdana"/>
        </w:rPr>
        <w:t>Addressing labour shortages and skills gaps in the EU</w:t>
      </w:r>
      <w:r w:rsidR="0079022B" w:rsidRPr="0079022B">
        <w:rPr>
          <w:rFonts w:ascii="Verdana" w:hAnsi="Verdana"/>
        </w:rPr>
        <w:t>’</w:t>
      </w:r>
      <w:r w:rsidR="0079022B">
        <w:rPr>
          <w:rFonts w:ascii="Verdana" w:hAnsi="Verdana"/>
          <w:i/>
          <w:iCs/>
        </w:rPr>
        <w:t>,</w:t>
      </w:r>
      <w:r w:rsidR="00C75932">
        <w:rPr>
          <w:rFonts w:ascii="Verdana" w:hAnsi="Verdana"/>
          <w:i/>
          <w:iCs/>
        </w:rPr>
        <w:t xml:space="preserve"> </w:t>
      </w:r>
      <w:r w:rsidR="00FE090C" w:rsidRPr="0006788A">
        <w:rPr>
          <w:rFonts w:ascii="Verdana" w:hAnsi="Verdana"/>
          <w:i/>
          <w:iCs/>
        </w:rPr>
        <w:t xml:space="preserve">Publications Office of the European Union. </w:t>
      </w:r>
      <w:r w:rsidR="00FE090C" w:rsidRPr="0006788A">
        <w:rPr>
          <w:rFonts w:ascii="Verdana" w:hAnsi="Verdana"/>
        </w:rPr>
        <w:t xml:space="preserve">Available at: </w:t>
      </w:r>
      <w:hyperlink r:id="rId38" w:history="1">
        <w:r w:rsidR="0079022B" w:rsidRPr="001A35EA">
          <w:rPr>
            <w:rStyle w:val="Hyperlink"/>
            <w:rFonts w:ascii="Verdana" w:hAnsi="Verdana"/>
          </w:rPr>
          <w:t>https://www.eurofound.europa.eu</w:t>
        </w:r>
      </w:hyperlink>
      <w:r w:rsidR="0079022B">
        <w:rPr>
          <w:rFonts w:ascii="Verdana" w:hAnsi="Verdana"/>
        </w:rPr>
        <w:t xml:space="preserve"> </w:t>
      </w:r>
      <w:r w:rsidR="00C75932" w:rsidRPr="0006788A">
        <w:rPr>
          <w:rFonts w:ascii="Verdana" w:hAnsi="Verdana" w:cstheme="minorHAnsi"/>
          <w:bCs/>
        </w:rPr>
        <w:t>(Accessed: 20 April 2026)</w:t>
      </w:r>
      <w:r w:rsidR="00C75932">
        <w:rPr>
          <w:rFonts w:ascii="Verdana" w:hAnsi="Verdana" w:cstheme="minorHAnsi"/>
          <w:bCs/>
        </w:rPr>
        <w:t>.</w:t>
      </w:r>
    </w:p>
    <w:p w14:paraId="5935E9B0" w14:textId="6CA4A9F5" w:rsidR="000F12C4" w:rsidRPr="0006788A" w:rsidRDefault="000F12C4" w:rsidP="000F12C4">
      <w:pPr>
        <w:rPr>
          <w:rFonts w:ascii="Verdana" w:hAnsi="Verdana"/>
        </w:rPr>
      </w:pPr>
      <w:r w:rsidRPr="0006788A">
        <w:rPr>
          <w:rFonts w:ascii="Verdana" w:hAnsi="Verdana"/>
        </w:rPr>
        <w:t xml:space="preserve">Faragher, E. B., Cass, M., </w:t>
      </w:r>
      <w:r w:rsidR="00272A29">
        <w:rPr>
          <w:rFonts w:ascii="Verdana" w:hAnsi="Verdana"/>
        </w:rPr>
        <w:t>and</w:t>
      </w:r>
      <w:r w:rsidRPr="0006788A">
        <w:rPr>
          <w:rFonts w:ascii="Verdana" w:hAnsi="Verdana"/>
        </w:rPr>
        <w:t xml:space="preserve"> Cooper, C. L. (2005) </w:t>
      </w:r>
      <w:r w:rsidR="00C75932">
        <w:rPr>
          <w:rFonts w:ascii="Verdana" w:hAnsi="Verdana"/>
        </w:rPr>
        <w:t>‘</w:t>
      </w:r>
      <w:r w:rsidRPr="0006788A">
        <w:rPr>
          <w:rFonts w:ascii="Verdana" w:hAnsi="Verdana"/>
        </w:rPr>
        <w:t>The relationship between job satisfaction and health: A meta</w:t>
      </w:r>
      <w:r w:rsidRPr="0006788A">
        <w:rPr>
          <w:rFonts w:ascii="Verdana" w:hAnsi="Verdana"/>
        </w:rPr>
        <w:noBreakHyphen/>
        <w:t>analysis</w:t>
      </w:r>
      <w:r w:rsidR="00C75932">
        <w:rPr>
          <w:rFonts w:ascii="Verdana" w:hAnsi="Verdana"/>
        </w:rPr>
        <w:t>’,</w:t>
      </w:r>
      <w:r w:rsidRPr="0006788A">
        <w:rPr>
          <w:rFonts w:ascii="Verdana" w:hAnsi="Verdana"/>
        </w:rPr>
        <w:t xml:space="preserve"> </w:t>
      </w:r>
      <w:r w:rsidRPr="0006788A">
        <w:rPr>
          <w:rFonts w:ascii="Verdana" w:hAnsi="Verdana"/>
          <w:i/>
          <w:iCs/>
        </w:rPr>
        <w:t>Occupational and Environmental Medicine, 62</w:t>
      </w:r>
      <w:r w:rsidRPr="0006788A">
        <w:rPr>
          <w:rFonts w:ascii="Verdana" w:hAnsi="Verdana"/>
        </w:rPr>
        <w:t xml:space="preserve">(2), </w:t>
      </w:r>
      <w:r w:rsidR="00C75932">
        <w:rPr>
          <w:rFonts w:ascii="Verdana" w:hAnsi="Verdana"/>
        </w:rPr>
        <w:t xml:space="preserve">pp. </w:t>
      </w:r>
      <w:r w:rsidRPr="0006788A">
        <w:rPr>
          <w:rFonts w:ascii="Verdana" w:hAnsi="Verdana"/>
        </w:rPr>
        <w:t xml:space="preserve">105–112.  Available at:  </w:t>
      </w:r>
      <w:hyperlink r:id="rId39" w:history="1">
        <w:r w:rsidR="00057959" w:rsidRPr="0006788A">
          <w:rPr>
            <w:rStyle w:val="Hyperlink"/>
            <w:rFonts w:ascii="Verdana" w:hAnsi="Verdana"/>
          </w:rPr>
          <w:t>https://doi.org/10.1136/oem.2002.006734</w:t>
        </w:r>
      </w:hyperlink>
    </w:p>
    <w:p w14:paraId="02F18CCA" w14:textId="42A499D6" w:rsidR="00BD7B34" w:rsidRPr="0006788A" w:rsidRDefault="00BD7B34" w:rsidP="00BD7B34">
      <w:pPr>
        <w:rPr>
          <w:rFonts w:ascii="Verdana" w:hAnsi="Verdana"/>
        </w:rPr>
      </w:pPr>
      <w:r w:rsidRPr="0006788A">
        <w:rPr>
          <w:rFonts w:ascii="Verdana" w:hAnsi="Verdana"/>
        </w:rPr>
        <w:t xml:space="preserve">Fischer, D., </w:t>
      </w:r>
      <w:r w:rsidR="00F36D6F" w:rsidRPr="00F36D6F">
        <w:rPr>
          <w:rFonts w:ascii="Verdana" w:hAnsi="Verdana"/>
        </w:rPr>
        <w:t xml:space="preserve">Lombardi, D. A., Folkard, S., Willetts, J., &amp; Christiani, D. C.  </w:t>
      </w:r>
      <w:r w:rsidRPr="0006788A">
        <w:rPr>
          <w:rFonts w:ascii="Verdana" w:hAnsi="Verdana"/>
        </w:rPr>
        <w:t>(2021)</w:t>
      </w:r>
      <w:r w:rsidRPr="0006788A">
        <w:rPr>
          <w:rFonts w:ascii="Verdana" w:hAnsi="Verdana"/>
          <w:b/>
          <w:bCs/>
        </w:rPr>
        <w:t xml:space="preserve"> </w:t>
      </w:r>
      <w:r w:rsidR="00F36D6F">
        <w:rPr>
          <w:rFonts w:ascii="Verdana" w:hAnsi="Verdana"/>
          <w:b/>
          <w:bCs/>
        </w:rPr>
        <w:t>‘</w:t>
      </w:r>
      <w:r w:rsidRPr="0006788A">
        <w:rPr>
          <w:rFonts w:ascii="Verdana" w:hAnsi="Verdana"/>
        </w:rPr>
        <w:t>Shift work, fatigue and employee wellbeing: A systematic review</w:t>
      </w:r>
      <w:r w:rsidR="00F36D6F">
        <w:rPr>
          <w:rFonts w:ascii="Verdana" w:hAnsi="Verdana"/>
        </w:rPr>
        <w:t>’,</w:t>
      </w:r>
      <w:r w:rsidRPr="0006788A">
        <w:rPr>
          <w:rFonts w:ascii="Verdana" w:hAnsi="Verdana"/>
        </w:rPr>
        <w:t xml:space="preserve"> </w:t>
      </w:r>
      <w:r w:rsidRPr="0006788A">
        <w:rPr>
          <w:rFonts w:ascii="Verdana" w:hAnsi="Verdana"/>
          <w:i/>
          <w:iCs/>
        </w:rPr>
        <w:t>Chronobiology International, 38</w:t>
      </w:r>
      <w:r w:rsidRPr="0006788A">
        <w:rPr>
          <w:rFonts w:ascii="Verdana" w:hAnsi="Verdana"/>
        </w:rPr>
        <w:t xml:space="preserve">(8), </w:t>
      </w:r>
      <w:r w:rsidR="00F36D6F">
        <w:rPr>
          <w:rFonts w:ascii="Verdana" w:hAnsi="Verdana"/>
        </w:rPr>
        <w:t xml:space="preserve">pp. </w:t>
      </w:r>
      <w:r w:rsidRPr="0006788A">
        <w:rPr>
          <w:rFonts w:ascii="Verdana" w:hAnsi="Verdana"/>
        </w:rPr>
        <w:t xml:space="preserve">1106–1125. Available at: </w:t>
      </w:r>
      <w:hyperlink r:id="rId40" w:history="1">
        <w:r w:rsidR="00FE5A8D" w:rsidRPr="0006788A">
          <w:rPr>
            <w:rStyle w:val="Hyperlink"/>
            <w:rFonts w:ascii="Verdana" w:hAnsi="Verdana"/>
          </w:rPr>
          <w:t>https://doi.org/10.1080/07420528.2021.1926763</w:t>
        </w:r>
      </w:hyperlink>
    </w:p>
    <w:p w14:paraId="5A8CFF6E" w14:textId="3F4376DC" w:rsidR="00FE5A8D" w:rsidRPr="0006788A" w:rsidRDefault="00FE5A8D" w:rsidP="00FE5A8D">
      <w:pPr>
        <w:rPr>
          <w:rFonts w:ascii="Verdana" w:hAnsi="Verdana"/>
        </w:rPr>
      </w:pPr>
      <w:r w:rsidRPr="0006788A">
        <w:rPr>
          <w:rFonts w:ascii="Verdana" w:hAnsi="Verdana"/>
        </w:rPr>
        <w:t xml:space="preserve">Goetzel, R. Z., </w:t>
      </w:r>
      <w:r w:rsidR="00272A29">
        <w:rPr>
          <w:rFonts w:ascii="Verdana" w:hAnsi="Verdana"/>
        </w:rPr>
        <w:t>and</w:t>
      </w:r>
      <w:r w:rsidRPr="0006788A">
        <w:rPr>
          <w:rFonts w:ascii="Verdana" w:hAnsi="Verdana"/>
        </w:rPr>
        <w:t xml:space="preserve"> Pronk, N. P. (2010)</w:t>
      </w:r>
      <w:r w:rsidR="00F36D6F">
        <w:rPr>
          <w:rFonts w:ascii="Verdana" w:hAnsi="Verdana"/>
        </w:rPr>
        <w:t xml:space="preserve"> </w:t>
      </w:r>
      <w:r w:rsidR="00F36D6F" w:rsidRPr="00DC26A6">
        <w:rPr>
          <w:rFonts w:ascii="Verdana" w:hAnsi="Verdana"/>
        </w:rPr>
        <w:t>‘</w:t>
      </w:r>
      <w:r w:rsidRPr="00DC26A6">
        <w:rPr>
          <w:rFonts w:ascii="Verdana" w:hAnsi="Verdana"/>
        </w:rPr>
        <w:t>Workplace health promotion: How to make it work</w:t>
      </w:r>
      <w:r w:rsidR="00F36D6F" w:rsidRPr="00DC26A6">
        <w:rPr>
          <w:rFonts w:ascii="Verdana" w:hAnsi="Verdana"/>
        </w:rPr>
        <w:t>’</w:t>
      </w:r>
      <w:r w:rsidR="00F36D6F">
        <w:rPr>
          <w:rFonts w:ascii="Verdana" w:hAnsi="Verdana"/>
          <w:i/>
          <w:iCs/>
        </w:rPr>
        <w:t>,</w:t>
      </w:r>
      <w:r w:rsidRPr="0006788A">
        <w:rPr>
          <w:rFonts w:ascii="Verdana" w:hAnsi="Verdana"/>
          <w:i/>
          <w:iCs/>
        </w:rPr>
        <w:t xml:space="preserve"> Journal of Occupational and Environmental Medicine</w:t>
      </w:r>
      <w:r w:rsidRPr="0006788A">
        <w:rPr>
          <w:rFonts w:ascii="Verdana" w:hAnsi="Verdana"/>
        </w:rPr>
        <w:t>, 52(1), S25–S29.</w:t>
      </w:r>
      <w:r w:rsidR="00DC26A6">
        <w:rPr>
          <w:rFonts w:ascii="Verdana" w:hAnsi="Verdana"/>
        </w:rPr>
        <w:t xml:space="preserve">  </w:t>
      </w:r>
      <w:r w:rsidRPr="0006788A">
        <w:rPr>
          <w:rFonts w:ascii="Verdana" w:hAnsi="Verdana"/>
        </w:rPr>
        <w:t xml:space="preserve">Available at:  </w:t>
      </w:r>
      <w:hyperlink r:id="rId41" w:history="1">
        <w:r w:rsidRPr="0006788A">
          <w:rPr>
            <w:rStyle w:val="Hyperlink"/>
            <w:rFonts w:ascii="Verdana" w:hAnsi="Verdana"/>
          </w:rPr>
          <w:t>https://journals.lww.com/joem/Abstract/2010/01001/Workplace_Health_Promotion__How_to_Make.7.aspx</w:t>
        </w:r>
      </w:hyperlink>
      <w:r w:rsidRPr="0006788A">
        <w:rPr>
          <w:rFonts w:ascii="Verdana" w:hAnsi="Verdana"/>
        </w:rPr>
        <w:t xml:space="preserve"> </w:t>
      </w:r>
      <w:r w:rsidR="00DC26A6" w:rsidRPr="0006788A">
        <w:rPr>
          <w:rFonts w:ascii="Verdana" w:hAnsi="Verdana" w:cstheme="minorHAnsi"/>
          <w:bCs/>
        </w:rPr>
        <w:t>(Accessed: 20 April 2026)</w:t>
      </w:r>
      <w:r w:rsidR="00DC26A6">
        <w:rPr>
          <w:rFonts w:ascii="Verdana" w:hAnsi="Verdana" w:cstheme="minorHAnsi"/>
          <w:bCs/>
        </w:rPr>
        <w:t>.</w:t>
      </w:r>
    </w:p>
    <w:p w14:paraId="0948AEEF" w14:textId="4D5C24CC" w:rsidR="00057959" w:rsidRPr="0006788A" w:rsidRDefault="005007D0" w:rsidP="000F12C4">
      <w:pPr>
        <w:rPr>
          <w:rFonts w:ascii="Verdana" w:hAnsi="Verdana"/>
        </w:rPr>
      </w:pPr>
      <w:r w:rsidRPr="0006788A">
        <w:rPr>
          <w:rFonts w:ascii="Verdana" w:hAnsi="Verdana"/>
        </w:rPr>
        <w:lastRenderedPageBreak/>
        <w:t xml:space="preserve">Guest, D. E. (2017) </w:t>
      </w:r>
      <w:r w:rsidR="00DC26A6">
        <w:rPr>
          <w:rFonts w:ascii="Verdana" w:hAnsi="Verdana"/>
        </w:rPr>
        <w:t>‘</w:t>
      </w:r>
      <w:r w:rsidRPr="0006788A">
        <w:rPr>
          <w:rFonts w:ascii="Verdana" w:hAnsi="Verdana"/>
        </w:rPr>
        <w:t xml:space="preserve">Human resource management and employee well-being: </w:t>
      </w:r>
      <w:r w:rsidR="00E22775" w:rsidRPr="0006788A">
        <w:rPr>
          <w:rFonts w:ascii="Verdana" w:hAnsi="Verdana"/>
        </w:rPr>
        <w:t>Towards a new analytic framework</w:t>
      </w:r>
      <w:r w:rsidR="00DC26A6">
        <w:rPr>
          <w:rFonts w:ascii="Verdana" w:hAnsi="Verdana"/>
        </w:rPr>
        <w:t>’,</w:t>
      </w:r>
      <w:r w:rsidR="00E22775" w:rsidRPr="00DC26A6">
        <w:rPr>
          <w:rFonts w:ascii="Verdana" w:hAnsi="Verdana"/>
          <w:i/>
          <w:iCs/>
        </w:rPr>
        <w:t xml:space="preserve"> Human Resource Management Journal,</w:t>
      </w:r>
      <w:r w:rsidR="00E22775" w:rsidRPr="0006788A">
        <w:rPr>
          <w:rFonts w:ascii="Verdana" w:hAnsi="Verdana"/>
        </w:rPr>
        <w:t xml:space="preserve"> 27(1), 22–38.</w:t>
      </w:r>
      <w:r w:rsidR="00DC26A6">
        <w:rPr>
          <w:rFonts w:ascii="Verdana" w:hAnsi="Verdana"/>
        </w:rPr>
        <w:t xml:space="preserve">  Available at: </w:t>
      </w:r>
      <w:hyperlink r:id="rId42" w:history="1">
        <w:r w:rsidR="00B2661B" w:rsidRPr="0006788A">
          <w:rPr>
            <w:rStyle w:val="Hyperlink"/>
            <w:rFonts w:ascii="Verdana" w:hAnsi="Verdana"/>
          </w:rPr>
          <w:t>https://doi.org/10.1111/1748-8583.12139</w:t>
        </w:r>
      </w:hyperlink>
    </w:p>
    <w:p w14:paraId="607C0AD7" w14:textId="097F6285" w:rsidR="00B2661B" w:rsidRPr="0006788A" w:rsidRDefault="00B2661B" w:rsidP="00B2661B">
      <w:pPr>
        <w:rPr>
          <w:rFonts w:ascii="Verdana" w:hAnsi="Verdana"/>
        </w:rPr>
      </w:pPr>
      <w:r w:rsidRPr="0006788A">
        <w:rPr>
          <w:rFonts w:ascii="Verdana" w:hAnsi="Verdana"/>
        </w:rPr>
        <w:t xml:space="preserve">Hammer, L. B., Dimoff, J., Mohr, C., </w:t>
      </w:r>
      <w:r w:rsidR="00272A29">
        <w:rPr>
          <w:rFonts w:ascii="Verdana" w:hAnsi="Verdana"/>
        </w:rPr>
        <w:t>and</w:t>
      </w:r>
      <w:r w:rsidRPr="0006788A">
        <w:rPr>
          <w:rFonts w:ascii="Verdana" w:hAnsi="Verdana"/>
        </w:rPr>
        <w:t xml:space="preserve"> Allen, S. (2024) </w:t>
      </w:r>
      <w:r w:rsidR="00DC26A6" w:rsidRPr="00DC26A6">
        <w:rPr>
          <w:rFonts w:ascii="Verdana" w:hAnsi="Verdana"/>
        </w:rPr>
        <w:t>‘</w:t>
      </w:r>
      <w:r w:rsidRPr="00DC26A6">
        <w:rPr>
          <w:rFonts w:ascii="Verdana" w:hAnsi="Verdana"/>
        </w:rPr>
        <w:t>A framework for protecting and promoting employee mental health through supervisor supportive behaviours</w:t>
      </w:r>
      <w:r w:rsidR="00DC26A6" w:rsidRPr="00DC26A6">
        <w:rPr>
          <w:rFonts w:ascii="Verdana" w:hAnsi="Verdana"/>
        </w:rPr>
        <w:t>’,</w:t>
      </w:r>
      <w:r w:rsidR="00DC26A6">
        <w:rPr>
          <w:rFonts w:ascii="Verdana" w:hAnsi="Verdana"/>
          <w:i/>
          <w:iCs/>
        </w:rPr>
        <w:t xml:space="preserve"> </w:t>
      </w:r>
      <w:r w:rsidRPr="0006788A">
        <w:rPr>
          <w:rFonts w:ascii="Verdana" w:hAnsi="Verdana"/>
          <w:i/>
          <w:iCs/>
        </w:rPr>
        <w:t>Occupational Health Science</w:t>
      </w:r>
      <w:r w:rsidRPr="0006788A">
        <w:rPr>
          <w:rFonts w:ascii="Verdana" w:hAnsi="Verdana"/>
        </w:rPr>
        <w:t xml:space="preserve">, 8, </w:t>
      </w:r>
      <w:r w:rsidR="00DC26A6">
        <w:rPr>
          <w:rFonts w:ascii="Verdana" w:hAnsi="Verdana"/>
        </w:rPr>
        <w:t xml:space="preserve">pp. </w:t>
      </w:r>
      <w:r w:rsidRPr="0006788A">
        <w:rPr>
          <w:rFonts w:ascii="Verdana" w:hAnsi="Verdana"/>
        </w:rPr>
        <w:t xml:space="preserve">243–268.  Available at: </w:t>
      </w:r>
      <w:hyperlink r:id="rId43" w:history="1">
        <w:r w:rsidR="00DC26A6" w:rsidRPr="001A35EA">
          <w:rPr>
            <w:rStyle w:val="Hyperlink"/>
            <w:rFonts w:ascii="Verdana" w:hAnsi="Verdana"/>
          </w:rPr>
          <w:t>https://link.springer.com/article/10.1007/s41542-023-00171-x</w:t>
        </w:r>
      </w:hyperlink>
      <w:r w:rsidR="00DC26A6">
        <w:rPr>
          <w:rFonts w:ascii="Verdana" w:hAnsi="Verdana"/>
        </w:rPr>
        <w:t xml:space="preserve"> </w:t>
      </w:r>
      <w:r w:rsidR="00DC26A6" w:rsidRPr="0006788A">
        <w:rPr>
          <w:rFonts w:ascii="Verdana" w:hAnsi="Verdana" w:cstheme="minorHAnsi"/>
          <w:bCs/>
        </w:rPr>
        <w:t>(Accessed: 20 April 2026)</w:t>
      </w:r>
      <w:r w:rsidR="00DC26A6">
        <w:rPr>
          <w:rFonts w:ascii="Verdana" w:hAnsi="Verdana" w:cstheme="minorHAnsi"/>
          <w:bCs/>
        </w:rPr>
        <w:t>.</w:t>
      </w:r>
    </w:p>
    <w:p w14:paraId="082DE6A4" w14:textId="7B7633DE" w:rsidR="00B2661B" w:rsidRPr="0006788A" w:rsidRDefault="0094004B" w:rsidP="0094004B">
      <w:pPr>
        <w:rPr>
          <w:rFonts w:ascii="Verdana" w:hAnsi="Verdana"/>
        </w:rPr>
      </w:pPr>
      <w:r w:rsidRPr="0006788A">
        <w:rPr>
          <w:rFonts w:ascii="Verdana" w:hAnsi="Verdana"/>
        </w:rPr>
        <w:t>Hancock, A.J., Daher-Moreno, N.E. and Arnold, K.A. (2023) ‘The Role of Line Managers in Promoting and Protecting Employee Well-Being’, in L.M. Lapierre and S.C. Cooper (eds.) </w:t>
      </w:r>
      <w:r w:rsidRPr="0006788A">
        <w:rPr>
          <w:rFonts w:ascii="Verdana" w:hAnsi="Verdana"/>
          <w:i/>
          <w:iCs/>
        </w:rPr>
        <w:t>Organizational Stress and Well-Being</w:t>
      </w:r>
      <w:r w:rsidRPr="0006788A">
        <w:rPr>
          <w:rFonts w:ascii="Verdana" w:hAnsi="Verdana"/>
        </w:rPr>
        <w:t>. Cambridge University Press (Cambridge Companions to Management), pp. 123–152.</w:t>
      </w:r>
      <w:r w:rsidR="00DC26A6">
        <w:rPr>
          <w:rFonts w:ascii="Verdana" w:hAnsi="Verdana"/>
        </w:rPr>
        <w:t xml:space="preserve"> </w:t>
      </w:r>
      <w:r w:rsidR="00DC26A6" w:rsidRPr="0006788A">
        <w:rPr>
          <w:rFonts w:ascii="Verdana" w:hAnsi="Verdana" w:cstheme="minorHAnsi"/>
          <w:bCs/>
        </w:rPr>
        <w:t>(Accessed: 2</w:t>
      </w:r>
      <w:r w:rsidR="00DC26A6">
        <w:rPr>
          <w:rFonts w:ascii="Verdana" w:hAnsi="Verdana" w:cstheme="minorHAnsi"/>
          <w:bCs/>
        </w:rPr>
        <w:t>5</w:t>
      </w:r>
      <w:r w:rsidR="00DC26A6" w:rsidRPr="0006788A">
        <w:rPr>
          <w:rFonts w:ascii="Verdana" w:hAnsi="Verdana" w:cstheme="minorHAnsi"/>
          <w:bCs/>
        </w:rPr>
        <w:t xml:space="preserve"> April 2026)</w:t>
      </w:r>
      <w:r w:rsidR="00DC26A6">
        <w:rPr>
          <w:rFonts w:ascii="Verdana" w:hAnsi="Verdana" w:cstheme="minorHAnsi"/>
          <w:bCs/>
        </w:rPr>
        <w:t>.</w:t>
      </w:r>
    </w:p>
    <w:p w14:paraId="15688286" w14:textId="76F1EB5B" w:rsidR="002A2680" w:rsidRPr="0006788A" w:rsidRDefault="002A2680" w:rsidP="002A2680">
      <w:pPr>
        <w:rPr>
          <w:rFonts w:ascii="Verdana" w:hAnsi="Verdana"/>
        </w:rPr>
      </w:pPr>
      <w:r w:rsidRPr="0006788A">
        <w:rPr>
          <w:rFonts w:ascii="Verdana" w:hAnsi="Verdana"/>
        </w:rPr>
        <w:t xml:space="preserve">Harter, J. K., Schmidt, F. L., </w:t>
      </w:r>
      <w:r w:rsidR="00272A29">
        <w:rPr>
          <w:rFonts w:ascii="Verdana" w:hAnsi="Verdana"/>
        </w:rPr>
        <w:t>and</w:t>
      </w:r>
      <w:r w:rsidRPr="0006788A">
        <w:rPr>
          <w:rFonts w:ascii="Verdana" w:hAnsi="Verdana"/>
        </w:rPr>
        <w:t xml:space="preserve"> Hayes, T. L. (2020)</w:t>
      </w:r>
      <w:r w:rsidR="00DC26A6">
        <w:rPr>
          <w:rFonts w:ascii="Verdana" w:hAnsi="Verdana"/>
        </w:rPr>
        <w:t xml:space="preserve"> ‘</w:t>
      </w:r>
      <w:r w:rsidRPr="0006788A">
        <w:rPr>
          <w:rFonts w:ascii="Verdana" w:hAnsi="Verdana"/>
        </w:rPr>
        <w:t>Well-being in the workplace and its relationship to business outcomes: A review of the Gallup studies</w:t>
      </w:r>
      <w:r w:rsidR="00DC26A6">
        <w:rPr>
          <w:rFonts w:ascii="Verdana" w:hAnsi="Verdana"/>
        </w:rPr>
        <w:t>’,</w:t>
      </w:r>
      <w:r w:rsidRPr="0006788A">
        <w:rPr>
          <w:rFonts w:ascii="Verdana" w:hAnsi="Verdana"/>
        </w:rPr>
        <w:t xml:space="preserve"> </w:t>
      </w:r>
      <w:r w:rsidRPr="0006788A">
        <w:rPr>
          <w:rFonts w:ascii="Verdana" w:hAnsi="Verdana"/>
          <w:i/>
          <w:iCs/>
        </w:rPr>
        <w:t>Journal of Occupational and Environmental Medicine, 62</w:t>
      </w:r>
      <w:r w:rsidRPr="0006788A">
        <w:rPr>
          <w:rFonts w:ascii="Verdana" w:hAnsi="Verdana"/>
        </w:rPr>
        <w:t xml:space="preserve">(7), </w:t>
      </w:r>
      <w:r w:rsidR="00DC26A6">
        <w:rPr>
          <w:rFonts w:ascii="Verdana" w:hAnsi="Verdana"/>
        </w:rPr>
        <w:t xml:space="preserve">pp. </w:t>
      </w:r>
      <w:r w:rsidRPr="0006788A">
        <w:rPr>
          <w:rFonts w:ascii="Verdana" w:hAnsi="Verdana"/>
        </w:rPr>
        <w:t>486–492.</w:t>
      </w:r>
      <w:r w:rsidR="00DC26A6">
        <w:rPr>
          <w:rFonts w:ascii="Verdana" w:hAnsi="Verdana"/>
        </w:rPr>
        <w:t xml:space="preserve"> Available at: </w:t>
      </w:r>
      <w:r w:rsidRPr="0006788A">
        <w:rPr>
          <w:rFonts w:ascii="Verdana" w:hAnsi="Verdana"/>
        </w:rPr>
        <w:t>https://doi.org/10.1097/JOM.0000000000001861</w:t>
      </w:r>
    </w:p>
    <w:p w14:paraId="45F51B1B" w14:textId="350FA6F6" w:rsidR="004B1B67" w:rsidRPr="004B1B67" w:rsidRDefault="0094004B" w:rsidP="004B1B67">
      <w:pPr>
        <w:rPr>
          <w:rFonts w:ascii="Verdana" w:hAnsi="Verdana"/>
          <w:highlight w:val="yellow"/>
        </w:rPr>
      </w:pPr>
      <w:r w:rsidRPr="0006788A">
        <w:rPr>
          <w:rFonts w:ascii="Verdana" w:hAnsi="Verdana"/>
        </w:rPr>
        <w:t xml:space="preserve">Harter, J., Schmidt, F., </w:t>
      </w:r>
      <w:r w:rsidR="00272A29">
        <w:rPr>
          <w:rFonts w:ascii="Verdana" w:hAnsi="Verdana"/>
        </w:rPr>
        <w:t>and</w:t>
      </w:r>
      <w:r w:rsidRPr="0006788A">
        <w:rPr>
          <w:rFonts w:ascii="Verdana" w:hAnsi="Verdana"/>
        </w:rPr>
        <w:t xml:space="preserve"> Keyes, C. (2020) </w:t>
      </w:r>
      <w:r w:rsidR="00DC26A6">
        <w:rPr>
          <w:rFonts w:ascii="Verdana" w:hAnsi="Verdana"/>
        </w:rPr>
        <w:t>‘</w:t>
      </w:r>
      <w:r w:rsidRPr="0006788A">
        <w:rPr>
          <w:rFonts w:ascii="Verdana" w:hAnsi="Verdana"/>
        </w:rPr>
        <w:t>Wellbeing in the workplace and its relationship to business outcomes</w:t>
      </w:r>
      <w:r w:rsidR="00DC26A6">
        <w:rPr>
          <w:rFonts w:ascii="Verdana" w:hAnsi="Verdana"/>
        </w:rPr>
        <w:t>’,</w:t>
      </w:r>
      <w:r w:rsidRPr="0006788A">
        <w:rPr>
          <w:rFonts w:ascii="Verdana" w:hAnsi="Verdana"/>
        </w:rPr>
        <w:t xml:space="preserve"> </w:t>
      </w:r>
      <w:r w:rsidRPr="0006788A">
        <w:rPr>
          <w:rFonts w:ascii="Verdana" w:hAnsi="Verdana"/>
          <w:i/>
          <w:iCs/>
        </w:rPr>
        <w:t>Gallup Research Journal</w:t>
      </w:r>
      <w:r w:rsidRPr="0006788A">
        <w:rPr>
          <w:rFonts w:ascii="Verdana" w:hAnsi="Verdana"/>
        </w:rPr>
        <w:t xml:space="preserve">. </w:t>
      </w:r>
      <w:r w:rsidRPr="004B1B67">
        <w:rPr>
          <w:rFonts w:ascii="Verdana" w:hAnsi="Verdana"/>
        </w:rPr>
        <w:t>Available at:</w:t>
      </w:r>
      <w:r w:rsidR="004B1B67" w:rsidRPr="004B1B67">
        <w:rPr>
          <w:rFonts w:ascii="Segoe UI" w:eastAsia="Times New Roman" w:hAnsi="Segoe UI" w:cs="Segoe UI"/>
          <w:kern w:val="0"/>
          <w:sz w:val="21"/>
          <w:szCs w:val="21"/>
          <w:lang w:eastAsia="en-GB"/>
          <w14:ligatures w14:val="none"/>
        </w:rPr>
        <w:t xml:space="preserve"> </w:t>
      </w:r>
      <w:hyperlink r:id="rId44" w:history="1">
        <w:r w:rsidR="004B1B67" w:rsidRPr="004B1B67">
          <w:rPr>
            <w:rStyle w:val="Hyperlink"/>
            <w:rFonts w:ascii="Verdana" w:hAnsi="Verdana"/>
          </w:rPr>
          <w:t>https://www.gallup.com/workplace/349484/state-of-the-global-workplace-2022-report.aspx</w:t>
        </w:r>
      </w:hyperlink>
      <w:r w:rsidR="004B1B67" w:rsidRPr="004B1B67">
        <w:rPr>
          <w:rFonts w:ascii="Verdana" w:hAnsi="Verdana"/>
        </w:rPr>
        <w:t xml:space="preserve">  (Accessed: 09 May 2026).</w:t>
      </w:r>
    </w:p>
    <w:p w14:paraId="022B51D6" w14:textId="74AD2DED" w:rsidR="0001414A" w:rsidRPr="0006788A" w:rsidRDefault="0001414A" w:rsidP="0001414A">
      <w:pPr>
        <w:rPr>
          <w:rFonts w:ascii="Verdana" w:hAnsi="Verdana"/>
        </w:rPr>
      </w:pPr>
      <w:r w:rsidRPr="0006788A">
        <w:rPr>
          <w:rFonts w:ascii="Verdana" w:hAnsi="Verdana"/>
        </w:rPr>
        <w:t>Harvey, G. (2025</w:t>
      </w:r>
      <w:r w:rsidR="00FF0D25" w:rsidRPr="0006788A">
        <w:rPr>
          <w:rFonts w:ascii="Verdana" w:hAnsi="Verdana"/>
        </w:rPr>
        <w:t>a</w:t>
      </w:r>
      <w:r w:rsidRPr="0006788A">
        <w:rPr>
          <w:rFonts w:ascii="Verdana" w:hAnsi="Verdana"/>
        </w:rPr>
        <w:t xml:space="preserve">) </w:t>
      </w:r>
      <w:r w:rsidR="004B1B67">
        <w:rPr>
          <w:rFonts w:ascii="Verdana" w:hAnsi="Verdana"/>
        </w:rPr>
        <w:t>‘</w:t>
      </w:r>
      <w:r w:rsidRPr="0006788A">
        <w:rPr>
          <w:rFonts w:ascii="Verdana" w:hAnsi="Verdana"/>
        </w:rPr>
        <w:t>Career sustainability and employee wellbeing in service organisations</w:t>
      </w:r>
      <w:r w:rsidR="004B1B67">
        <w:rPr>
          <w:rFonts w:ascii="Verdana" w:hAnsi="Verdana"/>
        </w:rPr>
        <w:t>’,</w:t>
      </w:r>
      <w:r w:rsidRPr="0006788A">
        <w:rPr>
          <w:rFonts w:ascii="Verdana" w:hAnsi="Verdana"/>
        </w:rPr>
        <w:t xml:space="preserve"> </w:t>
      </w:r>
      <w:r w:rsidRPr="0006788A">
        <w:rPr>
          <w:rFonts w:ascii="Verdana" w:hAnsi="Verdana"/>
          <w:i/>
          <w:iCs/>
        </w:rPr>
        <w:t>Human Resource Management Journal, 35</w:t>
      </w:r>
      <w:r w:rsidRPr="0006788A">
        <w:rPr>
          <w:rFonts w:ascii="Verdana" w:hAnsi="Verdana"/>
        </w:rPr>
        <w:t xml:space="preserve">(1), </w:t>
      </w:r>
      <w:r w:rsidR="004B1B67">
        <w:rPr>
          <w:rFonts w:ascii="Verdana" w:hAnsi="Verdana"/>
        </w:rPr>
        <w:t xml:space="preserve">pp. </w:t>
      </w:r>
      <w:r w:rsidRPr="0006788A">
        <w:rPr>
          <w:rFonts w:ascii="Verdana" w:hAnsi="Verdana"/>
        </w:rPr>
        <w:t xml:space="preserve">45–60. Available at: </w:t>
      </w:r>
      <w:hyperlink r:id="rId45" w:history="1">
        <w:r w:rsidR="00F83AC3" w:rsidRPr="0006788A">
          <w:rPr>
            <w:rStyle w:val="Hyperlink"/>
            <w:rFonts w:ascii="Verdana" w:hAnsi="Verdana"/>
          </w:rPr>
          <w:t>https://doi.org/10.1111/1748-8583.12501</w:t>
        </w:r>
      </w:hyperlink>
    </w:p>
    <w:p w14:paraId="46B99595" w14:textId="7067197C" w:rsidR="00FF0D25" w:rsidRPr="0006788A" w:rsidRDefault="00FF0D25" w:rsidP="00FF0D25">
      <w:pPr>
        <w:rPr>
          <w:rFonts w:ascii="Verdana" w:hAnsi="Verdana"/>
        </w:rPr>
      </w:pPr>
      <w:r w:rsidRPr="0006788A">
        <w:rPr>
          <w:rFonts w:ascii="Verdana" w:hAnsi="Verdana"/>
        </w:rPr>
        <w:t xml:space="preserve">Harvey, B. (2025b) </w:t>
      </w:r>
      <w:r w:rsidR="004B1B67">
        <w:rPr>
          <w:rFonts w:ascii="Verdana" w:hAnsi="Verdana"/>
        </w:rPr>
        <w:t>‘</w:t>
      </w:r>
      <w:r w:rsidRPr="0006788A">
        <w:rPr>
          <w:rFonts w:ascii="Verdana" w:hAnsi="Verdana"/>
        </w:rPr>
        <w:t>Why reward programmes fail without wellbeing at the core</w:t>
      </w:r>
      <w:r w:rsidR="004B1B67">
        <w:rPr>
          <w:rFonts w:ascii="Verdana" w:hAnsi="Verdana"/>
        </w:rPr>
        <w:t xml:space="preserve">’, </w:t>
      </w:r>
      <w:r w:rsidRPr="004B1B67">
        <w:rPr>
          <w:rFonts w:ascii="Verdana" w:hAnsi="Verdana"/>
          <w:i/>
          <w:iCs/>
        </w:rPr>
        <w:t>Reward and Employee Benefits Association.</w:t>
      </w:r>
      <w:r w:rsidRPr="0006788A">
        <w:rPr>
          <w:rFonts w:ascii="Verdana" w:hAnsi="Verdana"/>
        </w:rPr>
        <w:t xml:space="preserve"> Available at: </w:t>
      </w:r>
      <w:hyperlink r:id="rId46" w:history="1">
        <w:r w:rsidRPr="0006788A">
          <w:rPr>
            <w:rStyle w:val="Hyperlink"/>
            <w:rFonts w:ascii="Verdana" w:hAnsi="Verdana"/>
          </w:rPr>
          <w:t>https://reba.global/resource/why-mental-and-physical-wellness-should-be-part-of-rewards.html</w:t>
        </w:r>
      </w:hyperlink>
      <w:r w:rsidRPr="0006788A">
        <w:rPr>
          <w:rFonts w:ascii="Verdana" w:hAnsi="Verdana"/>
        </w:rPr>
        <w:t xml:space="preserve"> </w:t>
      </w:r>
      <w:r w:rsidRPr="0006788A">
        <w:rPr>
          <w:rFonts w:ascii="Verdana" w:hAnsi="Verdana" w:cstheme="minorHAnsi"/>
          <w:bCs/>
        </w:rPr>
        <w:t>(Accessed: 20 April 2026)</w:t>
      </w:r>
      <w:r w:rsidR="004B1B67">
        <w:rPr>
          <w:rFonts w:ascii="Verdana" w:hAnsi="Verdana" w:cstheme="minorHAnsi"/>
          <w:bCs/>
        </w:rPr>
        <w:t>.</w:t>
      </w:r>
    </w:p>
    <w:p w14:paraId="2A3244F8" w14:textId="0785B23F" w:rsidR="00F83AC3" w:rsidRPr="0006788A" w:rsidRDefault="00F83AC3" w:rsidP="0001414A">
      <w:pPr>
        <w:rPr>
          <w:rFonts w:ascii="Verdana" w:hAnsi="Verdana"/>
        </w:rPr>
      </w:pPr>
      <w:r w:rsidRPr="0006788A">
        <w:rPr>
          <w:rFonts w:ascii="Verdana" w:hAnsi="Verdana"/>
        </w:rPr>
        <w:t>Hassard J, Dulal-Arthur T, Bourke J, Wishart M, Roper S, et al. (2024) The relationship between line manager training in mental health and organisational outcomes. PLOS ONE 19(7): e0306065. </w:t>
      </w:r>
      <w:r w:rsidR="004B1B67">
        <w:rPr>
          <w:rFonts w:ascii="Verdana" w:hAnsi="Verdana"/>
        </w:rPr>
        <w:t xml:space="preserve">Available at:  </w:t>
      </w:r>
      <w:hyperlink r:id="rId47" w:history="1">
        <w:r w:rsidR="004B1B67" w:rsidRPr="001A35EA">
          <w:rPr>
            <w:rStyle w:val="Hyperlink"/>
            <w:rFonts w:ascii="Verdana" w:hAnsi="Verdana"/>
          </w:rPr>
          <w:t>https://doi.org/10.1371/journal.pone.0306065</w:t>
        </w:r>
      </w:hyperlink>
    </w:p>
    <w:p w14:paraId="1460CFA8" w14:textId="48AB719E" w:rsidR="000E297D" w:rsidRPr="000E297D" w:rsidRDefault="000E297D" w:rsidP="000E297D">
      <w:pPr>
        <w:rPr>
          <w:rFonts w:ascii="Verdana" w:hAnsi="Verdana"/>
        </w:rPr>
      </w:pPr>
      <w:r w:rsidRPr="000E297D">
        <w:rPr>
          <w:rFonts w:ascii="Verdana" w:hAnsi="Verdana"/>
        </w:rPr>
        <w:t xml:space="preserve">Jarden, R. J., Siegert, R. J., </w:t>
      </w:r>
      <w:r w:rsidR="00272A29">
        <w:rPr>
          <w:rFonts w:ascii="Verdana" w:hAnsi="Verdana"/>
        </w:rPr>
        <w:t>and</w:t>
      </w:r>
      <w:r w:rsidRPr="000E297D">
        <w:rPr>
          <w:rFonts w:ascii="Verdana" w:hAnsi="Verdana"/>
        </w:rPr>
        <w:t xml:space="preserve"> Koziol</w:t>
      </w:r>
      <w:r w:rsidRPr="000E297D">
        <w:rPr>
          <w:rFonts w:ascii="Verdana" w:hAnsi="Verdana"/>
        </w:rPr>
        <w:noBreakHyphen/>
        <w:t xml:space="preserve">McLain, J. (2023) </w:t>
      </w:r>
      <w:r w:rsidR="004B1B67">
        <w:rPr>
          <w:rFonts w:ascii="Verdana" w:hAnsi="Verdana"/>
        </w:rPr>
        <w:t>‘</w:t>
      </w:r>
      <w:r w:rsidRPr="000E297D">
        <w:rPr>
          <w:rFonts w:ascii="Verdana" w:hAnsi="Verdana"/>
          <w:i/>
          <w:iCs/>
        </w:rPr>
        <w:t>Wellbeing measures for workers: A systematic review and methodological quality appraisal</w:t>
      </w:r>
      <w:r w:rsidR="004B1B67">
        <w:rPr>
          <w:rFonts w:ascii="Verdana" w:hAnsi="Verdana"/>
        </w:rPr>
        <w:t>’,</w:t>
      </w:r>
      <w:r w:rsidR="004B1B67" w:rsidRPr="004B1B67">
        <w:rPr>
          <w:rFonts w:ascii="Verdana" w:hAnsi="Verdana"/>
          <w:i/>
          <w:iCs/>
        </w:rPr>
        <w:t xml:space="preserve"> </w:t>
      </w:r>
      <w:r w:rsidRPr="000E297D">
        <w:rPr>
          <w:rFonts w:ascii="Verdana" w:hAnsi="Verdana"/>
          <w:i/>
          <w:iCs/>
        </w:rPr>
        <w:t>Frontiers in Public Health</w:t>
      </w:r>
      <w:r w:rsidRPr="000E297D">
        <w:rPr>
          <w:rFonts w:ascii="Verdana" w:hAnsi="Verdana"/>
        </w:rPr>
        <w:t>, 11.</w:t>
      </w:r>
      <w:r w:rsidR="004B1B67">
        <w:rPr>
          <w:rFonts w:ascii="Verdana" w:hAnsi="Verdana"/>
        </w:rPr>
        <w:t xml:space="preserve"> </w:t>
      </w:r>
      <w:r w:rsidRPr="0006788A">
        <w:rPr>
          <w:rFonts w:ascii="Verdana" w:hAnsi="Verdana"/>
        </w:rPr>
        <w:t xml:space="preserve">Available at:  </w:t>
      </w:r>
      <w:hyperlink r:id="rId48" w:history="1">
        <w:r w:rsidR="004B1B67" w:rsidRPr="000E297D">
          <w:rPr>
            <w:rStyle w:val="Hyperlink"/>
            <w:rFonts w:ascii="Verdana" w:hAnsi="Verdana"/>
          </w:rPr>
          <w:t>https://www.frontiersin.org/articles/10.3389/fpubh.2023.1053179/full</w:t>
        </w:r>
      </w:hyperlink>
      <w:r w:rsidR="004B1B67">
        <w:rPr>
          <w:rFonts w:ascii="Verdana" w:hAnsi="Verdana"/>
        </w:rPr>
        <w:t xml:space="preserve"> (Accessed: 08 May 2026).</w:t>
      </w:r>
    </w:p>
    <w:p w14:paraId="77F86598" w14:textId="33A696C8" w:rsidR="000764FD" w:rsidRPr="000764FD" w:rsidRDefault="003B3A9E" w:rsidP="000764FD">
      <w:pPr>
        <w:rPr>
          <w:rFonts w:ascii="Verdana" w:hAnsi="Verdana"/>
          <w:highlight w:val="yellow"/>
        </w:rPr>
      </w:pPr>
      <w:r w:rsidRPr="0006788A">
        <w:rPr>
          <w:rFonts w:ascii="Verdana" w:hAnsi="Verdana"/>
        </w:rPr>
        <w:t>Judge, T. A., Weiss, H. M., Kammeyer</w:t>
      </w:r>
      <w:r w:rsidRPr="0006788A">
        <w:rPr>
          <w:rFonts w:ascii="Verdana" w:hAnsi="Verdana"/>
        </w:rPr>
        <w:noBreakHyphen/>
        <w:t xml:space="preserve">Mueller, J. D., </w:t>
      </w:r>
      <w:r w:rsidR="00272A29">
        <w:rPr>
          <w:rFonts w:ascii="Verdana" w:hAnsi="Verdana"/>
        </w:rPr>
        <w:t>and</w:t>
      </w:r>
      <w:r w:rsidRPr="0006788A">
        <w:rPr>
          <w:rFonts w:ascii="Verdana" w:hAnsi="Verdana"/>
        </w:rPr>
        <w:t xml:space="preserve"> Hulin, C. L. (2017)</w:t>
      </w:r>
      <w:r w:rsidR="004B1B67">
        <w:rPr>
          <w:rFonts w:ascii="Verdana" w:hAnsi="Verdana"/>
        </w:rPr>
        <w:t xml:space="preserve"> ‘</w:t>
      </w:r>
      <w:r w:rsidRPr="0006788A">
        <w:rPr>
          <w:rFonts w:ascii="Verdana" w:hAnsi="Verdana"/>
        </w:rPr>
        <w:t>Job attitudes, job satisfaction, and job performance</w:t>
      </w:r>
      <w:r w:rsidR="004B1B67">
        <w:rPr>
          <w:rFonts w:ascii="Verdana" w:hAnsi="Verdana"/>
        </w:rPr>
        <w:t xml:space="preserve">’, </w:t>
      </w:r>
      <w:r w:rsidRPr="0006788A">
        <w:rPr>
          <w:rFonts w:ascii="Verdana" w:hAnsi="Verdana"/>
          <w:i/>
          <w:iCs/>
        </w:rPr>
        <w:t>Annual Review of Psychology, 68</w:t>
      </w:r>
      <w:r w:rsidRPr="0006788A">
        <w:rPr>
          <w:rFonts w:ascii="Verdana" w:hAnsi="Verdana"/>
        </w:rPr>
        <w:t xml:space="preserve">, </w:t>
      </w:r>
      <w:r w:rsidR="004B1B67">
        <w:rPr>
          <w:rFonts w:ascii="Verdana" w:hAnsi="Verdana"/>
        </w:rPr>
        <w:t xml:space="preserve">pp. </w:t>
      </w:r>
      <w:r w:rsidRPr="0006788A">
        <w:rPr>
          <w:rFonts w:ascii="Verdana" w:hAnsi="Verdana"/>
        </w:rPr>
        <w:t xml:space="preserve">341–368. </w:t>
      </w:r>
      <w:r w:rsidRPr="000764FD">
        <w:rPr>
          <w:rFonts w:ascii="Verdana" w:hAnsi="Verdana"/>
        </w:rPr>
        <w:t>Available at:</w:t>
      </w:r>
      <w:r w:rsidR="000764FD" w:rsidRPr="000764FD">
        <w:rPr>
          <w:rFonts w:ascii="Segoe UI" w:eastAsia="Times New Roman" w:hAnsi="Segoe UI" w:cs="Segoe UI"/>
          <w:kern w:val="0"/>
          <w:sz w:val="21"/>
          <w:szCs w:val="21"/>
          <w:lang w:eastAsia="en-GB"/>
          <w14:ligatures w14:val="none"/>
        </w:rPr>
        <w:t xml:space="preserve"> </w:t>
      </w:r>
      <w:r w:rsidR="000764FD" w:rsidRPr="000764FD">
        <w:rPr>
          <w:rFonts w:ascii="Verdana" w:hAnsi="Verdana"/>
        </w:rPr>
        <w:t>https://doi.org/10.1146/annurev-psych-122414-033520</w:t>
      </w:r>
    </w:p>
    <w:p w14:paraId="03826994" w14:textId="77777777" w:rsidR="006F4FF8" w:rsidRPr="006F4FF8" w:rsidRDefault="00223A50" w:rsidP="006F4FF8">
      <w:pPr>
        <w:rPr>
          <w:rFonts w:ascii="Verdana" w:hAnsi="Verdana"/>
        </w:rPr>
      </w:pPr>
      <w:r w:rsidRPr="0006788A">
        <w:rPr>
          <w:rFonts w:ascii="Verdana" w:hAnsi="Verdana"/>
        </w:rPr>
        <w:t xml:space="preserve">Kelloway, E. K., Turner, N., Barling, J., </w:t>
      </w:r>
      <w:r w:rsidR="00272A29">
        <w:rPr>
          <w:rFonts w:ascii="Verdana" w:hAnsi="Verdana"/>
        </w:rPr>
        <w:t>and</w:t>
      </w:r>
      <w:r w:rsidRPr="0006788A">
        <w:rPr>
          <w:rFonts w:ascii="Verdana" w:hAnsi="Verdana"/>
        </w:rPr>
        <w:t xml:space="preserve"> Loughlin, C. (2012)</w:t>
      </w:r>
      <w:r w:rsidR="000764FD">
        <w:rPr>
          <w:rFonts w:ascii="Verdana" w:hAnsi="Verdana"/>
        </w:rPr>
        <w:t xml:space="preserve"> ‘</w:t>
      </w:r>
      <w:r w:rsidRPr="0006788A">
        <w:rPr>
          <w:rFonts w:ascii="Verdana" w:hAnsi="Verdana"/>
        </w:rPr>
        <w:t>Transformational leadership and employee wellbeing</w:t>
      </w:r>
      <w:r w:rsidR="000764FD">
        <w:rPr>
          <w:rFonts w:ascii="Verdana" w:hAnsi="Verdana"/>
        </w:rPr>
        <w:t xml:space="preserve">’, </w:t>
      </w:r>
      <w:r w:rsidRPr="0006788A">
        <w:rPr>
          <w:rFonts w:ascii="Verdana" w:hAnsi="Verdana"/>
          <w:i/>
          <w:iCs/>
        </w:rPr>
        <w:t>Journal of Occupational Health Psychology</w:t>
      </w:r>
      <w:r w:rsidRPr="0006788A">
        <w:rPr>
          <w:rFonts w:ascii="Verdana" w:hAnsi="Verdana"/>
        </w:rPr>
        <w:t xml:space="preserve">, 17(3), </w:t>
      </w:r>
      <w:r w:rsidR="000764FD">
        <w:rPr>
          <w:rFonts w:ascii="Verdana" w:hAnsi="Verdana"/>
        </w:rPr>
        <w:t xml:space="preserve">pp. </w:t>
      </w:r>
      <w:r w:rsidRPr="0006788A">
        <w:rPr>
          <w:rFonts w:ascii="Verdana" w:hAnsi="Verdana"/>
        </w:rPr>
        <w:t xml:space="preserve">329–344. </w:t>
      </w:r>
      <w:r w:rsidRPr="006F4FF8">
        <w:rPr>
          <w:rFonts w:ascii="Verdana" w:hAnsi="Verdana"/>
        </w:rPr>
        <w:t xml:space="preserve">Available at: </w:t>
      </w:r>
      <w:r w:rsidR="006F4FF8" w:rsidRPr="006F4FF8">
        <w:rPr>
          <w:rFonts w:ascii="Verdana" w:hAnsi="Verdana"/>
        </w:rPr>
        <w:t>https://doi.org/10.1037/a0028763</w:t>
      </w:r>
    </w:p>
    <w:p w14:paraId="53C5CF48" w14:textId="77777777" w:rsidR="009E3C50" w:rsidRPr="009E3C50" w:rsidRDefault="00D25502" w:rsidP="009E3C50">
      <w:pPr>
        <w:rPr>
          <w:rFonts w:ascii="Verdana" w:hAnsi="Verdana"/>
        </w:rPr>
      </w:pPr>
      <w:r w:rsidRPr="0006788A">
        <w:rPr>
          <w:rFonts w:ascii="Verdana" w:hAnsi="Verdana"/>
        </w:rPr>
        <w:t xml:space="preserve">Kelloway, E. K., Weigand, H., McKee, M. C., </w:t>
      </w:r>
      <w:r w:rsidR="00272A29">
        <w:rPr>
          <w:rFonts w:ascii="Verdana" w:hAnsi="Verdana"/>
        </w:rPr>
        <w:t>and</w:t>
      </w:r>
      <w:r w:rsidRPr="0006788A">
        <w:rPr>
          <w:rFonts w:ascii="Verdana" w:hAnsi="Verdana"/>
        </w:rPr>
        <w:t xml:space="preserve"> Das, H. (2021) </w:t>
      </w:r>
      <w:r w:rsidR="006F4FF8">
        <w:rPr>
          <w:rFonts w:ascii="Verdana" w:hAnsi="Verdana"/>
        </w:rPr>
        <w:t>‘</w:t>
      </w:r>
      <w:r w:rsidRPr="0006788A">
        <w:rPr>
          <w:rFonts w:ascii="Verdana" w:hAnsi="Verdana"/>
        </w:rPr>
        <w:t>Positive leadership and employee well-being</w:t>
      </w:r>
      <w:r w:rsidR="006F4FF8">
        <w:rPr>
          <w:rFonts w:ascii="Verdana" w:hAnsi="Verdana"/>
        </w:rPr>
        <w:t xml:space="preserve">’, </w:t>
      </w:r>
      <w:r w:rsidRPr="0006788A">
        <w:rPr>
          <w:rFonts w:ascii="Verdana" w:hAnsi="Verdana"/>
          <w:i/>
          <w:iCs/>
        </w:rPr>
        <w:t xml:space="preserve">Journal of Leadership </w:t>
      </w:r>
      <w:r w:rsidR="00272A29">
        <w:rPr>
          <w:rFonts w:ascii="Verdana" w:hAnsi="Verdana"/>
          <w:i/>
          <w:iCs/>
        </w:rPr>
        <w:t>and</w:t>
      </w:r>
      <w:r w:rsidRPr="0006788A">
        <w:rPr>
          <w:rFonts w:ascii="Verdana" w:hAnsi="Verdana"/>
          <w:i/>
          <w:iCs/>
        </w:rPr>
        <w:t xml:space="preserve"> Organizational Studies, 28</w:t>
      </w:r>
      <w:r w:rsidRPr="0006788A">
        <w:rPr>
          <w:rFonts w:ascii="Verdana" w:hAnsi="Verdana"/>
        </w:rPr>
        <w:t xml:space="preserve">(3), </w:t>
      </w:r>
      <w:r w:rsidR="006F4FF8">
        <w:rPr>
          <w:rFonts w:ascii="Verdana" w:hAnsi="Verdana"/>
        </w:rPr>
        <w:t xml:space="preserve">pp. </w:t>
      </w:r>
      <w:r w:rsidRPr="0006788A">
        <w:rPr>
          <w:rFonts w:ascii="Verdana" w:hAnsi="Verdana"/>
        </w:rPr>
        <w:t xml:space="preserve">259–272. </w:t>
      </w:r>
      <w:r w:rsidRPr="009E3C50">
        <w:rPr>
          <w:rFonts w:ascii="Verdana" w:hAnsi="Verdana"/>
        </w:rPr>
        <w:t>Available at:</w:t>
      </w:r>
      <w:r w:rsidR="009E3C50">
        <w:rPr>
          <w:rFonts w:ascii="Verdana" w:hAnsi="Verdana"/>
        </w:rPr>
        <w:t xml:space="preserve"> </w:t>
      </w:r>
      <w:r w:rsidR="009E3C50" w:rsidRPr="009E3C50">
        <w:rPr>
          <w:rFonts w:ascii="Verdana" w:hAnsi="Verdana"/>
        </w:rPr>
        <w:t>https://doi.org/10.1177/1548051820935349</w:t>
      </w:r>
    </w:p>
    <w:p w14:paraId="3E729888" w14:textId="77C3214A" w:rsidR="00497A1E" w:rsidRPr="0006788A" w:rsidRDefault="00497A1E" w:rsidP="0094004B">
      <w:pPr>
        <w:rPr>
          <w:rFonts w:ascii="Verdana" w:hAnsi="Verdana"/>
        </w:rPr>
      </w:pPr>
      <w:r w:rsidRPr="0006788A">
        <w:rPr>
          <w:rFonts w:ascii="Verdana" w:hAnsi="Verdana"/>
        </w:rPr>
        <w:t xml:space="preserve">Klinck, J., </w:t>
      </w:r>
      <w:proofErr w:type="spellStart"/>
      <w:r w:rsidRPr="0006788A">
        <w:rPr>
          <w:rFonts w:ascii="Verdana" w:hAnsi="Verdana"/>
        </w:rPr>
        <w:t>Mihailidis</w:t>
      </w:r>
      <w:proofErr w:type="spellEnd"/>
      <w:r w:rsidRPr="0006788A">
        <w:rPr>
          <w:rFonts w:ascii="Verdana" w:hAnsi="Verdana"/>
        </w:rPr>
        <w:t xml:space="preserve">, A., </w:t>
      </w:r>
      <w:r w:rsidR="00272A29">
        <w:rPr>
          <w:rFonts w:ascii="Verdana" w:hAnsi="Verdana"/>
        </w:rPr>
        <w:t>and</w:t>
      </w:r>
      <w:r w:rsidRPr="0006788A">
        <w:rPr>
          <w:rFonts w:ascii="Verdana" w:hAnsi="Verdana"/>
        </w:rPr>
        <w:t xml:space="preserve"> McConachie, H. (2020) </w:t>
      </w:r>
      <w:r w:rsidR="00C0266C">
        <w:rPr>
          <w:rFonts w:ascii="Verdana" w:hAnsi="Verdana"/>
        </w:rPr>
        <w:t>‘</w:t>
      </w:r>
      <w:r w:rsidRPr="0006788A">
        <w:rPr>
          <w:rFonts w:ascii="Verdana" w:hAnsi="Verdana"/>
        </w:rPr>
        <w:t>Mental health literacy and employee wellbeing: Implications for organisational culture</w:t>
      </w:r>
      <w:r w:rsidR="00C0266C">
        <w:rPr>
          <w:rFonts w:ascii="Verdana" w:hAnsi="Verdana"/>
        </w:rPr>
        <w:t>’,</w:t>
      </w:r>
      <w:r w:rsidRPr="0006788A">
        <w:rPr>
          <w:rFonts w:ascii="Verdana" w:hAnsi="Verdana"/>
        </w:rPr>
        <w:t xml:space="preserve"> </w:t>
      </w:r>
      <w:r w:rsidRPr="0006788A">
        <w:rPr>
          <w:rFonts w:ascii="Verdana" w:hAnsi="Verdana"/>
          <w:i/>
          <w:iCs/>
        </w:rPr>
        <w:t>Human Resource Management Review, 30</w:t>
      </w:r>
      <w:r w:rsidRPr="0006788A">
        <w:rPr>
          <w:rFonts w:ascii="Verdana" w:hAnsi="Verdana"/>
        </w:rPr>
        <w:t xml:space="preserve">(4), 100719. </w:t>
      </w:r>
      <w:r w:rsidR="00C0266C">
        <w:rPr>
          <w:rFonts w:ascii="Verdana" w:hAnsi="Verdana"/>
        </w:rPr>
        <w:t xml:space="preserve">Available at: </w:t>
      </w:r>
      <w:hyperlink r:id="rId49" w:history="1">
        <w:r w:rsidR="00C0266C" w:rsidRPr="001A35EA">
          <w:rPr>
            <w:rStyle w:val="Hyperlink"/>
            <w:rFonts w:ascii="Verdana" w:hAnsi="Verdana"/>
          </w:rPr>
          <w:t>https://doi.org/10.1016/j.hrmr.2019.100719</w:t>
        </w:r>
      </w:hyperlink>
    </w:p>
    <w:p w14:paraId="4B49BF10" w14:textId="71711367" w:rsidR="00871DA9" w:rsidRPr="0006788A" w:rsidRDefault="00871DA9" w:rsidP="0094004B">
      <w:pPr>
        <w:rPr>
          <w:rFonts w:ascii="Verdana" w:hAnsi="Verdana" w:cstheme="minorHAnsi"/>
          <w:bCs/>
        </w:rPr>
      </w:pPr>
      <w:r w:rsidRPr="0006788A">
        <w:rPr>
          <w:rFonts w:ascii="Verdana" w:hAnsi="Verdana" w:cstheme="minorHAnsi"/>
          <w:bCs/>
        </w:rPr>
        <w:t>Kartali</w:t>
      </w:r>
      <w:r w:rsidR="004A7519">
        <w:rPr>
          <w:rFonts w:ascii="Verdana" w:hAnsi="Verdana" w:cstheme="minorHAnsi"/>
          <w:bCs/>
        </w:rPr>
        <w:t>, A.M</w:t>
      </w:r>
      <w:r w:rsidRPr="0006788A">
        <w:rPr>
          <w:rFonts w:ascii="Verdana" w:hAnsi="Verdana" w:cstheme="minorHAnsi"/>
          <w:bCs/>
        </w:rPr>
        <w:t xml:space="preserve"> and </w:t>
      </w:r>
      <w:proofErr w:type="spellStart"/>
      <w:r w:rsidRPr="0006788A">
        <w:rPr>
          <w:rFonts w:ascii="Verdana" w:hAnsi="Verdana" w:cstheme="minorHAnsi"/>
          <w:bCs/>
        </w:rPr>
        <w:t>Gkliati</w:t>
      </w:r>
      <w:proofErr w:type="spellEnd"/>
      <w:r w:rsidRPr="0006788A">
        <w:rPr>
          <w:rFonts w:ascii="Verdana" w:hAnsi="Verdana" w:cstheme="minorHAnsi"/>
          <w:bCs/>
        </w:rPr>
        <w:t>,</w:t>
      </w:r>
      <w:r w:rsidR="004A7519">
        <w:rPr>
          <w:rFonts w:ascii="Verdana" w:hAnsi="Verdana" w:cstheme="minorHAnsi"/>
          <w:bCs/>
        </w:rPr>
        <w:t xml:space="preserve"> A. (</w:t>
      </w:r>
      <w:r w:rsidRPr="0006788A">
        <w:rPr>
          <w:rFonts w:ascii="Verdana" w:hAnsi="Verdana" w:cstheme="minorHAnsi"/>
          <w:bCs/>
        </w:rPr>
        <w:t>2024</w:t>
      </w:r>
      <w:r w:rsidR="004A7519">
        <w:rPr>
          <w:rFonts w:ascii="Verdana" w:hAnsi="Verdana" w:cstheme="minorHAnsi"/>
          <w:bCs/>
        </w:rPr>
        <w:t xml:space="preserve">) </w:t>
      </w:r>
      <w:r w:rsidR="007569C4" w:rsidRPr="007569C4">
        <w:rPr>
          <w:rFonts w:ascii="Verdana" w:hAnsi="Verdana" w:cstheme="minorHAnsi"/>
          <w:bCs/>
        </w:rPr>
        <w:t xml:space="preserve">‘The connection among burnout, work engagement, resilience and job satisfaction: Empirical research on private sector employees in Greece’, </w:t>
      </w:r>
      <w:r w:rsidR="007569C4" w:rsidRPr="007569C4">
        <w:rPr>
          <w:rFonts w:ascii="Verdana" w:hAnsi="Verdana" w:cstheme="minorHAnsi"/>
          <w:bCs/>
          <w:i/>
          <w:iCs/>
        </w:rPr>
        <w:t>International Journal of Education and Psychology in the Community</w:t>
      </w:r>
      <w:r w:rsidR="007569C4" w:rsidRPr="007569C4">
        <w:rPr>
          <w:rFonts w:ascii="Verdana" w:hAnsi="Verdana" w:cstheme="minorHAnsi"/>
          <w:bCs/>
        </w:rPr>
        <w:t>, 14(1–2), pp. 36–58.</w:t>
      </w:r>
      <w:r w:rsidR="007569C4">
        <w:rPr>
          <w:rFonts w:ascii="Verdana" w:hAnsi="Verdana" w:cstheme="minorHAnsi"/>
          <w:bCs/>
        </w:rPr>
        <w:t xml:space="preserve">  </w:t>
      </w:r>
      <w:r w:rsidR="00562A30" w:rsidRPr="007569C4">
        <w:rPr>
          <w:rFonts w:ascii="Verdana" w:hAnsi="Verdana" w:cstheme="minorHAnsi"/>
          <w:bCs/>
        </w:rPr>
        <w:t xml:space="preserve">Available at: </w:t>
      </w:r>
      <w:hyperlink r:id="rId50" w:history="1">
        <w:r w:rsidR="00AE6039" w:rsidRPr="007569C4">
          <w:rPr>
            <w:rStyle w:val="Hyperlink"/>
            <w:rFonts w:ascii="Verdana" w:hAnsi="Verdana" w:cstheme="minorHAnsi"/>
            <w:bCs/>
          </w:rPr>
          <w:t>https://www.marianjournals.com/files/IJEPC_articles/Vol_14_no_1_and_2_2024/Kartali_Gkliati_IJEPC_2024_14_1_2_36_58.pdf</w:t>
        </w:r>
      </w:hyperlink>
    </w:p>
    <w:p w14:paraId="4635ED5B" w14:textId="5A371ABE" w:rsidR="00AE6039" w:rsidRPr="0006788A" w:rsidRDefault="007238E1" w:rsidP="0094004B">
      <w:pPr>
        <w:rPr>
          <w:rFonts w:ascii="Verdana" w:hAnsi="Verdana"/>
        </w:rPr>
      </w:pPr>
      <w:r w:rsidRPr="0006788A">
        <w:rPr>
          <w:rFonts w:ascii="Verdana" w:hAnsi="Verdana" w:cstheme="minorHAnsi"/>
          <w:bCs/>
        </w:rPr>
        <w:t xml:space="preserve">Krekel, C., Ward, G </w:t>
      </w:r>
      <w:r w:rsidR="00272A29">
        <w:rPr>
          <w:rFonts w:ascii="Verdana" w:hAnsi="Verdana" w:cstheme="minorHAnsi"/>
          <w:bCs/>
        </w:rPr>
        <w:t>and</w:t>
      </w:r>
      <w:r w:rsidRPr="0006788A">
        <w:rPr>
          <w:rFonts w:ascii="Verdana" w:hAnsi="Verdana" w:cstheme="minorHAnsi"/>
          <w:bCs/>
        </w:rPr>
        <w:t xml:space="preserve"> de Neve, J-E. (</w:t>
      </w:r>
      <w:r w:rsidR="00F67440" w:rsidRPr="0006788A">
        <w:rPr>
          <w:rFonts w:ascii="Verdana" w:hAnsi="Verdana" w:cstheme="minorHAnsi"/>
          <w:bCs/>
        </w:rPr>
        <w:t xml:space="preserve">2019) </w:t>
      </w:r>
      <w:r w:rsidR="00F67440" w:rsidRPr="00FA16F6">
        <w:rPr>
          <w:rFonts w:ascii="Verdana" w:hAnsi="Verdana" w:cstheme="minorHAnsi"/>
          <w:bCs/>
          <w:i/>
          <w:iCs/>
        </w:rPr>
        <w:t>Global Happiness and Wellbeing Policy Report</w:t>
      </w:r>
      <w:r w:rsidR="00BF5F74" w:rsidRPr="0006788A">
        <w:rPr>
          <w:rFonts w:ascii="Verdana" w:hAnsi="Verdana" w:cstheme="minorHAnsi"/>
          <w:bCs/>
        </w:rPr>
        <w:t xml:space="preserve">. Available at: </w:t>
      </w:r>
      <w:hyperlink r:id="rId51" w:history="1">
        <w:r w:rsidR="00BF5F74" w:rsidRPr="0006788A">
          <w:rPr>
            <w:rStyle w:val="Hyperlink"/>
            <w:rFonts w:ascii="Verdana" w:hAnsi="Verdana" w:cstheme="minorHAnsi"/>
            <w:bCs/>
          </w:rPr>
          <w:t>https://www.hbs.edu/ris/Publication%20Files/gh19_ch5_9e171d71-db54-4e08-a2eb-3cf1587daf4a.pdf</w:t>
        </w:r>
      </w:hyperlink>
      <w:r w:rsidR="00BF5F74" w:rsidRPr="0006788A">
        <w:rPr>
          <w:rFonts w:ascii="Verdana" w:hAnsi="Verdana" w:cstheme="minorHAnsi"/>
          <w:bCs/>
        </w:rPr>
        <w:t xml:space="preserve"> (Accessed: 20 April 2026)</w:t>
      </w:r>
      <w:r w:rsidR="007569C4">
        <w:rPr>
          <w:rFonts w:ascii="Verdana" w:hAnsi="Verdana" w:cstheme="minorHAnsi"/>
          <w:bCs/>
        </w:rPr>
        <w:t>.</w:t>
      </w:r>
    </w:p>
    <w:p w14:paraId="2CF126AD" w14:textId="2534E337" w:rsidR="00FA16F6" w:rsidRDefault="0094004B" w:rsidP="00FA16F6">
      <w:pPr>
        <w:rPr>
          <w:rFonts w:ascii="Verdana" w:hAnsi="Verdana"/>
        </w:rPr>
      </w:pPr>
      <w:r w:rsidRPr="00FA16F6">
        <w:rPr>
          <w:rFonts w:ascii="Verdana" w:hAnsi="Verdana"/>
        </w:rPr>
        <w:t xml:space="preserve">Lee, D.Y. </w:t>
      </w:r>
      <w:r w:rsidR="00272A29" w:rsidRPr="00FA16F6">
        <w:rPr>
          <w:rFonts w:ascii="Verdana" w:hAnsi="Verdana"/>
        </w:rPr>
        <w:t>and</w:t>
      </w:r>
      <w:r w:rsidRPr="00FA16F6">
        <w:rPr>
          <w:rFonts w:ascii="Verdana" w:hAnsi="Verdana"/>
        </w:rPr>
        <w:t xml:space="preserve"> Jo, Y. (2023) ‘The job demands–resource model and performance: The mediating role of employee engagement’, </w:t>
      </w:r>
      <w:r w:rsidRPr="00FA16F6">
        <w:rPr>
          <w:rFonts w:ascii="Verdana" w:hAnsi="Verdana"/>
          <w:i/>
          <w:iCs/>
        </w:rPr>
        <w:t>Frontiers in Psychology</w:t>
      </w:r>
      <w:r w:rsidRPr="00FA16F6">
        <w:rPr>
          <w:rFonts w:ascii="Verdana" w:hAnsi="Verdana"/>
        </w:rPr>
        <w:t xml:space="preserve">, 14, 1194018. </w:t>
      </w:r>
      <w:r w:rsidR="00FA16F6">
        <w:rPr>
          <w:rFonts w:ascii="Verdana" w:hAnsi="Verdana"/>
        </w:rPr>
        <w:t xml:space="preserve">Available at: </w:t>
      </w:r>
      <w:hyperlink r:id="rId52" w:history="1">
        <w:r w:rsidR="00FA16F6" w:rsidRPr="001A35EA">
          <w:rPr>
            <w:rStyle w:val="Hyperlink"/>
            <w:rFonts w:ascii="Verdana" w:hAnsi="Verdana"/>
          </w:rPr>
          <w:t>https://doi:10.3389/fpsyg.2023.1194018</w:t>
        </w:r>
      </w:hyperlink>
    </w:p>
    <w:p w14:paraId="1AC394B1" w14:textId="1730BBA6" w:rsidR="00C044BF" w:rsidRPr="00FA16F6" w:rsidRDefault="00C044BF" w:rsidP="00FA16F6">
      <w:pPr>
        <w:rPr>
          <w:rFonts w:ascii="Verdana" w:hAnsi="Verdana"/>
        </w:rPr>
      </w:pPr>
      <w:proofErr w:type="spellStart"/>
      <w:r w:rsidRPr="00FA16F6">
        <w:rPr>
          <w:rFonts w:ascii="Verdana" w:hAnsi="Verdana"/>
        </w:rPr>
        <w:t>LePine</w:t>
      </w:r>
      <w:proofErr w:type="spellEnd"/>
      <w:r w:rsidRPr="00FA16F6">
        <w:rPr>
          <w:rFonts w:ascii="Verdana" w:hAnsi="Verdana"/>
        </w:rPr>
        <w:t xml:space="preserve">, J. A., Podsakoff, N. P., </w:t>
      </w:r>
      <w:r w:rsidR="00272A29" w:rsidRPr="00FA16F6">
        <w:rPr>
          <w:rFonts w:ascii="Verdana" w:hAnsi="Verdana"/>
        </w:rPr>
        <w:t>and</w:t>
      </w:r>
      <w:r w:rsidRPr="00FA16F6">
        <w:rPr>
          <w:rFonts w:ascii="Verdana" w:hAnsi="Verdana"/>
        </w:rPr>
        <w:t xml:space="preserve"> </w:t>
      </w:r>
      <w:proofErr w:type="spellStart"/>
      <w:r w:rsidRPr="00FA16F6">
        <w:rPr>
          <w:rFonts w:ascii="Verdana" w:hAnsi="Verdana"/>
        </w:rPr>
        <w:t>LePine</w:t>
      </w:r>
      <w:proofErr w:type="spellEnd"/>
      <w:r w:rsidRPr="00FA16F6">
        <w:rPr>
          <w:rFonts w:ascii="Verdana" w:hAnsi="Verdana"/>
        </w:rPr>
        <w:t xml:space="preserve">, M. A. (2005) </w:t>
      </w:r>
      <w:r w:rsidR="00FA16F6">
        <w:rPr>
          <w:rFonts w:ascii="Verdana" w:hAnsi="Verdana"/>
        </w:rPr>
        <w:t>‘</w:t>
      </w:r>
      <w:r w:rsidRPr="00FA16F6">
        <w:rPr>
          <w:rFonts w:ascii="Verdana" w:hAnsi="Verdana"/>
        </w:rPr>
        <w:t>A meta</w:t>
      </w:r>
      <w:r w:rsidRPr="00FA16F6">
        <w:rPr>
          <w:rFonts w:ascii="Verdana" w:hAnsi="Verdana"/>
        </w:rPr>
        <w:noBreakHyphen/>
        <w:t>analytic test of the challenge–hindrance stressor framework</w:t>
      </w:r>
      <w:r w:rsidR="00FA16F6">
        <w:rPr>
          <w:rFonts w:ascii="Verdana" w:hAnsi="Verdana"/>
        </w:rPr>
        <w:t xml:space="preserve">’, </w:t>
      </w:r>
      <w:r w:rsidRPr="00FA16F6">
        <w:rPr>
          <w:rFonts w:ascii="Verdana" w:hAnsi="Verdana"/>
          <w:i/>
          <w:iCs/>
        </w:rPr>
        <w:t>Journal of Applied Psychology,</w:t>
      </w:r>
      <w:r w:rsidRPr="00FA16F6">
        <w:rPr>
          <w:rFonts w:ascii="Verdana" w:hAnsi="Verdana"/>
        </w:rPr>
        <w:t xml:space="preserve"> 90(5), </w:t>
      </w:r>
      <w:r w:rsidR="00FA16F6">
        <w:rPr>
          <w:rFonts w:ascii="Verdana" w:hAnsi="Verdana"/>
        </w:rPr>
        <w:t xml:space="preserve">pp. </w:t>
      </w:r>
      <w:r w:rsidRPr="00FA16F6">
        <w:rPr>
          <w:rFonts w:ascii="Verdana" w:hAnsi="Verdana"/>
        </w:rPr>
        <w:t>883–902. Available at:</w:t>
      </w:r>
      <w:r w:rsidR="00FA16F6">
        <w:rPr>
          <w:rFonts w:ascii="Verdana" w:hAnsi="Verdana"/>
        </w:rPr>
        <w:t xml:space="preserve"> h</w:t>
      </w:r>
      <w:r w:rsidRPr="00FA16F6">
        <w:rPr>
          <w:rFonts w:ascii="Verdana" w:hAnsi="Verdana"/>
        </w:rPr>
        <w:t>ttps://doi.org/10.1037/0021-9010.90.5.883</w:t>
      </w:r>
    </w:p>
    <w:p w14:paraId="38EBF355" w14:textId="77777777" w:rsidR="00B57D49" w:rsidRPr="0006788A" w:rsidRDefault="00B57D49" w:rsidP="00941DD8">
      <w:pPr>
        <w:spacing w:before="100" w:beforeAutospacing="1" w:after="100" w:afterAutospacing="1" w:line="240" w:lineRule="auto"/>
        <w:rPr>
          <w:rFonts w:ascii="Verdana" w:eastAsia="Times New Roman" w:hAnsi="Verdana" w:cs="Times New Roman"/>
          <w:kern w:val="0"/>
          <w14:ligatures w14:val="none"/>
        </w:rPr>
      </w:pPr>
    </w:p>
    <w:p w14:paraId="3E8ADA14" w14:textId="0A3B5735" w:rsidR="00843730" w:rsidRDefault="00843730" w:rsidP="00843730">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Ma, G., Wu, W., Liu, C., Ji, J., </w:t>
      </w:r>
      <w:r w:rsidR="00272A29">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Gao, X. (2024)</w:t>
      </w:r>
      <w:r w:rsidR="002B5AD8">
        <w:rPr>
          <w:rFonts w:ascii="Verdana" w:eastAsia="Times New Roman" w:hAnsi="Verdana" w:cs="Times New Roman"/>
          <w:kern w:val="0"/>
          <w14:ligatures w14:val="none"/>
        </w:rPr>
        <w:t xml:space="preserve"> ’</w:t>
      </w:r>
      <w:r w:rsidRPr="0006788A">
        <w:rPr>
          <w:rFonts w:ascii="Verdana" w:eastAsia="Times New Roman" w:hAnsi="Verdana" w:cs="Times New Roman"/>
          <w:kern w:val="0"/>
          <w14:ligatures w14:val="none"/>
        </w:rPr>
        <w:t xml:space="preserve">Empathetic leadership and employees’ innovative </w:t>
      </w:r>
      <w:proofErr w:type="spellStart"/>
      <w:r w:rsidRPr="0006788A">
        <w:rPr>
          <w:rFonts w:ascii="Verdana" w:eastAsia="Times New Roman" w:hAnsi="Verdana" w:cs="Times New Roman"/>
          <w:kern w:val="0"/>
          <w14:ligatures w14:val="none"/>
        </w:rPr>
        <w:t>behavior</w:t>
      </w:r>
      <w:proofErr w:type="spellEnd"/>
      <w:r w:rsidRPr="0006788A">
        <w:rPr>
          <w:rFonts w:ascii="Verdana" w:eastAsia="Times New Roman" w:hAnsi="Verdana" w:cs="Times New Roman"/>
          <w:kern w:val="0"/>
          <w14:ligatures w14:val="none"/>
        </w:rPr>
        <w:t>: Examining the roles of career adaptability and uncertainty avoidance</w:t>
      </w:r>
      <w:r w:rsidR="002B5AD8">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xml:space="preserve"> </w:t>
      </w:r>
      <w:r w:rsidRPr="0006788A">
        <w:rPr>
          <w:rFonts w:ascii="Verdana" w:eastAsia="Times New Roman" w:hAnsi="Verdana" w:cs="Times New Roman"/>
          <w:i/>
          <w:iCs/>
          <w:kern w:val="0"/>
          <w14:ligatures w14:val="none"/>
        </w:rPr>
        <w:t>Frontiers in Psychology, 15</w:t>
      </w:r>
      <w:r w:rsidRPr="0006788A">
        <w:rPr>
          <w:rFonts w:ascii="Verdana" w:eastAsia="Times New Roman" w:hAnsi="Verdana" w:cs="Times New Roman"/>
          <w:kern w:val="0"/>
          <w14:ligatures w14:val="none"/>
        </w:rPr>
        <w:t xml:space="preserve">, 1371936. Available at: </w:t>
      </w:r>
      <w:hyperlink r:id="rId53" w:history="1">
        <w:r w:rsidR="002B5AD8" w:rsidRPr="001A35EA">
          <w:rPr>
            <w:rStyle w:val="Hyperlink"/>
            <w:rFonts w:ascii="Verdana" w:eastAsia="Times New Roman" w:hAnsi="Verdana" w:cs="Times New Roman"/>
            <w:kern w:val="0"/>
            <w14:ligatures w14:val="none"/>
          </w:rPr>
          <w:t>https://doi.org/10.3389/fpsyg.2024.1371936</w:t>
        </w:r>
      </w:hyperlink>
    </w:p>
    <w:p w14:paraId="24581253" w14:textId="5D046C17" w:rsidR="008F749F" w:rsidRPr="0006788A" w:rsidRDefault="008F749F" w:rsidP="00941DD8">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Machell, M. (2024) </w:t>
      </w:r>
      <w:r w:rsidR="002B5AD8">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CIPD Wellbeing at Work Conference: What you missed</w:t>
      </w:r>
      <w:r w:rsidR="002B5AD8">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xml:space="preserve"> </w:t>
      </w:r>
      <w:r w:rsidR="003D1013" w:rsidRPr="0006788A">
        <w:rPr>
          <w:rFonts w:ascii="Verdana" w:eastAsia="Times New Roman" w:hAnsi="Verdana" w:cs="Times New Roman"/>
          <w:i/>
          <w:iCs/>
          <w:kern w:val="0"/>
          <w14:ligatures w14:val="none"/>
        </w:rPr>
        <w:t xml:space="preserve">HR magazine.  </w:t>
      </w:r>
      <w:r w:rsidR="003D1013" w:rsidRPr="0006788A">
        <w:rPr>
          <w:rFonts w:ascii="Verdana" w:eastAsia="Times New Roman" w:hAnsi="Verdana" w:cs="Times New Roman"/>
          <w:kern w:val="0"/>
          <w14:ligatures w14:val="none"/>
        </w:rPr>
        <w:t xml:space="preserve">Available at: </w:t>
      </w:r>
      <w:hyperlink r:id="rId54" w:history="1">
        <w:r w:rsidR="003D1013" w:rsidRPr="0006788A">
          <w:rPr>
            <w:rStyle w:val="Hyperlink"/>
            <w:rFonts w:ascii="Verdana" w:eastAsia="Times New Roman" w:hAnsi="Verdana" w:cs="Times New Roman"/>
            <w:kern w:val="0"/>
            <w14:ligatures w14:val="none"/>
          </w:rPr>
          <w:t>https://www.hrmagazine.co.uk/content/news/cipd-wellbeing-at-work-conference-what-you-missed</w:t>
        </w:r>
      </w:hyperlink>
      <w:r w:rsidR="003D1013" w:rsidRPr="0006788A">
        <w:rPr>
          <w:rFonts w:ascii="Verdana" w:eastAsia="Times New Roman" w:hAnsi="Verdana" w:cs="Times New Roman"/>
          <w:kern w:val="0"/>
          <w14:ligatures w14:val="none"/>
        </w:rPr>
        <w:t xml:space="preserve"> (Accessed: 03 May 2026)</w:t>
      </w:r>
      <w:r w:rsidR="002B5AD8">
        <w:rPr>
          <w:rFonts w:ascii="Verdana" w:eastAsia="Times New Roman" w:hAnsi="Verdana" w:cs="Times New Roman"/>
          <w:kern w:val="0"/>
          <w14:ligatures w14:val="none"/>
        </w:rPr>
        <w:t>.</w:t>
      </w:r>
    </w:p>
    <w:p w14:paraId="6A933A1D" w14:textId="1E80D186" w:rsidR="00941DD8" w:rsidRPr="0006788A" w:rsidRDefault="00941DD8" w:rsidP="00941DD8">
      <w:pPr>
        <w:spacing w:before="100" w:beforeAutospacing="1" w:after="100" w:afterAutospacing="1" w:line="240" w:lineRule="auto"/>
        <w:rPr>
          <w:rFonts w:ascii="Verdana" w:hAnsi="Verdana"/>
        </w:rPr>
      </w:pPr>
      <w:r w:rsidRPr="0006788A">
        <w:rPr>
          <w:rFonts w:ascii="Verdana" w:eastAsia="Times New Roman" w:hAnsi="Verdana" w:cs="Times New Roman"/>
          <w:kern w:val="0"/>
          <w14:ligatures w14:val="none"/>
        </w:rPr>
        <w:t>Milligan</w:t>
      </w:r>
      <w:r w:rsidRPr="0006788A">
        <w:rPr>
          <w:rFonts w:ascii="Verdana" w:eastAsia="Times New Roman" w:hAnsi="Verdana" w:cs="Times New Roman"/>
          <w:kern w:val="0"/>
          <w14:ligatures w14:val="none"/>
        </w:rPr>
        <w:noBreakHyphen/>
        <w:t xml:space="preserve">Saville, J. S., Tan, L., Gayed, A., Barnes, C., Madan, I., Dobson, M., </w:t>
      </w:r>
      <w:r w:rsidR="00272A29">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Harvey, S. B. (2017)</w:t>
      </w:r>
      <w:r w:rsidR="002B5AD8">
        <w:rPr>
          <w:rFonts w:ascii="Verdana" w:eastAsia="Times New Roman" w:hAnsi="Verdana" w:cs="Times New Roman"/>
          <w:kern w:val="0"/>
          <w14:ligatures w14:val="none"/>
        </w:rPr>
        <w:t xml:space="preserve"> ‘</w:t>
      </w:r>
      <w:r w:rsidRPr="0006788A">
        <w:rPr>
          <w:rFonts w:ascii="Verdana" w:eastAsia="Times New Roman" w:hAnsi="Verdana" w:cs="Times New Roman"/>
          <w:kern w:val="0"/>
          <w14:ligatures w14:val="none"/>
        </w:rPr>
        <w:t>Workplace mental health training for managers and its effect on sick leave</w:t>
      </w:r>
      <w:r w:rsidR="002B5AD8">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xml:space="preserve"> </w:t>
      </w:r>
      <w:r w:rsidRPr="0006788A">
        <w:rPr>
          <w:rFonts w:ascii="Verdana" w:eastAsia="Times New Roman" w:hAnsi="Verdana" w:cs="Times New Roman"/>
          <w:i/>
          <w:iCs/>
          <w:kern w:val="0"/>
          <w14:ligatures w14:val="none"/>
        </w:rPr>
        <w:t>The Lancet Psychiatry, 4</w:t>
      </w:r>
      <w:r w:rsidRPr="0006788A">
        <w:rPr>
          <w:rFonts w:ascii="Verdana" w:eastAsia="Times New Roman" w:hAnsi="Verdana" w:cs="Times New Roman"/>
          <w:kern w:val="0"/>
          <w14:ligatures w14:val="none"/>
        </w:rPr>
        <w:t xml:space="preserve">(11), </w:t>
      </w:r>
      <w:r w:rsidR="002B5AD8">
        <w:rPr>
          <w:rFonts w:ascii="Verdana" w:eastAsia="Times New Roman" w:hAnsi="Verdana" w:cs="Times New Roman"/>
          <w:kern w:val="0"/>
          <w14:ligatures w14:val="none"/>
        </w:rPr>
        <w:t xml:space="preserve">pp. </w:t>
      </w:r>
      <w:r w:rsidRPr="0006788A">
        <w:rPr>
          <w:rFonts w:ascii="Verdana" w:eastAsia="Times New Roman" w:hAnsi="Verdana" w:cs="Times New Roman"/>
          <w:kern w:val="0"/>
          <w14:ligatures w14:val="none"/>
        </w:rPr>
        <w:t xml:space="preserve">850–858. </w:t>
      </w:r>
      <w:hyperlink r:id="rId55" w:history="1">
        <w:r w:rsidR="009D05AB" w:rsidRPr="0006788A">
          <w:rPr>
            <w:rStyle w:val="Hyperlink"/>
            <w:rFonts w:ascii="Verdana" w:eastAsia="Times New Roman" w:hAnsi="Verdana" w:cs="Times New Roman"/>
            <w:kern w:val="0"/>
            <w14:ligatures w14:val="none"/>
          </w:rPr>
          <w:t>https://doi.org/10.1016/S2215</w:t>
        </w:r>
        <w:r w:rsidR="009D05AB" w:rsidRPr="0006788A">
          <w:rPr>
            <w:rStyle w:val="Hyperlink"/>
            <w:rFonts w:ascii="Verdana" w:eastAsia="Times New Roman" w:hAnsi="Verdana" w:cs="Times New Roman"/>
            <w:kern w:val="0"/>
            <w14:ligatures w14:val="none"/>
          </w:rPr>
          <w:noBreakHyphen/>
          <w:t>0366(17)30372</w:t>
        </w:r>
        <w:r w:rsidR="009D05AB" w:rsidRPr="0006788A">
          <w:rPr>
            <w:rStyle w:val="Hyperlink"/>
            <w:rFonts w:ascii="Verdana" w:eastAsia="Times New Roman" w:hAnsi="Verdana" w:cs="Times New Roman"/>
            <w:kern w:val="0"/>
            <w14:ligatures w14:val="none"/>
          </w:rPr>
          <w:noBreakHyphen/>
          <w:t>3</w:t>
        </w:r>
      </w:hyperlink>
    </w:p>
    <w:p w14:paraId="2669100D" w14:textId="57CFBE1C" w:rsidR="00974C8E" w:rsidRPr="0006788A" w:rsidRDefault="00B47F90" w:rsidP="00941DD8">
      <w:pPr>
        <w:spacing w:before="100" w:beforeAutospacing="1" w:after="100" w:afterAutospacing="1" w:line="240" w:lineRule="auto"/>
        <w:rPr>
          <w:rFonts w:ascii="Verdana" w:hAnsi="Verdana"/>
        </w:rPr>
      </w:pPr>
      <w:r w:rsidRPr="0006788A">
        <w:rPr>
          <w:rFonts w:ascii="Verdana" w:hAnsi="Verdana"/>
        </w:rPr>
        <w:t>Mikołajczyk, K. (2025)</w:t>
      </w:r>
      <w:r w:rsidRPr="0006788A">
        <w:rPr>
          <w:rFonts w:ascii="Verdana" w:hAnsi="Verdana"/>
          <w:b/>
          <w:bCs/>
        </w:rPr>
        <w:t xml:space="preserve"> </w:t>
      </w:r>
      <w:r w:rsidR="002B5AD8">
        <w:rPr>
          <w:rFonts w:ascii="Verdana" w:hAnsi="Verdana"/>
          <w:b/>
          <w:bCs/>
        </w:rPr>
        <w:t>‘</w:t>
      </w:r>
      <w:r w:rsidRPr="0006788A">
        <w:rPr>
          <w:rFonts w:ascii="Verdana" w:hAnsi="Verdana"/>
        </w:rPr>
        <w:t>Well</w:t>
      </w:r>
      <w:r w:rsidRPr="0006788A">
        <w:rPr>
          <w:rFonts w:ascii="Verdana" w:hAnsi="Verdana"/>
        </w:rPr>
        <w:noBreakHyphen/>
        <w:t>being washing: Illusory employee care in an organisation</w:t>
      </w:r>
      <w:r w:rsidR="002B5AD8">
        <w:rPr>
          <w:rFonts w:ascii="Verdana" w:hAnsi="Verdana"/>
        </w:rPr>
        <w:t>’,</w:t>
      </w:r>
      <w:r w:rsidRPr="0006788A">
        <w:rPr>
          <w:rFonts w:ascii="Verdana" w:hAnsi="Verdana"/>
        </w:rPr>
        <w:t xml:space="preserve"> </w:t>
      </w:r>
      <w:r w:rsidRPr="0006788A">
        <w:rPr>
          <w:rFonts w:ascii="Verdana" w:hAnsi="Verdana"/>
          <w:i/>
          <w:iCs/>
        </w:rPr>
        <w:t>Research Papers of Wroclaw University of Economics and Business, 69</w:t>
      </w:r>
      <w:r w:rsidRPr="0006788A">
        <w:rPr>
          <w:rFonts w:ascii="Verdana" w:hAnsi="Verdana"/>
        </w:rPr>
        <w:t>(2), Article 08.</w:t>
      </w:r>
      <w:r w:rsidR="002B5AD8">
        <w:rPr>
          <w:rFonts w:ascii="Verdana" w:hAnsi="Verdana"/>
        </w:rPr>
        <w:t xml:space="preserve"> </w:t>
      </w:r>
      <w:r w:rsidRPr="0006788A">
        <w:rPr>
          <w:rFonts w:ascii="Verdana" w:hAnsi="Verdana"/>
        </w:rPr>
        <w:t>Available at:</w:t>
      </w:r>
      <w:r w:rsidR="002B5AD8">
        <w:rPr>
          <w:rFonts w:ascii="Verdana" w:hAnsi="Verdana"/>
        </w:rPr>
        <w:t xml:space="preserve"> </w:t>
      </w:r>
      <w:hyperlink r:id="rId56" w:history="1">
        <w:r w:rsidR="002B5AD8" w:rsidRPr="001A35EA">
          <w:rPr>
            <w:rStyle w:val="Hyperlink"/>
            <w:rFonts w:ascii="Verdana" w:hAnsi="Verdana"/>
          </w:rPr>
          <w:t>https://doi.org/10.15611/pn.2025.2.08</w:t>
        </w:r>
      </w:hyperlink>
    </w:p>
    <w:p w14:paraId="46447299" w14:textId="233D3907" w:rsidR="00450129" w:rsidRDefault="00450129" w:rsidP="00450129">
      <w:pPr>
        <w:spacing w:before="100" w:beforeAutospacing="1" w:after="100" w:afterAutospacing="1" w:line="240" w:lineRule="auto"/>
        <w:rPr>
          <w:rFonts w:ascii="Verdana" w:hAnsi="Verdana"/>
        </w:rPr>
      </w:pPr>
      <w:r w:rsidRPr="00450129">
        <w:rPr>
          <w:rFonts w:ascii="Verdana" w:hAnsi="Verdana"/>
        </w:rPr>
        <w:t xml:space="preserve">Montano, D., Hoven, H., Siegrist, J. and Lunau, T. (2022) ‘Work stressors and mental health: A systematic review’, </w:t>
      </w:r>
      <w:r w:rsidRPr="00450129">
        <w:rPr>
          <w:rFonts w:ascii="Verdana" w:hAnsi="Verdana"/>
          <w:i/>
          <w:iCs/>
        </w:rPr>
        <w:t>Scandinavian Journal of Work, Environment and Health</w:t>
      </w:r>
      <w:r w:rsidRPr="00450129">
        <w:rPr>
          <w:rFonts w:ascii="Verdana" w:hAnsi="Verdana"/>
        </w:rPr>
        <w:t>, 48(5), pp. 327–342.</w:t>
      </w:r>
      <w:r>
        <w:rPr>
          <w:rFonts w:ascii="Verdana" w:hAnsi="Verdana"/>
        </w:rPr>
        <w:t xml:space="preserve">  </w:t>
      </w:r>
      <w:r w:rsidRPr="00450129">
        <w:rPr>
          <w:rFonts w:ascii="Verdana" w:hAnsi="Verdana"/>
        </w:rPr>
        <w:t xml:space="preserve">Available at: </w:t>
      </w:r>
      <w:hyperlink r:id="rId57" w:history="1">
        <w:r w:rsidRPr="00450129">
          <w:rPr>
            <w:rStyle w:val="Hyperlink"/>
            <w:rFonts w:ascii="Verdana" w:hAnsi="Verdana"/>
          </w:rPr>
          <w:t>https://doi.org/10.5271/sjweh.4031</w:t>
        </w:r>
      </w:hyperlink>
    </w:p>
    <w:p w14:paraId="0CCB3A6B" w14:textId="7737B30A" w:rsidR="003D1F2C" w:rsidRPr="0006788A" w:rsidRDefault="003D1F2C" w:rsidP="003D1F2C">
      <w:pPr>
        <w:spacing w:before="100" w:beforeAutospacing="1" w:after="100" w:afterAutospacing="1" w:line="240" w:lineRule="auto"/>
        <w:rPr>
          <w:rFonts w:ascii="Verdana" w:hAnsi="Verdana"/>
        </w:rPr>
      </w:pPr>
      <w:r w:rsidRPr="0006788A">
        <w:rPr>
          <w:rFonts w:ascii="Verdana" w:hAnsi="Verdana"/>
        </w:rPr>
        <w:t xml:space="preserve">Nielsen, K., </w:t>
      </w:r>
      <w:r w:rsidR="00272A29">
        <w:rPr>
          <w:rFonts w:ascii="Verdana" w:hAnsi="Verdana"/>
        </w:rPr>
        <w:t>and</w:t>
      </w:r>
      <w:r w:rsidRPr="0006788A">
        <w:rPr>
          <w:rFonts w:ascii="Verdana" w:hAnsi="Verdana"/>
        </w:rPr>
        <w:t xml:space="preserve"> Noblet, A. (2018) Organisational interventions for health and well</w:t>
      </w:r>
      <w:r w:rsidRPr="0006788A">
        <w:rPr>
          <w:rFonts w:ascii="Verdana" w:hAnsi="Verdana"/>
        </w:rPr>
        <w:noBreakHyphen/>
        <w:t>being: A handbook for evidence</w:t>
      </w:r>
      <w:r w:rsidRPr="0006788A">
        <w:rPr>
          <w:rFonts w:ascii="Verdana" w:hAnsi="Verdana"/>
        </w:rPr>
        <w:noBreakHyphen/>
        <w:t>based practice</w:t>
      </w:r>
      <w:r w:rsidRPr="0006788A">
        <w:rPr>
          <w:rFonts w:ascii="Verdana" w:hAnsi="Verdana"/>
          <w:b/>
          <w:bCs/>
        </w:rPr>
        <w:t>.</w:t>
      </w:r>
      <w:r w:rsidRPr="0006788A">
        <w:rPr>
          <w:rFonts w:ascii="Verdana" w:hAnsi="Verdana"/>
        </w:rPr>
        <w:t xml:space="preserve"> Routledge.</w:t>
      </w:r>
    </w:p>
    <w:p w14:paraId="4F9BA0C0" w14:textId="77777777" w:rsidR="00045D7C" w:rsidRPr="00045D7C" w:rsidRDefault="00041A20" w:rsidP="00045D7C">
      <w:pPr>
        <w:spacing w:before="100" w:beforeAutospacing="1" w:after="100" w:afterAutospacing="1" w:line="240" w:lineRule="auto"/>
        <w:rPr>
          <w:rFonts w:ascii="Verdana" w:hAnsi="Verdana"/>
        </w:rPr>
      </w:pPr>
      <w:r w:rsidRPr="0006788A">
        <w:rPr>
          <w:rFonts w:ascii="Verdana" w:hAnsi="Verdana"/>
        </w:rPr>
        <w:t>Nielsen, K., Randall, R., Holten, A.</w:t>
      </w:r>
      <w:r w:rsidRPr="0006788A">
        <w:rPr>
          <w:rFonts w:ascii="Verdana" w:hAnsi="Verdana"/>
        </w:rPr>
        <w:noBreakHyphen/>
        <w:t xml:space="preserve">L., </w:t>
      </w:r>
      <w:r w:rsidR="00272A29">
        <w:rPr>
          <w:rFonts w:ascii="Verdana" w:hAnsi="Verdana"/>
        </w:rPr>
        <w:t>and</w:t>
      </w:r>
      <w:r w:rsidRPr="0006788A">
        <w:rPr>
          <w:rFonts w:ascii="Verdana" w:hAnsi="Verdana"/>
        </w:rPr>
        <w:t xml:space="preserve"> Rial González, E. (2010)</w:t>
      </w:r>
      <w:r w:rsidR="00450129">
        <w:rPr>
          <w:rFonts w:ascii="Verdana" w:hAnsi="Verdana"/>
        </w:rPr>
        <w:t xml:space="preserve"> </w:t>
      </w:r>
      <w:r w:rsidR="00450129" w:rsidRPr="00450129">
        <w:rPr>
          <w:rFonts w:ascii="Verdana" w:hAnsi="Verdana"/>
        </w:rPr>
        <w:t>‘</w:t>
      </w:r>
      <w:r w:rsidRPr="00450129">
        <w:rPr>
          <w:rFonts w:ascii="Verdana" w:hAnsi="Verdana"/>
        </w:rPr>
        <w:t>Conducting organisational</w:t>
      </w:r>
      <w:r w:rsidRPr="00450129">
        <w:rPr>
          <w:rFonts w:ascii="Verdana" w:hAnsi="Verdana"/>
        </w:rPr>
        <w:noBreakHyphen/>
        <w:t>level occupational health interventions: What works?</w:t>
      </w:r>
      <w:r w:rsidR="00450129" w:rsidRPr="00450129">
        <w:rPr>
          <w:rFonts w:ascii="Verdana" w:hAnsi="Verdana"/>
        </w:rPr>
        <w:t>’,</w:t>
      </w:r>
      <w:r w:rsidRPr="0006788A">
        <w:rPr>
          <w:rFonts w:ascii="Verdana" w:hAnsi="Verdana"/>
        </w:rPr>
        <w:t xml:space="preserve"> </w:t>
      </w:r>
      <w:r w:rsidRPr="00450129">
        <w:rPr>
          <w:rFonts w:ascii="Verdana" w:hAnsi="Verdana"/>
          <w:i/>
          <w:iCs/>
        </w:rPr>
        <w:t xml:space="preserve">Work </w:t>
      </w:r>
      <w:r w:rsidR="00272A29" w:rsidRPr="00450129">
        <w:rPr>
          <w:rFonts w:ascii="Verdana" w:hAnsi="Verdana"/>
          <w:i/>
          <w:iCs/>
        </w:rPr>
        <w:t>and</w:t>
      </w:r>
      <w:r w:rsidRPr="00450129">
        <w:rPr>
          <w:rFonts w:ascii="Verdana" w:hAnsi="Verdana"/>
          <w:i/>
          <w:iCs/>
        </w:rPr>
        <w:t xml:space="preserve"> Stress,</w:t>
      </w:r>
      <w:r w:rsidRPr="0006788A">
        <w:rPr>
          <w:rFonts w:ascii="Verdana" w:hAnsi="Verdana"/>
        </w:rPr>
        <w:t xml:space="preserve"> 24(3), </w:t>
      </w:r>
      <w:r w:rsidR="00450129">
        <w:rPr>
          <w:rFonts w:ascii="Verdana" w:hAnsi="Verdana"/>
        </w:rPr>
        <w:t xml:space="preserve">pp. </w:t>
      </w:r>
      <w:r w:rsidRPr="0006788A">
        <w:rPr>
          <w:rFonts w:ascii="Verdana" w:hAnsi="Verdana"/>
        </w:rPr>
        <w:t xml:space="preserve">234–259. </w:t>
      </w:r>
      <w:r w:rsidRPr="00045D7C">
        <w:rPr>
          <w:rFonts w:ascii="Verdana" w:hAnsi="Verdana"/>
        </w:rPr>
        <w:t>Available at:</w:t>
      </w:r>
      <w:r w:rsidRPr="0006788A">
        <w:rPr>
          <w:rFonts w:ascii="Verdana" w:hAnsi="Verdana"/>
        </w:rPr>
        <w:t xml:space="preserve"> </w:t>
      </w:r>
      <w:r w:rsidR="00045D7C" w:rsidRPr="00045D7C">
        <w:rPr>
          <w:rFonts w:ascii="Verdana" w:hAnsi="Verdana"/>
        </w:rPr>
        <w:t>https://doi.org/10.1080/02678373.2010.497404</w:t>
      </w:r>
    </w:p>
    <w:p w14:paraId="646584DA" w14:textId="3CD86A0D" w:rsidR="00DE4ABE" w:rsidRPr="0006788A" w:rsidRDefault="00DE4ABE" w:rsidP="00DE4ABE">
      <w:pPr>
        <w:spacing w:before="100" w:beforeAutospacing="1" w:after="100" w:afterAutospacing="1" w:line="240" w:lineRule="auto"/>
        <w:rPr>
          <w:rFonts w:ascii="Verdana" w:hAnsi="Verdana"/>
        </w:rPr>
      </w:pPr>
      <w:r w:rsidRPr="0006788A">
        <w:rPr>
          <w:rFonts w:ascii="Verdana" w:eastAsia="Times New Roman" w:hAnsi="Verdana" w:cs="Times New Roman"/>
          <w:kern w:val="0"/>
          <w14:ligatures w14:val="none"/>
        </w:rPr>
        <w:t xml:space="preserve">Nair, S., </w:t>
      </w:r>
      <w:proofErr w:type="spellStart"/>
      <w:r w:rsidRPr="0006788A">
        <w:rPr>
          <w:rFonts w:ascii="Verdana" w:eastAsia="Times New Roman" w:hAnsi="Verdana" w:cs="Times New Roman"/>
          <w:kern w:val="0"/>
          <w14:ligatures w14:val="none"/>
        </w:rPr>
        <w:t>Hawaldar</w:t>
      </w:r>
      <w:proofErr w:type="spellEnd"/>
      <w:r w:rsidRPr="0006788A">
        <w:rPr>
          <w:rFonts w:ascii="Verdana" w:eastAsia="Times New Roman" w:hAnsi="Verdana" w:cs="Times New Roman"/>
          <w:kern w:val="0"/>
          <w14:ligatures w14:val="none"/>
        </w:rPr>
        <w:t xml:space="preserve">, A., </w:t>
      </w:r>
      <w:r w:rsidR="00272A29">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Kumar, A. (2024) </w:t>
      </w:r>
      <w:r w:rsidR="00045D7C">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Employee experience, well</w:t>
      </w:r>
      <w:r w:rsidRPr="0006788A">
        <w:rPr>
          <w:rFonts w:ascii="Verdana" w:eastAsia="Times New Roman" w:hAnsi="Verdana" w:cs="Times New Roman"/>
          <w:kern w:val="0"/>
          <w14:ligatures w14:val="none"/>
        </w:rPr>
        <w:noBreakHyphen/>
        <w:t>being and turnover intentions in the workplace</w:t>
      </w:r>
      <w:r w:rsidR="00045D7C">
        <w:rPr>
          <w:rFonts w:ascii="Verdana" w:eastAsia="Times New Roman" w:hAnsi="Verdana" w:cs="Times New Roman"/>
          <w:kern w:val="0"/>
          <w14:ligatures w14:val="none"/>
        </w:rPr>
        <w:t xml:space="preserve">’, </w:t>
      </w:r>
      <w:r w:rsidRPr="0006788A">
        <w:rPr>
          <w:rFonts w:ascii="Verdana" w:eastAsia="Times New Roman" w:hAnsi="Verdana" w:cs="Times New Roman"/>
          <w:i/>
          <w:iCs/>
          <w:kern w:val="0"/>
          <w14:ligatures w14:val="none"/>
        </w:rPr>
        <w:t>International Journal of Organizational Analysis, 33</w:t>
      </w:r>
      <w:r w:rsidRPr="0006788A">
        <w:rPr>
          <w:rFonts w:ascii="Verdana" w:eastAsia="Times New Roman" w:hAnsi="Verdana" w:cs="Times New Roman"/>
          <w:kern w:val="0"/>
          <w14:ligatures w14:val="none"/>
        </w:rPr>
        <w:t xml:space="preserve">(8), </w:t>
      </w:r>
      <w:r w:rsidR="00045D7C">
        <w:rPr>
          <w:rFonts w:ascii="Verdana" w:eastAsia="Times New Roman" w:hAnsi="Verdana" w:cs="Times New Roman"/>
          <w:kern w:val="0"/>
          <w14:ligatures w14:val="none"/>
        </w:rPr>
        <w:t xml:space="preserve">pp. </w:t>
      </w:r>
      <w:r w:rsidRPr="0006788A">
        <w:rPr>
          <w:rFonts w:ascii="Verdana" w:eastAsia="Times New Roman" w:hAnsi="Verdana" w:cs="Times New Roman"/>
          <w:kern w:val="0"/>
          <w14:ligatures w14:val="none"/>
        </w:rPr>
        <w:t xml:space="preserve">2287–2306.  Available at: </w:t>
      </w:r>
      <w:hyperlink r:id="rId58" w:history="1">
        <w:r w:rsidR="00C47D37" w:rsidRPr="0006788A">
          <w:rPr>
            <w:rStyle w:val="Hyperlink"/>
            <w:rFonts w:ascii="Verdana" w:eastAsia="Times New Roman" w:hAnsi="Verdana" w:cs="Times New Roman"/>
            <w:kern w:val="0"/>
            <w14:ligatures w14:val="none"/>
          </w:rPr>
          <w:t>https://doi.org/10.1108/IJOA-06-2024-4567</w:t>
        </w:r>
      </w:hyperlink>
    </w:p>
    <w:p w14:paraId="0FD16496" w14:textId="785CFDB2" w:rsidR="00C47D37" w:rsidRPr="0006788A" w:rsidRDefault="00880F6A" w:rsidP="00DE4ABE">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Nielsen, K., </w:t>
      </w:r>
      <w:r w:rsidR="00272A29">
        <w:rPr>
          <w:rFonts w:ascii="Verdana" w:eastAsia="Times New Roman" w:hAnsi="Verdana" w:cs="Times New Roman"/>
          <w:kern w:val="0"/>
          <w14:ligatures w14:val="none"/>
        </w:rPr>
        <w:t>and</w:t>
      </w:r>
      <w:r w:rsidRPr="0006788A">
        <w:rPr>
          <w:rFonts w:ascii="Verdana" w:eastAsia="Times New Roman" w:hAnsi="Verdana" w:cs="Times New Roman"/>
          <w:kern w:val="0"/>
          <w14:ligatures w14:val="none"/>
        </w:rPr>
        <w:t xml:space="preserve"> Miraglia, M. (2017) </w:t>
      </w:r>
      <w:r w:rsidR="00045D7C">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What works for whom in which circumstances?</w:t>
      </w:r>
      <w:r w:rsidR="00045D7C">
        <w:rPr>
          <w:rFonts w:ascii="Verdana" w:eastAsia="Times New Roman" w:hAnsi="Verdana" w:cs="Times New Roman"/>
          <w:kern w:val="0"/>
          <w14:ligatures w14:val="none"/>
        </w:rPr>
        <w:t>’,</w:t>
      </w:r>
      <w:r w:rsidRPr="0006788A">
        <w:rPr>
          <w:rFonts w:ascii="Verdana" w:eastAsia="Times New Roman" w:hAnsi="Verdana" w:cs="Times New Roman"/>
          <w:b/>
          <w:bCs/>
          <w:kern w:val="0"/>
          <w14:ligatures w14:val="none"/>
        </w:rPr>
        <w:t xml:space="preserve"> </w:t>
      </w:r>
      <w:r w:rsidRPr="00045D7C">
        <w:rPr>
          <w:rFonts w:ascii="Verdana" w:eastAsia="Times New Roman" w:hAnsi="Verdana" w:cs="Times New Roman"/>
          <w:i/>
          <w:iCs/>
          <w:kern w:val="0"/>
          <w14:ligatures w14:val="none"/>
        </w:rPr>
        <w:t>The Journal of Organizational Effectiveness</w:t>
      </w:r>
      <w:r w:rsidRPr="0006788A">
        <w:rPr>
          <w:rFonts w:ascii="Verdana" w:eastAsia="Times New Roman" w:hAnsi="Verdana" w:cs="Times New Roman"/>
          <w:kern w:val="0"/>
          <w14:ligatures w14:val="none"/>
        </w:rPr>
        <w:t xml:space="preserve">, 4(2), </w:t>
      </w:r>
      <w:r w:rsidR="00045D7C">
        <w:rPr>
          <w:rFonts w:ascii="Verdana" w:eastAsia="Times New Roman" w:hAnsi="Verdana" w:cs="Times New Roman"/>
          <w:kern w:val="0"/>
          <w14:ligatures w14:val="none"/>
        </w:rPr>
        <w:t xml:space="preserve">pp. </w:t>
      </w:r>
      <w:r w:rsidRPr="0006788A">
        <w:rPr>
          <w:rFonts w:ascii="Verdana" w:eastAsia="Times New Roman" w:hAnsi="Verdana" w:cs="Times New Roman"/>
          <w:kern w:val="0"/>
          <w14:ligatures w14:val="none"/>
        </w:rPr>
        <w:t xml:space="preserve">166–181. Available at: </w:t>
      </w:r>
      <w:hyperlink r:id="rId59" w:history="1">
        <w:r w:rsidR="002B00D9" w:rsidRPr="0006788A">
          <w:rPr>
            <w:rStyle w:val="Hyperlink"/>
            <w:rFonts w:ascii="Verdana" w:eastAsia="Times New Roman" w:hAnsi="Verdana" w:cs="Times New Roman"/>
            <w:kern w:val="0"/>
            <w14:ligatures w14:val="none"/>
          </w:rPr>
          <w:t>https://doi.org/10.1108/JOEPP-01-2017-0007</w:t>
        </w:r>
      </w:hyperlink>
    </w:p>
    <w:p w14:paraId="4CD3B2E8" w14:textId="284D74B2" w:rsidR="000210EE" w:rsidRPr="0006788A" w:rsidRDefault="0007776F" w:rsidP="000210EE">
      <w:pPr>
        <w:spacing w:before="100" w:beforeAutospacing="1" w:after="100" w:afterAutospacing="1" w:line="240" w:lineRule="auto"/>
        <w:rPr>
          <w:rFonts w:ascii="Verdana" w:eastAsia="Times New Roman" w:hAnsi="Verdana" w:cs="Times New Roman"/>
          <w:kern w:val="0"/>
          <w14:ligatures w14:val="none"/>
        </w:rPr>
      </w:pPr>
      <w:r w:rsidRPr="0007776F">
        <w:rPr>
          <w:rFonts w:ascii="Verdana" w:eastAsia="Times New Roman" w:hAnsi="Verdana" w:cs="Times New Roman"/>
          <w:kern w:val="0"/>
          <w14:ligatures w14:val="none"/>
        </w:rPr>
        <w:t xml:space="preserve">Oakman, J., Kinsman, N., Stuckey, R., Graham, M. and Weale, V. </w:t>
      </w:r>
      <w:r w:rsidR="000210EE" w:rsidRPr="0006788A">
        <w:rPr>
          <w:rFonts w:ascii="Verdana" w:eastAsia="Times New Roman" w:hAnsi="Verdana" w:cs="Times New Roman"/>
          <w:kern w:val="0"/>
          <w14:ligatures w14:val="none"/>
        </w:rPr>
        <w:t>(2023)</w:t>
      </w:r>
      <w:r>
        <w:rPr>
          <w:rFonts w:ascii="Verdana" w:eastAsia="Times New Roman" w:hAnsi="Verdana" w:cs="Times New Roman"/>
          <w:kern w:val="0"/>
          <w14:ligatures w14:val="none"/>
        </w:rPr>
        <w:t xml:space="preserve"> ‘</w:t>
      </w:r>
      <w:r w:rsidR="000210EE" w:rsidRPr="0006788A">
        <w:rPr>
          <w:rFonts w:ascii="Verdana" w:eastAsia="Times New Roman" w:hAnsi="Verdana" w:cs="Times New Roman"/>
          <w:kern w:val="0"/>
          <w14:ligatures w14:val="none"/>
        </w:rPr>
        <w:t>Musculoskeletal risk and ageing workers</w:t>
      </w:r>
      <w:r>
        <w:rPr>
          <w:rFonts w:ascii="Verdana" w:eastAsia="Times New Roman" w:hAnsi="Verdana" w:cs="Times New Roman"/>
          <w:kern w:val="0"/>
          <w14:ligatures w14:val="none"/>
        </w:rPr>
        <w:t>’,</w:t>
      </w:r>
      <w:r w:rsidR="000210EE" w:rsidRPr="0006788A">
        <w:rPr>
          <w:rFonts w:ascii="Verdana" w:eastAsia="Times New Roman" w:hAnsi="Verdana" w:cs="Times New Roman"/>
          <w:kern w:val="0"/>
          <w14:ligatures w14:val="none"/>
        </w:rPr>
        <w:t xml:space="preserve"> </w:t>
      </w:r>
      <w:r w:rsidR="000210EE" w:rsidRPr="0006788A">
        <w:rPr>
          <w:rFonts w:ascii="Verdana" w:eastAsia="Times New Roman" w:hAnsi="Verdana" w:cs="Times New Roman"/>
          <w:i/>
          <w:iCs/>
          <w:kern w:val="0"/>
          <w14:ligatures w14:val="none"/>
        </w:rPr>
        <w:t>Occupational Medicine, 73</w:t>
      </w:r>
      <w:r w:rsidR="000210EE" w:rsidRPr="0006788A">
        <w:rPr>
          <w:rFonts w:ascii="Verdana" w:eastAsia="Times New Roman" w:hAnsi="Verdana" w:cs="Times New Roman"/>
          <w:kern w:val="0"/>
          <w14:ligatures w14:val="none"/>
        </w:rPr>
        <w:t xml:space="preserve">(2), </w:t>
      </w:r>
      <w:r>
        <w:rPr>
          <w:rFonts w:ascii="Verdana" w:eastAsia="Times New Roman" w:hAnsi="Verdana" w:cs="Times New Roman"/>
          <w:kern w:val="0"/>
          <w14:ligatures w14:val="none"/>
        </w:rPr>
        <w:t xml:space="preserve">pp. </w:t>
      </w:r>
      <w:r w:rsidR="000210EE" w:rsidRPr="0006788A">
        <w:rPr>
          <w:rFonts w:ascii="Verdana" w:eastAsia="Times New Roman" w:hAnsi="Verdana" w:cs="Times New Roman"/>
          <w:kern w:val="0"/>
          <w14:ligatures w14:val="none"/>
        </w:rPr>
        <w:t xml:space="preserve">65–72. Available at: </w:t>
      </w:r>
      <w:hyperlink r:id="rId60" w:history="1">
        <w:r w:rsidR="000210EE" w:rsidRPr="0006788A">
          <w:rPr>
            <w:rStyle w:val="Hyperlink"/>
            <w:rFonts w:ascii="Verdana" w:eastAsia="Times New Roman" w:hAnsi="Verdana" w:cs="Times New Roman"/>
            <w:kern w:val="0"/>
            <w14:ligatures w14:val="none"/>
          </w:rPr>
          <w:t>https://doi.org/10.1093/occmed/kqad012</w:t>
        </w:r>
      </w:hyperlink>
    </w:p>
    <w:p w14:paraId="1E88F93D" w14:textId="13E17ED4" w:rsidR="009D05AB" w:rsidRPr="0006788A" w:rsidRDefault="009D05AB" w:rsidP="009D05AB">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lastRenderedPageBreak/>
        <w:t xml:space="preserve">Özdemir, İ. (2024) </w:t>
      </w:r>
      <w:r w:rsidR="0007776F">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Employee development and turnover intention: A meta</w:t>
      </w:r>
      <w:r w:rsidRPr="0006788A">
        <w:rPr>
          <w:rFonts w:ascii="Verdana" w:eastAsia="Times New Roman" w:hAnsi="Verdana" w:cs="Times New Roman"/>
          <w:kern w:val="0"/>
          <w14:ligatures w14:val="none"/>
        </w:rPr>
        <w:noBreakHyphen/>
        <w:t>analytical review</w:t>
      </w:r>
      <w:r w:rsidR="00B8507A">
        <w:rPr>
          <w:rFonts w:ascii="Verdana" w:eastAsia="Times New Roman" w:hAnsi="Verdana" w:cs="Times New Roman"/>
          <w:kern w:val="0"/>
          <w14:ligatures w14:val="none"/>
        </w:rPr>
        <w:t>’,</w:t>
      </w:r>
      <w:r w:rsidRPr="0006788A">
        <w:rPr>
          <w:rFonts w:ascii="Verdana" w:eastAsia="Times New Roman" w:hAnsi="Verdana" w:cs="Times New Roman"/>
          <w:kern w:val="0"/>
          <w14:ligatures w14:val="none"/>
        </w:rPr>
        <w:t xml:space="preserve"> </w:t>
      </w:r>
      <w:proofErr w:type="spellStart"/>
      <w:r w:rsidRPr="0006788A">
        <w:rPr>
          <w:rFonts w:ascii="Verdana" w:eastAsia="Times New Roman" w:hAnsi="Verdana" w:cs="Times New Roman"/>
          <w:i/>
          <w:iCs/>
          <w:kern w:val="0"/>
          <w14:ligatures w14:val="none"/>
        </w:rPr>
        <w:t>Qeios</w:t>
      </w:r>
      <w:proofErr w:type="spellEnd"/>
      <w:r w:rsidRPr="0006788A">
        <w:rPr>
          <w:rFonts w:ascii="Verdana" w:eastAsia="Times New Roman" w:hAnsi="Verdana" w:cs="Times New Roman"/>
          <w:i/>
          <w:iCs/>
          <w:kern w:val="0"/>
          <w14:ligatures w14:val="none"/>
        </w:rPr>
        <w:t>, 6</w:t>
      </w:r>
      <w:r w:rsidRPr="0006788A">
        <w:rPr>
          <w:rFonts w:ascii="Verdana" w:eastAsia="Times New Roman" w:hAnsi="Verdana" w:cs="Times New Roman"/>
          <w:kern w:val="0"/>
          <w14:ligatures w14:val="none"/>
        </w:rPr>
        <w:t xml:space="preserve">. </w:t>
      </w:r>
      <w:r w:rsidR="00B8507A">
        <w:rPr>
          <w:rFonts w:ascii="Verdana" w:eastAsia="Times New Roman" w:hAnsi="Verdana" w:cs="Times New Roman"/>
          <w:kern w:val="0"/>
          <w14:ligatures w14:val="none"/>
        </w:rPr>
        <w:t xml:space="preserve">Available at: </w:t>
      </w:r>
      <w:hyperlink r:id="rId61" w:history="1">
        <w:r w:rsidR="00B8507A" w:rsidRPr="001A35EA">
          <w:rPr>
            <w:rStyle w:val="Hyperlink"/>
            <w:rFonts w:ascii="Verdana" w:eastAsia="Times New Roman" w:hAnsi="Verdana" w:cs="Times New Roman"/>
            <w:kern w:val="0"/>
            <w14:ligatures w14:val="none"/>
          </w:rPr>
          <w:t>https://doi.org/10.32388/PQVBRW</w:t>
        </w:r>
      </w:hyperlink>
    </w:p>
    <w:p w14:paraId="259492BA" w14:textId="2C8BF4CA" w:rsidR="00CD4511" w:rsidRPr="0006788A" w:rsidRDefault="00CD4511" w:rsidP="00CD4511">
      <w:pPr>
        <w:spacing w:before="100" w:beforeAutospacing="1" w:after="100" w:afterAutospacing="1" w:line="240" w:lineRule="auto"/>
        <w:rPr>
          <w:rFonts w:ascii="Verdana" w:eastAsia="Times New Roman" w:hAnsi="Verdana" w:cs="Times New Roman"/>
          <w:kern w:val="0"/>
          <w14:ligatures w14:val="none"/>
        </w:rPr>
      </w:pPr>
      <w:r w:rsidRPr="0006788A">
        <w:rPr>
          <w:rFonts w:ascii="Verdana" w:eastAsia="Times New Roman" w:hAnsi="Verdana" w:cs="Times New Roman"/>
          <w:kern w:val="0"/>
          <w14:ligatures w14:val="none"/>
        </w:rPr>
        <w:t xml:space="preserve">Pfeffer, J. (2018) Dying for a </w:t>
      </w:r>
      <w:proofErr w:type="spellStart"/>
      <w:r w:rsidRPr="0006788A">
        <w:rPr>
          <w:rFonts w:ascii="Verdana" w:eastAsia="Times New Roman" w:hAnsi="Verdana" w:cs="Times New Roman"/>
          <w:kern w:val="0"/>
          <w14:ligatures w14:val="none"/>
        </w:rPr>
        <w:t>paycheck</w:t>
      </w:r>
      <w:proofErr w:type="spellEnd"/>
      <w:r w:rsidRPr="0006788A">
        <w:rPr>
          <w:rFonts w:ascii="Verdana" w:eastAsia="Times New Roman" w:hAnsi="Verdana" w:cs="Times New Roman"/>
          <w:kern w:val="0"/>
          <w14:ligatures w14:val="none"/>
        </w:rPr>
        <w:t xml:space="preserve">. Harvard Business Review Press. </w:t>
      </w:r>
    </w:p>
    <w:p w14:paraId="0AB9BE25" w14:textId="3047579C" w:rsidR="0094004B" w:rsidRPr="0006788A" w:rsidRDefault="0094004B" w:rsidP="0094004B">
      <w:pPr>
        <w:rPr>
          <w:rFonts w:ascii="Verdana" w:hAnsi="Verdana"/>
        </w:rPr>
      </w:pPr>
      <w:proofErr w:type="spellStart"/>
      <w:r w:rsidRPr="0006788A">
        <w:rPr>
          <w:rFonts w:ascii="Verdana" w:hAnsi="Verdana"/>
        </w:rPr>
        <w:t>Plester</w:t>
      </w:r>
      <w:proofErr w:type="spellEnd"/>
      <w:r w:rsidRPr="0006788A">
        <w:rPr>
          <w:rFonts w:ascii="Verdana" w:hAnsi="Verdana"/>
        </w:rPr>
        <w:t xml:space="preserve">, B. A., </w:t>
      </w:r>
      <w:r w:rsidR="00272A29">
        <w:rPr>
          <w:rFonts w:ascii="Verdana" w:hAnsi="Verdana"/>
        </w:rPr>
        <w:t>and</w:t>
      </w:r>
      <w:r w:rsidRPr="0006788A">
        <w:rPr>
          <w:rFonts w:ascii="Verdana" w:hAnsi="Verdana"/>
        </w:rPr>
        <w:t xml:space="preserve"> Lloyd, R. (2023) </w:t>
      </w:r>
      <w:r w:rsidR="00B8507A">
        <w:rPr>
          <w:rFonts w:ascii="Verdana" w:hAnsi="Verdana"/>
        </w:rPr>
        <w:t>‘</w:t>
      </w:r>
      <w:r w:rsidRPr="0006788A">
        <w:rPr>
          <w:rFonts w:ascii="Verdana" w:hAnsi="Verdana"/>
        </w:rPr>
        <w:t>Happiness is “being yourself”: Psychological safety and fun in hybrid work</w:t>
      </w:r>
      <w:r w:rsidR="00B8507A">
        <w:rPr>
          <w:rFonts w:ascii="Verdana" w:hAnsi="Verdana"/>
        </w:rPr>
        <w:t>’,</w:t>
      </w:r>
      <w:r w:rsidRPr="0006788A">
        <w:rPr>
          <w:rFonts w:ascii="Verdana" w:hAnsi="Verdana"/>
        </w:rPr>
        <w:t xml:space="preserve"> </w:t>
      </w:r>
      <w:r w:rsidRPr="0006788A">
        <w:rPr>
          <w:rFonts w:ascii="Verdana" w:hAnsi="Verdana"/>
          <w:i/>
          <w:iCs/>
        </w:rPr>
        <w:t>Administrative Sciences, 13</w:t>
      </w:r>
      <w:r w:rsidRPr="0006788A">
        <w:rPr>
          <w:rFonts w:ascii="Verdana" w:hAnsi="Verdana"/>
        </w:rPr>
        <w:t xml:space="preserve">(10), </w:t>
      </w:r>
      <w:r w:rsidR="00B8507A">
        <w:rPr>
          <w:rFonts w:ascii="Verdana" w:hAnsi="Verdana"/>
        </w:rPr>
        <w:t xml:space="preserve">p. </w:t>
      </w:r>
      <w:r w:rsidRPr="0006788A">
        <w:rPr>
          <w:rFonts w:ascii="Verdana" w:hAnsi="Verdana"/>
        </w:rPr>
        <w:t>218.</w:t>
      </w:r>
      <w:r w:rsidR="00497A1E" w:rsidRPr="0006788A">
        <w:rPr>
          <w:rFonts w:ascii="Verdana" w:hAnsi="Verdana"/>
        </w:rPr>
        <w:t xml:space="preserve"> </w:t>
      </w:r>
      <w:r w:rsidR="00B8507A">
        <w:rPr>
          <w:rFonts w:ascii="Verdana" w:hAnsi="Verdana"/>
        </w:rPr>
        <w:t>Available at:</w:t>
      </w:r>
      <w:r w:rsidR="00497A1E" w:rsidRPr="0006788A">
        <w:rPr>
          <w:rFonts w:ascii="Verdana" w:hAnsi="Verdana"/>
        </w:rPr>
        <w:t xml:space="preserve"> </w:t>
      </w:r>
      <w:hyperlink r:id="rId62" w:history="1">
        <w:r w:rsidR="00A61BBB" w:rsidRPr="0006788A">
          <w:rPr>
            <w:rStyle w:val="Hyperlink"/>
            <w:rFonts w:ascii="Verdana" w:hAnsi="Verdana"/>
          </w:rPr>
          <w:t>https://doi.org/10.3390/admsci13100218</w:t>
        </w:r>
      </w:hyperlink>
    </w:p>
    <w:p w14:paraId="415F84F6" w14:textId="207ECA44" w:rsidR="00A61BBB" w:rsidRPr="0006788A" w:rsidRDefault="00A61BBB" w:rsidP="0094004B">
      <w:pPr>
        <w:rPr>
          <w:rFonts w:ascii="Verdana" w:hAnsi="Verdana"/>
        </w:rPr>
      </w:pPr>
      <w:proofErr w:type="spellStart"/>
      <w:r w:rsidRPr="0006788A">
        <w:rPr>
          <w:rFonts w:ascii="Verdana" w:hAnsi="Verdana"/>
        </w:rPr>
        <w:t>Rassibi</w:t>
      </w:r>
      <w:proofErr w:type="spellEnd"/>
      <w:r w:rsidRPr="0006788A">
        <w:rPr>
          <w:rFonts w:ascii="Verdana" w:hAnsi="Verdana"/>
        </w:rPr>
        <w:t xml:space="preserve">, M, T. </w:t>
      </w:r>
      <w:r w:rsidR="00272A29">
        <w:rPr>
          <w:rFonts w:ascii="Verdana" w:hAnsi="Verdana"/>
        </w:rPr>
        <w:t>and</w:t>
      </w:r>
      <w:r w:rsidRPr="0006788A">
        <w:rPr>
          <w:rFonts w:ascii="Verdana" w:hAnsi="Verdana"/>
        </w:rPr>
        <w:t xml:space="preserve"> </w:t>
      </w:r>
      <w:proofErr w:type="spellStart"/>
      <w:r w:rsidRPr="0006788A">
        <w:rPr>
          <w:rFonts w:ascii="Verdana" w:hAnsi="Verdana"/>
        </w:rPr>
        <w:t>Siragi</w:t>
      </w:r>
      <w:proofErr w:type="spellEnd"/>
      <w:r w:rsidRPr="0006788A">
        <w:rPr>
          <w:rFonts w:ascii="Verdana" w:hAnsi="Verdana"/>
        </w:rPr>
        <w:t xml:space="preserve">, F, </w:t>
      </w:r>
      <w:r w:rsidR="00B551E6" w:rsidRPr="0006788A">
        <w:rPr>
          <w:rFonts w:ascii="Verdana" w:hAnsi="Verdana"/>
        </w:rPr>
        <w:t>E</w:t>
      </w:r>
      <w:r w:rsidRPr="0006788A">
        <w:rPr>
          <w:rFonts w:ascii="Verdana" w:hAnsi="Verdana"/>
        </w:rPr>
        <w:t xml:space="preserve">. (2026) </w:t>
      </w:r>
      <w:r w:rsidR="00B8507A">
        <w:rPr>
          <w:rFonts w:ascii="Verdana" w:hAnsi="Verdana"/>
        </w:rPr>
        <w:t>‘</w:t>
      </w:r>
      <w:r w:rsidR="00B551E6" w:rsidRPr="0006788A">
        <w:rPr>
          <w:rFonts w:ascii="Verdana" w:hAnsi="Verdana"/>
        </w:rPr>
        <w:t>Impact of Employee Well-Being on Employer Branding: A Systematic Review</w:t>
      </w:r>
      <w:r w:rsidR="00B8507A">
        <w:rPr>
          <w:rFonts w:ascii="Verdana" w:hAnsi="Verdana"/>
        </w:rPr>
        <w:t xml:space="preserve">’, </w:t>
      </w:r>
      <w:r w:rsidR="00B551E6" w:rsidRPr="00B8507A">
        <w:rPr>
          <w:rFonts w:ascii="Verdana" w:hAnsi="Verdana"/>
          <w:i/>
          <w:iCs/>
        </w:rPr>
        <w:t>International Journal of Accounting, Finance, Auditing, Management and Economics,</w:t>
      </w:r>
      <w:r w:rsidR="00B551E6" w:rsidRPr="0006788A">
        <w:rPr>
          <w:rFonts w:ascii="Verdana" w:hAnsi="Verdana"/>
        </w:rPr>
        <w:t xml:space="preserve"> 7(5), </w:t>
      </w:r>
      <w:r w:rsidR="00B8507A">
        <w:rPr>
          <w:rFonts w:ascii="Verdana" w:hAnsi="Verdana"/>
        </w:rPr>
        <w:t xml:space="preserve">pp. </w:t>
      </w:r>
      <w:r w:rsidR="00B551E6" w:rsidRPr="0006788A">
        <w:rPr>
          <w:rFonts w:ascii="Verdana" w:hAnsi="Verdana"/>
        </w:rPr>
        <w:t xml:space="preserve">50–87. Available at: </w:t>
      </w:r>
      <w:hyperlink r:id="rId63" w:history="1">
        <w:r w:rsidR="00330DB1" w:rsidRPr="0006788A">
          <w:rPr>
            <w:rStyle w:val="Hyperlink"/>
            <w:rFonts w:ascii="Verdana" w:hAnsi="Verdana"/>
          </w:rPr>
          <w:t>https://doi.org/10.5281/zenodo.19675516</w:t>
        </w:r>
      </w:hyperlink>
    </w:p>
    <w:p w14:paraId="18F7C2B0" w14:textId="6307B9CD" w:rsidR="005C2292" w:rsidRDefault="00A43A97" w:rsidP="005C2292">
      <w:pPr>
        <w:rPr>
          <w:rFonts w:ascii="Verdana" w:hAnsi="Verdana"/>
        </w:rPr>
      </w:pPr>
      <w:r w:rsidRPr="0006788A">
        <w:rPr>
          <w:rFonts w:ascii="Verdana" w:hAnsi="Verdana"/>
        </w:rPr>
        <w:t xml:space="preserve">Reeves, V., </w:t>
      </w:r>
      <w:proofErr w:type="spellStart"/>
      <w:r w:rsidRPr="0006788A">
        <w:rPr>
          <w:rFonts w:ascii="Verdana" w:hAnsi="Verdana"/>
        </w:rPr>
        <w:t>Loughhead</w:t>
      </w:r>
      <w:proofErr w:type="spellEnd"/>
      <w:r w:rsidRPr="0006788A">
        <w:rPr>
          <w:rFonts w:ascii="Verdana" w:hAnsi="Verdana"/>
        </w:rPr>
        <w:t xml:space="preserve">, M., Halpin, M. A., </w:t>
      </w:r>
      <w:r w:rsidR="00272A29">
        <w:rPr>
          <w:rFonts w:ascii="Verdana" w:hAnsi="Verdana"/>
        </w:rPr>
        <w:t>and</w:t>
      </w:r>
      <w:r w:rsidRPr="0006788A">
        <w:rPr>
          <w:rFonts w:ascii="Verdana" w:hAnsi="Verdana"/>
        </w:rPr>
        <w:t xml:space="preserve"> Procter, N. (2023)</w:t>
      </w:r>
      <w:r w:rsidR="00B8507A">
        <w:rPr>
          <w:rFonts w:ascii="Verdana" w:hAnsi="Verdana"/>
        </w:rPr>
        <w:t xml:space="preserve"> </w:t>
      </w:r>
      <w:r w:rsidR="00B8507A" w:rsidRPr="00B8507A">
        <w:rPr>
          <w:rFonts w:ascii="Verdana" w:hAnsi="Verdana"/>
        </w:rPr>
        <w:t>‘</w:t>
      </w:r>
      <w:r w:rsidRPr="00B8507A">
        <w:rPr>
          <w:rFonts w:ascii="Verdana" w:hAnsi="Verdana"/>
        </w:rPr>
        <w:t>Organisational actions for improving integration and acceptance of peer support</w:t>
      </w:r>
      <w:r w:rsidR="00B8507A" w:rsidRPr="00B8507A">
        <w:rPr>
          <w:rFonts w:ascii="Verdana" w:hAnsi="Verdana"/>
        </w:rPr>
        <w:t>’,</w:t>
      </w:r>
      <w:r w:rsidRPr="0006788A">
        <w:rPr>
          <w:rFonts w:ascii="Verdana" w:hAnsi="Verdana"/>
        </w:rPr>
        <w:t xml:space="preserve"> </w:t>
      </w:r>
      <w:r w:rsidRPr="00B8507A">
        <w:rPr>
          <w:rFonts w:ascii="Verdana" w:hAnsi="Verdana"/>
          <w:i/>
          <w:iCs/>
        </w:rPr>
        <w:t>Community Mental Health Journal</w:t>
      </w:r>
      <w:r w:rsidRPr="0006788A">
        <w:rPr>
          <w:rFonts w:ascii="Verdana" w:hAnsi="Verdana"/>
        </w:rPr>
        <w:t>, 60(1),</w:t>
      </w:r>
      <w:r w:rsidR="00B8507A">
        <w:rPr>
          <w:rFonts w:ascii="Verdana" w:hAnsi="Verdana"/>
        </w:rPr>
        <w:t xml:space="preserve"> pp.</w:t>
      </w:r>
      <w:r w:rsidRPr="0006788A">
        <w:rPr>
          <w:rFonts w:ascii="Verdana" w:hAnsi="Verdana"/>
        </w:rPr>
        <w:t xml:space="preserve">169–178. </w:t>
      </w:r>
      <w:r w:rsidRPr="005C2292">
        <w:rPr>
          <w:rFonts w:ascii="Verdana" w:hAnsi="Verdana"/>
        </w:rPr>
        <w:t>Available at:</w:t>
      </w:r>
      <w:r w:rsidR="005C2292">
        <w:rPr>
          <w:rFonts w:ascii="Verdana" w:hAnsi="Verdana"/>
        </w:rPr>
        <w:t xml:space="preserve"> </w:t>
      </w:r>
      <w:hyperlink r:id="rId64" w:history="1">
        <w:r w:rsidR="005C2292" w:rsidRPr="001A35EA">
          <w:rPr>
            <w:rStyle w:val="Hyperlink"/>
            <w:rFonts w:ascii="Verdana" w:hAnsi="Verdana"/>
          </w:rPr>
          <w:t>https://doi.org/10.1007/s10597-023-01179-x</w:t>
        </w:r>
      </w:hyperlink>
    </w:p>
    <w:p w14:paraId="12C058DA" w14:textId="1BFCA747" w:rsidR="0094004B" w:rsidRPr="0006788A" w:rsidRDefault="0094004B" w:rsidP="0094004B">
      <w:pPr>
        <w:rPr>
          <w:rFonts w:ascii="Verdana" w:hAnsi="Verdana"/>
        </w:rPr>
      </w:pPr>
      <w:r w:rsidRPr="0006788A">
        <w:rPr>
          <w:rFonts w:ascii="Verdana" w:hAnsi="Verdana"/>
        </w:rPr>
        <w:t>Seligman, M. E. P. (2011)</w:t>
      </w:r>
      <w:r w:rsidR="005C2292">
        <w:rPr>
          <w:rFonts w:ascii="Verdana" w:hAnsi="Verdana"/>
        </w:rPr>
        <w:t xml:space="preserve"> </w:t>
      </w:r>
      <w:r w:rsidRPr="0006788A">
        <w:rPr>
          <w:rFonts w:ascii="Verdana" w:hAnsi="Verdana"/>
          <w:i/>
          <w:iCs/>
        </w:rPr>
        <w:t>Flourish: A Visionary New Understanding of Happiness and Wellbeing</w:t>
      </w:r>
      <w:r w:rsidRPr="0006788A">
        <w:rPr>
          <w:rFonts w:ascii="Verdana" w:hAnsi="Verdana"/>
        </w:rPr>
        <w:t>. Free Press</w:t>
      </w:r>
    </w:p>
    <w:p w14:paraId="2BF30C6F" w14:textId="16F8BFA8" w:rsidR="00217DC7" w:rsidRPr="0006788A" w:rsidRDefault="00217DC7" w:rsidP="00217DC7">
      <w:pPr>
        <w:rPr>
          <w:rFonts w:ascii="Verdana" w:hAnsi="Verdana"/>
        </w:rPr>
      </w:pPr>
      <w:r w:rsidRPr="0006788A">
        <w:rPr>
          <w:rFonts w:ascii="Verdana" w:hAnsi="Verdana"/>
        </w:rPr>
        <w:t xml:space="preserve">Sengupta, A., </w:t>
      </w:r>
      <w:proofErr w:type="spellStart"/>
      <w:r w:rsidRPr="0006788A">
        <w:rPr>
          <w:rFonts w:ascii="Verdana" w:hAnsi="Verdana"/>
        </w:rPr>
        <w:t>Bamel</w:t>
      </w:r>
      <w:proofErr w:type="spellEnd"/>
      <w:r w:rsidRPr="0006788A">
        <w:rPr>
          <w:rFonts w:ascii="Verdana" w:hAnsi="Verdana"/>
        </w:rPr>
        <w:t xml:space="preserve">, U., </w:t>
      </w:r>
      <w:r w:rsidR="00272A29">
        <w:rPr>
          <w:rFonts w:ascii="Verdana" w:hAnsi="Verdana"/>
        </w:rPr>
        <w:t>and</w:t>
      </w:r>
      <w:r w:rsidRPr="0006788A">
        <w:rPr>
          <w:rFonts w:ascii="Verdana" w:hAnsi="Verdana"/>
        </w:rPr>
        <w:t xml:space="preserve"> Singh, P. (2022)</w:t>
      </w:r>
      <w:r w:rsidR="005C2292">
        <w:rPr>
          <w:rFonts w:ascii="Verdana" w:hAnsi="Verdana"/>
        </w:rPr>
        <w:t xml:space="preserve"> ‘</w:t>
      </w:r>
      <w:r w:rsidRPr="0006788A">
        <w:rPr>
          <w:rFonts w:ascii="Verdana" w:hAnsi="Verdana"/>
        </w:rPr>
        <w:t>Employee wellbeing and employer branding: A signalling perspective</w:t>
      </w:r>
      <w:r w:rsidR="005C2292">
        <w:rPr>
          <w:rFonts w:ascii="Verdana" w:hAnsi="Verdana"/>
        </w:rPr>
        <w:t>’,</w:t>
      </w:r>
      <w:r w:rsidRPr="0006788A">
        <w:rPr>
          <w:rFonts w:ascii="Verdana" w:hAnsi="Verdana"/>
        </w:rPr>
        <w:t xml:space="preserve"> </w:t>
      </w:r>
      <w:r w:rsidRPr="0006788A">
        <w:rPr>
          <w:rFonts w:ascii="Verdana" w:hAnsi="Verdana"/>
          <w:i/>
          <w:iCs/>
        </w:rPr>
        <w:t>Journal of Business Research, 142</w:t>
      </w:r>
      <w:r w:rsidRPr="0006788A">
        <w:rPr>
          <w:rFonts w:ascii="Verdana" w:hAnsi="Verdana"/>
        </w:rPr>
        <w:t xml:space="preserve">, </w:t>
      </w:r>
      <w:r w:rsidR="005C2292">
        <w:rPr>
          <w:rFonts w:ascii="Verdana" w:hAnsi="Verdana"/>
        </w:rPr>
        <w:t xml:space="preserve">pp. </w:t>
      </w:r>
      <w:r w:rsidRPr="0006788A">
        <w:rPr>
          <w:rFonts w:ascii="Verdana" w:hAnsi="Verdana"/>
        </w:rPr>
        <w:t xml:space="preserve">228–241. </w:t>
      </w:r>
      <w:r w:rsidR="005C2292">
        <w:rPr>
          <w:rFonts w:ascii="Verdana" w:hAnsi="Verdana"/>
        </w:rPr>
        <w:t xml:space="preserve">Available at: </w:t>
      </w:r>
      <w:hyperlink r:id="rId65" w:history="1">
        <w:r w:rsidR="005C2292" w:rsidRPr="001A35EA">
          <w:rPr>
            <w:rStyle w:val="Hyperlink"/>
            <w:rFonts w:ascii="Verdana" w:hAnsi="Verdana"/>
          </w:rPr>
          <w:t>https://doi.org/10.1016/j.jbusres.2021.12.031</w:t>
        </w:r>
      </w:hyperlink>
    </w:p>
    <w:p w14:paraId="74430E56" w14:textId="734B2E47" w:rsidR="00D26997" w:rsidRDefault="00D26997" w:rsidP="00D26997">
      <w:pPr>
        <w:rPr>
          <w:rFonts w:ascii="Verdana" w:hAnsi="Verdana"/>
        </w:rPr>
      </w:pPr>
      <w:proofErr w:type="spellStart"/>
      <w:r w:rsidRPr="00D26997">
        <w:rPr>
          <w:rFonts w:ascii="Verdana" w:hAnsi="Verdana"/>
        </w:rPr>
        <w:t>Skakon</w:t>
      </w:r>
      <w:proofErr w:type="spellEnd"/>
      <w:r w:rsidRPr="00D26997">
        <w:rPr>
          <w:rFonts w:ascii="Verdana" w:hAnsi="Verdana"/>
        </w:rPr>
        <w:t xml:space="preserve">, J., Nielsen, K., Borg, V., </w:t>
      </w:r>
      <w:r w:rsidR="00272A29">
        <w:rPr>
          <w:rFonts w:ascii="Verdana" w:hAnsi="Verdana"/>
        </w:rPr>
        <w:t>and</w:t>
      </w:r>
      <w:r w:rsidRPr="00D26997">
        <w:rPr>
          <w:rFonts w:ascii="Verdana" w:hAnsi="Verdana"/>
        </w:rPr>
        <w:t xml:space="preserve"> Guzman, J. (2010) </w:t>
      </w:r>
      <w:r w:rsidR="005C2292" w:rsidRPr="005C2292">
        <w:rPr>
          <w:rFonts w:ascii="Verdana" w:hAnsi="Verdana"/>
        </w:rPr>
        <w:t>‘</w:t>
      </w:r>
      <w:r w:rsidRPr="00D26997">
        <w:rPr>
          <w:rFonts w:ascii="Verdana" w:hAnsi="Verdana"/>
        </w:rPr>
        <w:t>Are leaders’ wellbeing, behaviours and style associated with the affective wellbeing of their employees?</w:t>
      </w:r>
      <w:r w:rsidR="005C2292" w:rsidRPr="005C2292">
        <w:rPr>
          <w:rFonts w:ascii="Verdana" w:hAnsi="Verdana"/>
        </w:rPr>
        <w:t xml:space="preserve">’, </w:t>
      </w:r>
      <w:r w:rsidRPr="00D26997">
        <w:rPr>
          <w:rFonts w:ascii="Verdana" w:hAnsi="Verdana"/>
          <w:i/>
          <w:iCs/>
        </w:rPr>
        <w:t xml:space="preserve">Work </w:t>
      </w:r>
      <w:r w:rsidR="00272A29" w:rsidRPr="005C2292">
        <w:rPr>
          <w:rFonts w:ascii="Verdana" w:hAnsi="Verdana"/>
          <w:i/>
          <w:iCs/>
        </w:rPr>
        <w:t>and</w:t>
      </w:r>
      <w:r w:rsidRPr="00D26997">
        <w:rPr>
          <w:rFonts w:ascii="Verdana" w:hAnsi="Verdana"/>
          <w:i/>
          <w:iCs/>
        </w:rPr>
        <w:t xml:space="preserve"> Stress</w:t>
      </w:r>
      <w:r w:rsidRPr="00D26997">
        <w:rPr>
          <w:rFonts w:ascii="Verdana" w:hAnsi="Verdana"/>
        </w:rPr>
        <w:t xml:space="preserve">, 24(2), </w:t>
      </w:r>
      <w:r w:rsidR="005C2292">
        <w:rPr>
          <w:rFonts w:ascii="Verdana" w:hAnsi="Verdana"/>
        </w:rPr>
        <w:t xml:space="preserve">pp. </w:t>
      </w:r>
      <w:r w:rsidRPr="00D26997">
        <w:rPr>
          <w:rFonts w:ascii="Verdana" w:hAnsi="Verdana"/>
        </w:rPr>
        <w:t>107–139.</w:t>
      </w:r>
      <w:r w:rsidRPr="0006788A">
        <w:rPr>
          <w:rFonts w:ascii="Verdana" w:hAnsi="Verdana"/>
        </w:rPr>
        <w:t xml:space="preserve">  Available at: </w:t>
      </w:r>
      <w:hyperlink r:id="rId66" w:history="1">
        <w:r w:rsidR="005C2292" w:rsidRPr="00D26997">
          <w:rPr>
            <w:rStyle w:val="Hyperlink"/>
            <w:rFonts w:ascii="Verdana" w:hAnsi="Verdana"/>
          </w:rPr>
          <w:t>https://doi.org/10.1080/02678373.2010.495262</w:t>
        </w:r>
      </w:hyperlink>
    </w:p>
    <w:p w14:paraId="02A08955" w14:textId="0DBE2E24" w:rsidR="00581091" w:rsidRDefault="00D9041C" w:rsidP="00581091">
      <w:pPr>
        <w:rPr>
          <w:rFonts w:ascii="Verdana" w:hAnsi="Verdana"/>
        </w:rPr>
      </w:pPr>
      <w:r w:rsidRPr="00D9041C">
        <w:rPr>
          <w:rFonts w:ascii="Verdana" w:hAnsi="Verdana"/>
        </w:rPr>
        <w:t xml:space="preserve">Sverke, M., </w:t>
      </w:r>
      <w:proofErr w:type="spellStart"/>
      <w:r w:rsidRPr="00D9041C">
        <w:rPr>
          <w:rFonts w:ascii="Verdana" w:hAnsi="Verdana"/>
        </w:rPr>
        <w:t>Näswall</w:t>
      </w:r>
      <w:proofErr w:type="spellEnd"/>
      <w:r w:rsidRPr="00D9041C">
        <w:rPr>
          <w:rFonts w:ascii="Verdana" w:hAnsi="Verdana"/>
        </w:rPr>
        <w:t>, K., Hellgren, J. and De Witte, H. (2023)</w:t>
      </w:r>
      <w:r>
        <w:rPr>
          <w:rFonts w:ascii="Verdana" w:hAnsi="Verdana"/>
        </w:rPr>
        <w:t xml:space="preserve"> ‘</w:t>
      </w:r>
      <w:r w:rsidR="00581091" w:rsidRPr="0006788A">
        <w:rPr>
          <w:rFonts w:ascii="Verdana" w:hAnsi="Verdana"/>
        </w:rPr>
        <w:t>Job insecurity, wellbeing and managerial support</w:t>
      </w:r>
      <w:r>
        <w:rPr>
          <w:rFonts w:ascii="Verdana" w:hAnsi="Verdana"/>
        </w:rPr>
        <w:t xml:space="preserve">’, </w:t>
      </w:r>
      <w:r w:rsidR="00581091" w:rsidRPr="0006788A">
        <w:rPr>
          <w:rFonts w:ascii="Verdana" w:hAnsi="Verdana"/>
          <w:i/>
          <w:iCs/>
        </w:rPr>
        <w:t>European Journal of Work and Organizational Psychology, 32</w:t>
      </w:r>
      <w:r w:rsidR="00581091" w:rsidRPr="0006788A">
        <w:rPr>
          <w:rFonts w:ascii="Verdana" w:hAnsi="Verdana"/>
        </w:rPr>
        <w:t xml:space="preserve">(1), </w:t>
      </w:r>
      <w:r>
        <w:rPr>
          <w:rFonts w:ascii="Verdana" w:hAnsi="Verdana"/>
        </w:rPr>
        <w:t xml:space="preserve">pp. </w:t>
      </w:r>
      <w:r w:rsidR="00581091" w:rsidRPr="0006788A">
        <w:rPr>
          <w:rFonts w:ascii="Verdana" w:hAnsi="Verdana"/>
        </w:rPr>
        <w:t>1–15.  Available at:</w:t>
      </w:r>
      <w:r w:rsidR="00581091" w:rsidRPr="0006788A">
        <w:rPr>
          <w:rFonts w:ascii="Verdana" w:hAnsi="Verdana"/>
        </w:rPr>
        <w:br/>
      </w:r>
      <w:hyperlink r:id="rId67" w:history="1">
        <w:r w:rsidRPr="001A35EA">
          <w:rPr>
            <w:rStyle w:val="Hyperlink"/>
            <w:rFonts w:ascii="Verdana" w:hAnsi="Verdana"/>
          </w:rPr>
          <w:t>https://doi.org/10.1080/1359432X.2022.2157009</w:t>
        </w:r>
      </w:hyperlink>
    </w:p>
    <w:p w14:paraId="42DFA178" w14:textId="0896CE44" w:rsidR="000D6026" w:rsidRDefault="000D6026" w:rsidP="00217DC7">
      <w:pPr>
        <w:rPr>
          <w:rFonts w:ascii="Verdana" w:hAnsi="Verdana"/>
        </w:rPr>
      </w:pPr>
      <w:r w:rsidRPr="0006788A">
        <w:rPr>
          <w:rFonts w:ascii="Verdana" w:hAnsi="Verdana"/>
        </w:rPr>
        <w:t xml:space="preserve">Tarro, L., </w:t>
      </w:r>
      <w:proofErr w:type="spellStart"/>
      <w:r w:rsidRPr="0006788A">
        <w:rPr>
          <w:rFonts w:ascii="Verdana" w:hAnsi="Verdana"/>
        </w:rPr>
        <w:t>Llauradó</w:t>
      </w:r>
      <w:proofErr w:type="spellEnd"/>
      <w:r w:rsidRPr="0006788A">
        <w:rPr>
          <w:rFonts w:ascii="Verdana" w:hAnsi="Verdana"/>
        </w:rPr>
        <w:t xml:space="preserve">, E., </w:t>
      </w:r>
      <w:proofErr w:type="spellStart"/>
      <w:r w:rsidRPr="0006788A">
        <w:rPr>
          <w:rFonts w:ascii="Verdana" w:hAnsi="Verdana"/>
        </w:rPr>
        <w:t>Ulldemolins</w:t>
      </w:r>
      <w:proofErr w:type="spellEnd"/>
      <w:r w:rsidRPr="0006788A">
        <w:rPr>
          <w:rFonts w:ascii="Verdana" w:hAnsi="Verdana"/>
        </w:rPr>
        <w:t xml:space="preserve">, G., Hermoso, P., </w:t>
      </w:r>
      <w:r w:rsidR="00272A29">
        <w:rPr>
          <w:rFonts w:ascii="Verdana" w:hAnsi="Verdana"/>
        </w:rPr>
        <w:t>and</w:t>
      </w:r>
      <w:r w:rsidRPr="0006788A">
        <w:rPr>
          <w:rFonts w:ascii="Verdana" w:hAnsi="Verdana"/>
        </w:rPr>
        <w:t xml:space="preserve"> </w:t>
      </w:r>
      <w:proofErr w:type="spellStart"/>
      <w:r w:rsidRPr="0006788A">
        <w:rPr>
          <w:rFonts w:ascii="Verdana" w:hAnsi="Verdana"/>
        </w:rPr>
        <w:t>Solà</w:t>
      </w:r>
      <w:proofErr w:type="spellEnd"/>
      <w:r w:rsidRPr="0006788A">
        <w:rPr>
          <w:rFonts w:ascii="Verdana" w:hAnsi="Verdana"/>
        </w:rPr>
        <w:t>, R. (2020)</w:t>
      </w:r>
      <w:r w:rsidR="00D9041C">
        <w:rPr>
          <w:rFonts w:ascii="Verdana" w:hAnsi="Verdana"/>
        </w:rPr>
        <w:t xml:space="preserve"> ‘</w:t>
      </w:r>
      <w:r w:rsidRPr="0006788A">
        <w:rPr>
          <w:rFonts w:ascii="Verdana" w:hAnsi="Verdana"/>
        </w:rPr>
        <w:t>Effectiveness of Workplace Interventions for Improving Absenteeism, Productivity, and Work Ability of Employees: A Systematic Review and Meta-Analysis of Randomized Controlled Trials</w:t>
      </w:r>
      <w:r w:rsidR="00D9041C">
        <w:rPr>
          <w:rFonts w:ascii="Verdana" w:hAnsi="Verdana"/>
        </w:rPr>
        <w:t>’,</w:t>
      </w:r>
      <w:r w:rsidRPr="0006788A">
        <w:rPr>
          <w:rFonts w:ascii="Verdana" w:hAnsi="Verdana"/>
        </w:rPr>
        <w:t> </w:t>
      </w:r>
      <w:r w:rsidRPr="0006788A">
        <w:rPr>
          <w:rFonts w:ascii="Verdana" w:hAnsi="Verdana"/>
          <w:i/>
          <w:iCs/>
        </w:rPr>
        <w:t>International journal of environmental research and public health</w:t>
      </w:r>
      <w:r w:rsidRPr="0006788A">
        <w:rPr>
          <w:rFonts w:ascii="Verdana" w:hAnsi="Verdana"/>
        </w:rPr>
        <w:t>, </w:t>
      </w:r>
      <w:r w:rsidRPr="0006788A">
        <w:rPr>
          <w:rFonts w:ascii="Verdana" w:hAnsi="Verdana"/>
          <w:i/>
          <w:iCs/>
        </w:rPr>
        <w:t>17</w:t>
      </w:r>
      <w:r w:rsidRPr="0006788A">
        <w:rPr>
          <w:rFonts w:ascii="Verdana" w:hAnsi="Verdana"/>
        </w:rPr>
        <w:t xml:space="preserve">(6), 1901. </w:t>
      </w:r>
      <w:r w:rsidR="00D9041C">
        <w:rPr>
          <w:rFonts w:ascii="Verdana" w:hAnsi="Verdana"/>
        </w:rPr>
        <w:t xml:space="preserve">Available at: </w:t>
      </w:r>
      <w:hyperlink r:id="rId68" w:history="1">
        <w:r w:rsidR="00D9041C" w:rsidRPr="001A35EA">
          <w:rPr>
            <w:rStyle w:val="Hyperlink"/>
            <w:rFonts w:ascii="Verdana" w:hAnsi="Verdana"/>
          </w:rPr>
          <w:t>https://doi.org/10.3390/ijerph17061901</w:t>
        </w:r>
      </w:hyperlink>
    </w:p>
    <w:p w14:paraId="3E015B33" w14:textId="77777777" w:rsidR="00D9041C" w:rsidRPr="0006788A" w:rsidRDefault="00D9041C" w:rsidP="00217DC7">
      <w:pPr>
        <w:rPr>
          <w:rFonts w:ascii="Verdana" w:hAnsi="Verdana"/>
        </w:rPr>
      </w:pPr>
    </w:p>
    <w:p w14:paraId="781D5AA4" w14:textId="7A2DE860" w:rsidR="0094004B" w:rsidRPr="0006788A" w:rsidRDefault="0094004B" w:rsidP="0094004B">
      <w:pPr>
        <w:rPr>
          <w:rFonts w:ascii="Verdana" w:hAnsi="Verdana"/>
        </w:rPr>
      </w:pPr>
      <w:proofErr w:type="spellStart"/>
      <w:r w:rsidRPr="0006788A">
        <w:rPr>
          <w:rFonts w:ascii="Verdana" w:hAnsi="Verdana"/>
        </w:rPr>
        <w:lastRenderedPageBreak/>
        <w:t>Wandycz</w:t>
      </w:r>
      <w:proofErr w:type="spellEnd"/>
      <w:r w:rsidRPr="0006788A">
        <w:rPr>
          <w:rFonts w:ascii="Verdana" w:hAnsi="Verdana"/>
        </w:rPr>
        <w:noBreakHyphen/>
        <w:t xml:space="preserve">Mejias, J., Roldán, J. L., </w:t>
      </w:r>
      <w:r w:rsidR="00272A29">
        <w:rPr>
          <w:rFonts w:ascii="Verdana" w:hAnsi="Verdana"/>
        </w:rPr>
        <w:t>and</w:t>
      </w:r>
      <w:r w:rsidRPr="0006788A">
        <w:rPr>
          <w:rFonts w:ascii="Verdana" w:hAnsi="Verdana"/>
        </w:rPr>
        <w:t xml:space="preserve"> Lopez</w:t>
      </w:r>
      <w:r w:rsidRPr="0006788A">
        <w:rPr>
          <w:rFonts w:ascii="Verdana" w:hAnsi="Verdana"/>
        </w:rPr>
        <w:noBreakHyphen/>
        <w:t>Cabrales, A. (2025)</w:t>
      </w:r>
      <w:r w:rsidR="00D9041C">
        <w:rPr>
          <w:rFonts w:ascii="Verdana" w:hAnsi="Verdana"/>
        </w:rPr>
        <w:t xml:space="preserve"> ‘</w:t>
      </w:r>
      <w:proofErr w:type="spellStart"/>
      <w:r w:rsidRPr="0006788A">
        <w:rPr>
          <w:rFonts w:ascii="Verdana" w:hAnsi="Verdana"/>
        </w:rPr>
        <w:t>Analyzing</w:t>
      </w:r>
      <w:proofErr w:type="spellEnd"/>
      <w:r w:rsidRPr="0006788A">
        <w:rPr>
          <w:rFonts w:ascii="Verdana" w:hAnsi="Verdana"/>
        </w:rPr>
        <w:t xml:space="preserve"> the impact of work meaningfulness on turnover intentions and job satisfaction: A self</w:t>
      </w:r>
      <w:r w:rsidRPr="0006788A">
        <w:rPr>
          <w:rFonts w:ascii="Verdana" w:hAnsi="Verdana"/>
        </w:rPr>
        <w:noBreakHyphen/>
        <w:t>determination theory perspective</w:t>
      </w:r>
      <w:r w:rsidR="00D9041C">
        <w:rPr>
          <w:rFonts w:ascii="Verdana" w:hAnsi="Verdana"/>
        </w:rPr>
        <w:t>’,</w:t>
      </w:r>
      <w:r w:rsidRPr="0006788A">
        <w:rPr>
          <w:rFonts w:ascii="Verdana" w:hAnsi="Verdana"/>
        </w:rPr>
        <w:t xml:space="preserve"> </w:t>
      </w:r>
      <w:r w:rsidRPr="0006788A">
        <w:rPr>
          <w:rFonts w:ascii="Verdana" w:hAnsi="Verdana"/>
          <w:i/>
          <w:iCs/>
        </w:rPr>
        <w:t xml:space="preserve">Journal of Management </w:t>
      </w:r>
      <w:r w:rsidR="00272A29">
        <w:rPr>
          <w:rFonts w:ascii="Verdana" w:hAnsi="Verdana"/>
          <w:i/>
          <w:iCs/>
        </w:rPr>
        <w:t>and</w:t>
      </w:r>
      <w:r w:rsidRPr="0006788A">
        <w:rPr>
          <w:rFonts w:ascii="Verdana" w:hAnsi="Verdana"/>
          <w:i/>
          <w:iCs/>
        </w:rPr>
        <w:t xml:space="preserve"> Organization, 31</w:t>
      </w:r>
      <w:r w:rsidRPr="0006788A">
        <w:rPr>
          <w:rFonts w:ascii="Verdana" w:hAnsi="Verdana"/>
        </w:rPr>
        <w:t xml:space="preserve">(1), </w:t>
      </w:r>
      <w:r w:rsidR="002A61D4">
        <w:rPr>
          <w:rFonts w:ascii="Verdana" w:hAnsi="Verdana"/>
        </w:rPr>
        <w:t xml:space="preserve">pp. </w:t>
      </w:r>
      <w:r w:rsidRPr="0006788A">
        <w:rPr>
          <w:rFonts w:ascii="Verdana" w:hAnsi="Verdana"/>
        </w:rPr>
        <w:t>384–407.</w:t>
      </w:r>
      <w:r w:rsidR="002A61D4">
        <w:rPr>
          <w:rFonts w:ascii="Verdana" w:hAnsi="Verdana"/>
        </w:rPr>
        <w:t xml:space="preserve"> Available at:</w:t>
      </w:r>
      <w:r w:rsidRPr="0006788A">
        <w:rPr>
          <w:rFonts w:ascii="Verdana" w:hAnsi="Verdana"/>
        </w:rPr>
        <w:br/>
      </w:r>
      <w:hyperlink r:id="rId69" w:history="1">
        <w:r w:rsidR="003563D9" w:rsidRPr="0006788A">
          <w:rPr>
            <w:rStyle w:val="Hyperlink"/>
            <w:rFonts w:ascii="Verdana" w:hAnsi="Verdana"/>
          </w:rPr>
          <w:t>https://doi.org/10.1017/jmo.2024.42</w:t>
        </w:r>
      </w:hyperlink>
    </w:p>
    <w:p w14:paraId="48EC618E" w14:textId="0B401D4F" w:rsidR="0077070D" w:rsidRDefault="0077070D" w:rsidP="0077070D">
      <w:pPr>
        <w:rPr>
          <w:rFonts w:ascii="Verdana" w:hAnsi="Verdana"/>
        </w:rPr>
      </w:pPr>
      <w:r w:rsidRPr="0077070D">
        <w:rPr>
          <w:rFonts w:ascii="Verdana" w:hAnsi="Verdana"/>
        </w:rPr>
        <w:t xml:space="preserve">World Wellbeing Movement (2024). </w:t>
      </w:r>
      <w:r w:rsidRPr="0077070D">
        <w:rPr>
          <w:rFonts w:ascii="Verdana" w:hAnsi="Verdana"/>
          <w:i/>
          <w:iCs/>
        </w:rPr>
        <w:t>Work Wellbeing Playbook: A systematic review of evidence</w:t>
      </w:r>
      <w:r w:rsidRPr="0077070D">
        <w:rPr>
          <w:rFonts w:ascii="Verdana" w:hAnsi="Verdana"/>
          <w:i/>
          <w:iCs/>
        </w:rPr>
        <w:noBreakHyphen/>
        <w:t>based interventions to improve employee wellbeing</w:t>
      </w:r>
      <w:r w:rsidRPr="0077070D">
        <w:rPr>
          <w:rFonts w:ascii="Verdana" w:hAnsi="Verdana"/>
        </w:rPr>
        <w:t>.</w:t>
      </w:r>
      <w:r w:rsidR="002A61D4">
        <w:rPr>
          <w:rFonts w:ascii="Verdana" w:hAnsi="Verdana"/>
        </w:rPr>
        <w:t xml:space="preserve"> Available at: </w:t>
      </w:r>
      <w:hyperlink r:id="rId70" w:history="1">
        <w:r w:rsidR="002A61D4" w:rsidRPr="0077070D">
          <w:rPr>
            <w:rStyle w:val="Hyperlink"/>
            <w:rFonts w:ascii="Verdana" w:hAnsi="Verdana"/>
          </w:rPr>
          <w:t>https://worldwellbeingmovement.org/work-wellbeing-playbook/</w:t>
        </w:r>
      </w:hyperlink>
    </w:p>
    <w:p w14:paraId="2C75CD02" w14:textId="53BC8E67" w:rsidR="003563D9" w:rsidRPr="0006788A" w:rsidRDefault="003563D9" w:rsidP="003563D9">
      <w:pPr>
        <w:rPr>
          <w:rFonts w:ascii="Verdana" w:hAnsi="Verdana"/>
        </w:rPr>
      </w:pPr>
      <w:r w:rsidRPr="0006788A">
        <w:rPr>
          <w:rFonts w:ascii="Verdana" w:hAnsi="Verdana"/>
        </w:rPr>
        <w:t xml:space="preserve">Wright, T. A., </w:t>
      </w:r>
      <w:r w:rsidR="00272A29">
        <w:rPr>
          <w:rFonts w:ascii="Verdana" w:hAnsi="Verdana"/>
        </w:rPr>
        <w:t>and</w:t>
      </w:r>
      <w:r w:rsidRPr="0006788A">
        <w:rPr>
          <w:rFonts w:ascii="Verdana" w:hAnsi="Verdana"/>
        </w:rPr>
        <w:t xml:space="preserve"> </w:t>
      </w:r>
      <w:proofErr w:type="spellStart"/>
      <w:r w:rsidRPr="0006788A">
        <w:rPr>
          <w:rFonts w:ascii="Verdana" w:hAnsi="Verdana"/>
        </w:rPr>
        <w:t>Cropanzano</w:t>
      </w:r>
      <w:proofErr w:type="spellEnd"/>
      <w:r w:rsidRPr="0006788A">
        <w:rPr>
          <w:rFonts w:ascii="Verdana" w:hAnsi="Verdana"/>
        </w:rPr>
        <w:t>, R. (2020)</w:t>
      </w:r>
      <w:r w:rsidR="002A61D4">
        <w:rPr>
          <w:rFonts w:ascii="Verdana" w:hAnsi="Verdana"/>
        </w:rPr>
        <w:t xml:space="preserve"> ‘</w:t>
      </w:r>
      <w:r w:rsidRPr="0006788A">
        <w:rPr>
          <w:rFonts w:ascii="Verdana" w:hAnsi="Verdana"/>
        </w:rPr>
        <w:t>The role of psychological wellbeing in job performance</w:t>
      </w:r>
      <w:r w:rsidR="002A61D4">
        <w:rPr>
          <w:rFonts w:ascii="Verdana" w:hAnsi="Verdana"/>
        </w:rPr>
        <w:t xml:space="preserve">’, </w:t>
      </w:r>
      <w:r w:rsidRPr="0006788A">
        <w:rPr>
          <w:rFonts w:ascii="Verdana" w:hAnsi="Verdana"/>
          <w:i/>
          <w:iCs/>
        </w:rPr>
        <w:t xml:space="preserve">Journal of Organizational </w:t>
      </w:r>
      <w:proofErr w:type="spellStart"/>
      <w:r w:rsidRPr="0006788A">
        <w:rPr>
          <w:rFonts w:ascii="Verdana" w:hAnsi="Verdana"/>
          <w:i/>
          <w:iCs/>
        </w:rPr>
        <w:t>Behavior</w:t>
      </w:r>
      <w:proofErr w:type="spellEnd"/>
      <w:r w:rsidRPr="0006788A">
        <w:rPr>
          <w:rFonts w:ascii="Verdana" w:hAnsi="Verdana"/>
          <w:i/>
          <w:iCs/>
        </w:rPr>
        <w:t>, 41</w:t>
      </w:r>
      <w:r w:rsidRPr="0006788A">
        <w:rPr>
          <w:rFonts w:ascii="Verdana" w:hAnsi="Verdana"/>
        </w:rPr>
        <w:t xml:space="preserve">(7), </w:t>
      </w:r>
      <w:r w:rsidR="002A61D4">
        <w:rPr>
          <w:rFonts w:ascii="Verdana" w:hAnsi="Verdana"/>
        </w:rPr>
        <w:t xml:space="preserve">pp. </w:t>
      </w:r>
      <w:r w:rsidRPr="0006788A">
        <w:rPr>
          <w:rFonts w:ascii="Verdana" w:hAnsi="Verdana"/>
        </w:rPr>
        <w:t xml:space="preserve">573–589. </w:t>
      </w:r>
      <w:r w:rsidR="002A61D4">
        <w:rPr>
          <w:rFonts w:ascii="Verdana" w:hAnsi="Verdana"/>
        </w:rPr>
        <w:t>Available at:</w:t>
      </w:r>
      <w:r w:rsidRPr="0006788A">
        <w:rPr>
          <w:rFonts w:ascii="Verdana" w:hAnsi="Verdana"/>
        </w:rPr>
        <w:t xml:space="preserve"> </w:t>
      </w:r>
      <w:hyperlink r:id="rId71" w:history="1">
        <w:r w:rsidRPr="0006788A">
          <w:rPr>
            <w:rStyle w:val="Hyperlink"/>
            <w:rFonts w:ascii="Verdana" w:hAnsi="Verdana"/>
          </w:rPr>
          <w:t>https://doi.org/10.1002/job.2448</w:t>
        </w:r>
      </w:hyperlink>
    </w:p>
    <w:p w14:paraId="388A492B" w14:textId="77777777" w:rsidR="00170CBD" w:rsidRPr="0006788A" w:rsidRDefault="00170CBD">
      <w:pPr>
        <w:rPr>
          <w:rFonts w:ascii="Verdana" w:hAnsi="Verdana"/>
        </w:rPr>
      </w:pPr>
    </w:p>
    <w:sectPr w:rsidR="00170CBD" w:rsidRPr="000678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ED500AF"/>
    <w:multiLevelType w:val="hybridMultilevel"/>
    <w:tmpl w:val="F03E3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5114318"/>
    <w:multiLevelType w:val="hybridMultilevel"/>
    <w:tmpl w:val="C2A23484"/>
    <w:lvl w:ilvl="0" w:tplc="AC582970">
      <w:start w:val="1"/>
      <w:numFmt w:val="bullet"/>
      <w:lvlText w:val=""/>
      <w:lvlJc w:val="left"/>
      <w:pPr>
        <w:ind w:left="720" w:hanging="360"/>
      </w:pPr>
      <w:rPr>
        <w:rFonts w:ascii="Symbol" w:hAnsi="Symbol"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6A81066"/>
    <w:multiLevelType w:val="hybridMultilevel"/>
    <w:tmpl w:val="983EF7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9AA6F8C"/>
    <w:multiLevelType w:val="hybridMultilevel"/>
    <w:tmpl w:val="30A491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9F7406F"/>
    <w:multiLevelType w:val="hybridMultilevel"/>
    <w:tmpl w:val="2BC69A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04F7FAC"/>
    <w:multiLevelType w:val="hybridMultilevel"/>
    <w:tmpl w:val="626E9A2A"/>
    <w:lvl w:ilvl="0" w:tplc="D2BE4BCE">
      <w:start w:val="1"/>
      <w:numFmt w:val="decimal"/>
      <w:lvlText w:val="%1."/>
      <w:lvlJc w:val="left"/>
      <w:pPr>
        <w:ind w:left="720" w:hanging="360"/>
      </w:pPr>
      <w:rPr>
        <w:rFonts w:cstheme="minorBidi" w:hint="default"/>
        <w:color w:val="0E2841" w:themeColor="text2"/>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D0D554F"/>
    <w:multiLevelType w:val="hybridMultilevel"/>
    <w:tmpl w:val="F6DE42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74888526">
    <w:abstractNumId w:val="1"/>
  </w:num>
  <w:num w:numId="2" w16cid:durableId="1166751172">
    <w:abstractNumId w:val="5"/>
  </w:num>
  <w:num w:numId="3" w16cid:durableId="571811166">
    <w:abstractNumId w:val="3"/>
  </w:num>
  <w:num w:numId="4" w16cid:durableId="838154584">
    <w:abstractNumId w:val="0"/>
  </w:num>
  <w:num w:numId="5" w16cid:durableId="1898280706">
    <w:abstractNumId w:val="4"/>
  </w:num>
  <w:num w:numId="6" w16cid:durableId="1327857250">
    <w:abstractNumId w:val="2"/>
  </w:num>
  <w:num w:numId="7" w16cid:durableId="1012222252">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733D0"/>
    <w:rsid w:val="000009A7"/>
    <w:rsid w:val="00001705"/>
    <w:rsid w:val="00003F02"/>
    <w:rsid w:val="00004D19"/>
    <w:rsid w:val="000065DA"/>
    <w:rsid w:val="00011A68"/>
    <w:rsid w:val="00012A47"/>
    <w:rsid w:val="0001414A"/>
    <w:rsid w:val="0001482D"/>
    <w:rsid w:val="00020274"/>
    <w:rsid w:val="00020A27"/>
    <w:rsid w:val="000210EE"/>
    <w:rsid w:val="00021683"/>
    <w:rsid w:val="00023383"/>
    <w:rsid w:val="00025662"/>
    <w:rsid w:val="00027732"/>
    <w:rsid w:val="000351A4"/>
    <w:rsid w:val="000377E9"/>
    <w:rsid w:val="00041495"/>
    <w:rsid w:val="00041A20"/>
    <w:rsid w:val="00045D7C"/>
    <w:rsid w:val="00046B32"/>
    <w:rsid w:val="000506B5"/>
    <w:rsid w:val="000552B3"/>
    <w:rsid w:val="00057807"/>
    <w:rsid w:val="00057959"/>
    <w:rsid w:val="00063DBA"/>
    <w:rsid w:val="00066355"/>
    <w:rsid w:val="0006788A"/>
    <w:rsid w:val="00071834"/>
    <w:rsid w:val="00075786"/>
    <w:rsid w:val="000764FD"/>
    <w:rsid w:val="000776DF"/>
    <w:rsid w:val="0007776F"/>
    <w:rsid w:val="00082B97"/>
    <w:rsid w:val="000857E5"/>
    <w:rsid w:val="000879F5"/>
    <w:rsid w:val="00092F5C"/>
    <w:rsid w:val="00093B66"/>
    <w:rsid w:val="00094514"/>
    <w:rsid w:val="00094B89"/>
    <w:rsid w:val="00096AF5"/>
    <w:rsid w:val="00096B41"/>
    <w:rsid w:val="000975C0"/>
    <w:rsid w:val="000A237F"/>
    <w:rsid w:val="000A41D4"/>
    <w:rsid w:val="000A5A8F"/>
    <w:rsid w:val="000B1392"/>
    <w:rsid w:val="000B1E52"/>
    <w:rsid w:val="000B3066"/>
    <w:rsid w:val="000B5764"/>
    <w:rsid w:val="000C3F5A"/>
    <w:rsid w:val="000C584C"/>
    <w:rsid w:val="000D1EEC"/>
    <w:rsid w:val="000D30BA"/>
    <w:rsid w:val="000D5F09"/>
    <w:rsid w:val="000D6026"/>
    <w:rsid w:val="000D6599"/>
    <w:rsid w:val="000E0523"/>
    <w:rsid w:val="000E0D8C"/>
    <w:rsid w:val="000E1347"/>
    <w:rsid w:val="000E17DA"/>
    <w:rsid w:val="000E297D"/>
    <w:rsid w:val="000E2E19"/>
    <w:rsid w:val="000E36BD"/>
    <w:rsid w:val="000E47BE"/>
    <w:rsid w:val="000E5303"/>
    <w:rsid w:val="000E6FF8"/>
    <w:rsid w:val="000F0EA1"/>
    <w:rsid w:val="000F12C4"/>
    <w:rsid w:val="000F152A"/>
    <w:rsid w:val="000F6423"/>
    <w:rsid w:val="000F6CCB"/>
    <w:rsid w:val="000F7C95"/>
    <w:rsid w:val="000F7E22"/>
    <w:rsid w:val="001010C7"/>
    <w:rsid w:val="001028BE"/>
    <w:rsid w:val="00105F3D"/>
    <w:rsid w:val="001074CA"/>
    <w:rsid w:val="00107EA9"/>
    <w:rsid w:val="0011713E"/>
    <w:rsid w:val="001172A8"/>
    <w:rsid w:val="00117B8B"/>
    <w:rsid w:val="00126D76"/>
    <w:rsid w:val="00130D72"/>
    <w:rsid w:val="00131515"/>
    <w:rsid w:val="00133A12"/>
    <w:rsid w:val="001352EB"/>
    <w:rsid w:val="00136009"/>
    <w:rsid w:val="001376E1"/>
    <w:rsid w:val="00137D4C"/>
    <w:rsid w:val="00147755"/>
    <w:rsid w:val="00156BFA"/>
    <w:rsid w:val="001573C0"/>
    <w:rsid w:val="001646E7"/>
    <w:rsid w:val="0016521C"/>
    <w:rsid w:val="001670EF"/>
    <w:rsid w:val="00170CBD"/>
    <w:rsid w:val="00172F9E"/>
    <w:rsid w:val="00175EFE"/>
    <w:rsid w:val="00176E29"/>
    <w:rsid w:val="00177067"/>
    <w:rsid w:val="001806F7"/>
    <w:rsid w:val="00184907"/>
    <w:rsid w:val="0018619E"/>
    <w:rsid w:val="001863C3"/>
    <w:rsid w:val="00192789"/>
    <w:rsid w:val="00193B29"/>
    <w:rsid w:val="00195FDE"/>
    <w:rsid w:val="001A3351"/>
    <w:rsid w:val="001A3CBD"/>
    <w:rsid w:val="001B7EF4"/>
    <w:rsid w:val="001C0352"/>
    <w:rsid w:val="001C2224"/>
    <w:rsid w:val="001D6A25"/>
    <w:rsid w:val="001D71CA"/>
    <w:rsid w:val="001E35E8"/>
    <w:rsid w:val="001E40DB"/>
    <w:rsid w:val="001E5A4D"/>
    <w:rsid w:val="001E5F74"/>
    <w:rsid w:val="001E7435"/>
    <w:rsid w:val="001F28C2"/>
    <w:rsid w:val="001F4914"/>
    <w:rsid w:val="001F5BD3"/>
    <w:rsid w:val="001F67F9"/>
    <w:rsid w:val="00200CF3"/>
    <w:rsid w:val="00200FD6"/>
    <w:rsid w:val="00201191"/>
    <w:rsid w:val="00201844"/>
    <w:rsid w:val="002068F9"/>
    <w:rsid w:val="0020701D"/>
    <w:rsid w:val="00207357"/>
    <w:rsid w:val="0021183F"/>
    <w:rsid w:val="002141F6"/>
    <w:rsid w:val="00216E55"/>
    <w:rsid w:val="00217C56"/>
    <w:rsid w:val="00217DC7"/>
    <w:rsid w:val="00217F9B"/>
    <w:rsid w:val="00220F75"/>
    <w:rsid w:val="002214BD"/>
    <w:rsid w:val="00223A50"/>
    <w:rsid w:val="00226D96"/>
    <w:rsid w:val="0023079D"/>
    <w:rsid w:val="00233325"/>
    <w:rsid w:val="0023372E"/>
    <w:rsid w:val="00234071"/>
    <w:rsid w:val="002340E2"/>
    <w:rsid w:val="00236BD0"/>
    <w:rsid w:val="00236BD7"/>
    <w:rsid w:val="002379B5"/>
    <w:rsid w:val="00237A31"/>
    <w:rsid w:val="002452DC"/>
    <w:rsid w:val="002458DC"/>
    <w:rsid w:val="0025077F"/>
    <w:rsid w:val="00252181"/>
    <w:rsid w:val="0025452E"/>
    <w:rsid w:val="002563D6"/>
    <w:rsid w:val="002636A9"/>
    <w:rsid w:val="00264005"/>
    <w:rsid w:val="00264865"/>
    <w:rsid w:val="0027069E"/>
    <w:rsid w:val="00272A29"/>
    <w:rsid w:val="00273150"/>
    <w:rsid w:val="002733D0"/>
    <w:rsid w:val="0028139E"/>
    <w:rsid w:val="00284982"/>
    <w:rsid w:val="00285064"/>
    <w:rsid w:val="00285AA5"/>
    <w:rsid w:val="00287176"/>
    <w:rsid w:val="0029281F"/>
    <w:rsid w:val="002A2680"/>
    <w:rsid w:val="002A2A27"/>
    <w:rsid w:val="002A45DF"/>
    <w:rsid w:val="002A463F"/>
    <w:rsid w:val="002A61D4"/>
    <w:rsid w:val="002A7907"/>
    <w:rsid w:val="002B00D9"/>
    <w:rsid w:val="002B18F8"/>
    <w:rsid w:val="002B3CAD"/>
    <w:rsid w:val="002B5AD8"/>
    <w:rsid w:val="002C0636"/>
    <w:rsid w:val="002C2AB1"/>
    <w:rsid w:val="002C32F6"/>
    <w:rsid w:val="002C4ECC"/>
    <w:rsid w:val="002C7F48"/>
    <w:rsid w:val="002D2A7F"/>
    <w:rsid w:val="002D5F1F"/>
    <w:rsid w:val="002D67DF"/>
    <w:rsid w:val="002E1C4E"/>
    <w:rsid w:val="002E3E1A"/>
    <w:rsid w:val="002E4EF1"/>
    <w:rsid w:val="002E5656"/>
    <w:rsid w:val="002E5969"/>
    <w:rsid w:val="002F15B9"/>
    <w:rsid w:val="002F2412"/>
    <w:rsid w:val="002F29E6"/>
    <w:rsid w:val="002F4441"/>
    <w:rsid w:val="002F449F"/>
    <w:rsid w:val="002F4E8E"/>
    <w:rsid w:val="00300A31"/>
    <w:rsid w:val="0030367E"/>
    <w:rsid w:val="0030396B"/>
    <w:rsid w:val="003044BA"/>
    <w:rsid w:val="00311CFE"/>
    <w:rsid w:val="00312C54"/>
    <w:rsid w:val="003162C2"/>
    <w:rsid w:val="00317731"/>
    <w:rsid w:val="00317BE5"/>
    <w:rsid w:val="003214CE"/>
    <w:rsid w:val="00321855"/>
    <w:rsid w:val="003218D9"/>
    <w:rsid w:val="003232D5"/>
    <w:rsid w:val="003233B2"/>
    <w:rsid w:val="003242AE"/>
    <w:rsid w:val="00330DB1"/>
    <w:rsid w:val="00340651"/>
    <w:rsid w:val="00341D68"/>
    <w:rsid w:val="00342C74"/>
    <w:rsid w:val="00345EB6"/>
    <w:rsid w:val="00347333"/>
    <w:rsid w:val="00347714"/>
    <w:rsid w:val="003523FA"/>
    <w:rsid w:val="00354014"/>
    <w:rsid w:val="003543B3"/>
    <w:rsid w:val="003552CB"/>
    <w:rsid w:val="003552DF"/>
    <w:rsid w:val="003563D9"/>
    <w:rsid w:val="0035663C"/>
    <w:rsid w:val="003637B1"/>
    <w:rsid w:val="0036503D"/>
    <w:rsid w:val="003651C0"/>
    <w:rsid w:val="003730B9"/>
    <w:rsid w:val="00375D0F"/>
    <w:rsid w:val="0037665B"/>
    <w:rsid w:val="00381234"/>
    <w:rsid w:val="00382D53"/>
    <w:rsid w:val="00384B1D"/>
    <w:rsid w:val="0038521E"/>
    <w:rsid w:val="00387EB6"/>
    <w:rsid w:val="00390323"/>
    <w:rsid w:val="00390454"/>
    <w:rsid w:val="003914B4"/>
    <w:rsid w:val="003948B2"/>
    <w:rsid w:val="003976AF"/>
    <w:rsid w:val="003A32B3"/>
    <w:rsid w:val="003A3546"/>
    <w:rsid w:val="003A48EF"/>
    <w:rsid w:val="003A54DC"/>
    <w:rsid w:val="003B089B"/>
    <w:rsid w:val="003B3A9E"/>
    <w:rsid w:val="003B7698"/>
    <w:rsid w:val="003C326B"/>
    <w:rsid w:val="003C35D4"/>
    <w:rsid w:val="003D1013"/>
    <w:rsid w:val="003D1F2C"/>
    <w:rsid w:val="003D543B"/>
    <w:rsid w:val="003D578B"/>
    <w:rsid w:val="003D7987"/>
    <w:rsid w:val="003D79FA"/>
    <w:rsid w:val="003E234D"/>
    <w:rsid w:val="003E25EA"/>
    <w:rsid w:val="003E68CD"/>
    <w:rsid w:val="003F4850"/>
    <w:rsid w:val="003F5CB3"/>
    <w:rsid w:val="003F7156"/>
    <w:rsid w:val="003F75B3"/>
    <w:rsid w:val="00407424"/>
    <w:rsid w:val="004076B7"/>
    <w:rsid w:val="00407C33"/>
    <w:rsid w:val="004118A5"/>
    <w:rsid w:val="00413094"/>
    <w:rsid w:val="00413920"/>
    <w:rsid w:val="00415566"/>
    <w:rsid w:val="004226AA"/>
    <w:rsid w:val="004263B0"/>
    <w:rsid w:val="004272F6"/>
    <w:rsid w:val="00430668"/>
    <w:rsid w:val="00431578"/>
    <w:rsid w:val="00434BDB"/>
    <w:rsid w:val="004360D6"/>
    <w:rsid w:val="004370E9"/>
    <w:rsid w:val="00443BC9"/>
    <w:rsid w:val="00445367"/>
    <w:rsid w:val="004457ED"/>
    <w:rsid w:val="0044659C"/>
    <w:rsid w:val="00450129"/>
    <w:rsid w:val="004523F0"/>
    <w:rsid w:val="00454840"/>
    <w:rsid w:val="0045790B"/>
    <w:rsid w:val="0046537E"/>
    <w:rsid w:val="00465C56"/>
    <w:rsid w:val="00466713"/>
    <w:rsid w:val="004671C7"/>
    <w:rsid w:val="004675D8"/>
    <w:rsid w:val="0047085B"/>
    <w:rsid w:val="00471317"/>
    <w:rsid w:val="00471BF4"/>
    <w:rsid w:val="004758B2"/>
    <w:rsid w:val="0048516B"/>
    <w:rsid w:val="00490E00"/>
    <w:rsid w:val="0049583D"/>
    <w:rsid w:val="00497A1E"/>
    <w:rsid w:val="004A16C2"/>
    <w:rsid w:val="004A2D8A"/>
    <w:rsid w:val="004A2FBE"/>
    <w:rsid w:val="004A6366"/>
    <w:rsid w:val="004A7519"/>
    <w:rsid w:val="004B1831"/>
    <w:rsid w:val="004B1B67"/>
    <w:rsid w:val="004B1BFB"/>
    <w:rsid w:val="004B1D23"/>
    <w:rsid w:val="004B76AE"/>
    <w:rsid w:val="004C6B40"/>
    <w:rsid w:val="004D05D7"/>
    <w:rsid w:val="004D5738"/>
    <w:rsid w:val="004D57CD"/>
    <w:rsid w:val="004E0C59"/>
    <w:rsid w:val="004E2496"/>
    <w:rsid w:val="004E4106"/>
    <w:rsid w:val="004E4ECF"/>
    <w:rsid w:val="004E75B4"/>
    <w:rsid w:val="004F008E"/>
    <w:rsid w:val="005007D0"/>
    <w:rsid w:val="00501A26"/>
    <w:rsid w:val="00502865"/>
    <w:rsid w:val="0050383F"/>
    <w:rsid w:val="00503DA4"/>
    <w:rsid w:val="0050413D"/>
    <w:rsid w:val="005138C0"/>
    <w:rsid w:val="00514AEB"/>
    <w:rsid w:val="0051529C"/>
    <w:rsid w:val="0051558A"/>
    <w:rsid w:val="005157D7"/>
    <w:rsid w:val="00517BC1"/>
    <w:rsid w:val="00517E55"/>
    <w:rsid w:val="005205AA"/>
    <w:rsid w:val="005207BE"/>
    <w:rsid w:val="005214D5"/>
    <w:rsid w:val="005229AD"/>
    <w:rsid w:val="00525335"/>
    <w:rsid w:val="00526506"/>
    <w:rsid w:val="005272DF"/>
    <w:rsid w:val="0052779B"/>
    <w:rsid w:val="00527C6C"/>
    <w:rsid w:val="005300D7"/>
    <w:rsid w:val="005319DB"/>
    <w:rsid w:val="00534696"/>
    <w:rsid w:val="00537E38"/>
    <w:rsid w:val="0054033B"/>
    <w:rsid w:val="005454FB"/>
    <w:rsid w:val="00546709"/>
    <w:rsid w:val="00547DC7"/>
    <w:rsid w:val="00552EEB"/>
    <w:rsid w:val="00553D72"/>
    <w:rsid w:val="0056241B"/>
    <w:rsid w:val="00562A30"/>
    <w:rsid w:val="00563550"/>
    <w:rsid w:val="00565FCF"/>
    <w:rsid w:val="005704C7"/>
    <w:rsid w:val="00571E08"/>
    <w:rsid w:val="00576D0A"/>
    <w:rsid w:val="00576F5A"/>
    <w:rsid w:val="00577FF3"/>
    <w:rsid w:val="00581091"/>
    <w:rsid w:val="00581E2A"/>
    <w:rsid w:val="00583B75"/>
    <w:rsid w:val="005851C9"/>
    <w:rsid w:val="0059192D"/>
    <w:rsid w:val="00595268"/>
    <w:rsid w:val="00596CD7"/>
    <w:rsid w:val="005974B7"/>
    <w:rsid w:val="005974D9"/>
    <w:rsid w:val="005A0081"/>
    <w:rsid w:val="005A1C5F"/>
    <w:rsid w:val="005A5857"/>
    <w:rsid w:val="005A59E4"/>
    <w:rsid w:val="005A5E55"/>
    <w:rsid w:val="005B075D"/>
    <w:rsid w:val="005B1619"/>
    <w:rsid w:val="005B1C02"/>
    <w:rsid w:val="005C2292"/>
    <w:rsid w:val="005C385D"/>
    <w:rsid w:val="005C6029"/>
    <w:rsid w:val="005D042F"/>
    <w:rsid w:val="005D2117"/>
    <w:rsid w:val="005D78A1"/>
    <w:rsid w:val="005E2C2A"/>
    <w:rsid w:val="005E54EE"/>
    <w:rsid w:val="005E6EB9"/>
    <w:rsid w:val="005F1C6F"/>
    <w:rsid w:val="005F2866"/>
    <w:rsid w:val="005F43A2"/>
    <w:rsid w:val="005F4E68"/>
    <w:rsid w:val="005F53AD"/>
    <w:rsid w:val="005F5545"/>
    <w:rsid w:val="005F79F7"/>
    <w:rsid w:val="006033B9"/>
    <w:rsid w:val="00604209"/>
    <w:rsid w:val="00605461"/>
    <w:rsid w:val="00607D4D"/>
    <w:rsid w:val="0061372B"/>
    <w:rsid w:val="00615219"/>
    <w:rsid w:val="00620A48"/>
    <w:rsid w:val="00621668"/>
    <w:rsid w:val="006234A6"/>
    <w:rsid w:val="006244AC"/>
    <w:rsid w:val="006254DE"/>
    <w:rsid w:val="00630D3A"/>
    <w:rsid w:val="0063124C"/>
    <w:rsid w:val="006326F1"/>
    <w:rsid w:val="00632EA5"/>
    <w:rsid w:val="00635B91"/>
    <w:rsid w:val="006361AE"/>
    <w:rsid w:val="0064641F"/>
    <w:rsid w:val="00647C44"/>
    <w:rsid w:val="00647D8D"/>
    <w:rsid w:val="00651489"/>
    <w:rsid w:val="00653606"/>
    <w:rsid w:val="00654290"/>
    <w:rsid w:val="006553E8"/>
    <w:rsid w:val="0065740B"/>
    <w:rsid w:val="006576DB"/>
    <w:rsid w:val="0065784F"/>
    <w:rsid w:val="00664025"/>
    <w:rsid w:val="00664274"/>
    <w:rsid w:val="00666559"/>
    <w:rsid w:val="00666DA3"/>
    <w:rsid w:val="00670F56"/>
    <w:rsid w:val="006715BA"/>
    <w:rsid w:val="00676532"/>
    <w:rsid w:val="00684000"/>
    <w:rsid w:val="00695A9C"/>
    <w:rsid w:val="006973DB"/>
    <w:rsid w:val="00697E12"/>
    <w:rsid w:val="006A0907"/>
    <w:rsid w:val="006A30AE"/>
    <w:rsid w:val="006A35EE"/>
    <w:rsid w:val="006B26D3"/>
    <w:rsid w:val="006B69E3"/>
    <w:rsid w:val="006C327B"/>
    <w:rsid w:val="006C71C3"/>
    <w:rsid w:val="006D058E"/>
    <w:rsid w:val="006D18B5"/>
    <w:rsid w:val="006D1F41"/>
    <w:rsid w:val="006D35AB"/>
    <w:rsid w:val="006D51C3"/>
    <w:rsid w:val="006D59D3"/>
    <w:rsid w:val="006D5E77"/>
    <w:rsid w:val="006D6B92"/>
    <w:rsid w:val="006E0D33"/>
    <w:rsid w:val="006E2433"/>
    <w:rsid w:val="006E3642"/>
    <w:rsid w:val="006E61E0"/>
    <w:rsid w:val="006E62B1"/>
    <w:rsid w:val="006E62C9"/>
    <w:rsid w:val="006E65C9"/>
    <w:rsid w:val="006E7046"/>
    <w:rsid w:val="006F0BB1"/>
    <w:rsid w:val="006F269B"/>
    <w:rsid w:val="006F26AF"/>
    <w:rsid w:val="006F3F05"/>
    <w:rsid w:val="006F40E2"/>
    <w:rsid w:val="006F47A8"/>
    <w:rsid w:val="006F4FF8"/>
    <w:rsid w:val="006F5FD2"/>
    <w:rsid w:val="00701D0F"/>
    <w:rsid w:val="007021C7"/>
    <w:rsid w:val="00702960"/>
    <w:rsid w:val="00702B40"/>
    <w:rsid w:val="00703A0F"/>
    <w:rsid w:val="00710AB2"/>
    <w:rsid w:val="00711090"/>
    <w:rsid w:val="0071134D"/>
    <w:rsid w:val="007118D8"/>
    <w:rsid w:val="00712A7D"/>
    <w:rsid w:val="00713B40"/>
    <w:rsid w:val="00715A5B"/>
    <w:rsid w:val="007200BF"/>
    <w:rsid w:val="007238E1"/>
    <w:rsid w:val="00724038"/>
    <w:rsid w:val="007269D0"/>
    <w:rsid w:val="00727F84"/>
    <w:rsid w:val="00732D98"/>
    <w:rsid w:val="00733B1F"/>
    <w:rsid w:val="00736A94"/>
    <w:rsid w:val="00740E17"/>
    <w:rsid w:val="0074355A"/>
    <w:rsid w:val="00743F3D"/>
    <w:rsid w:val="00744E19"/>
    <w:rsid w:val="00744E30"/>
    <w:rsid w:val="007569C4"/>
    <w:rsid w:val="00764C7D"/>
    <w:rsid w:val="007652F7"/>
    <w:rsid w:val="007658D7"/>
    <w:rsid w:val="00765B3C"/>
    <w:rsid w:val="0077070D"/>
    <w:rsid w:val="00771C40"/>
    <w:rsid w:val="00772588"/>
    <w:rsid w:val="00772950"/>
    <w:rsid w:val="00772986"/>
    <w:rsid w:val="00773ABB"/>
    <w:rsid w:val="007767D9"/>
    <w:rsid w:val="0078390E"/>
    <w:rsid w:val="007861D9"/>
    <w:rsid w:val="0079022B"/>
    <w:rsid w:val="007905C7"/>
    <w:rsid w:val="00790816"/>
    <w:rsid w:val="00792329"/>
    <w:rsid w:val="00793C35"/>
    <w:rsid w:val="007964D0"/>
    <w:rsid w:val="007A0095"/>
    <w:rsid w:val="007A1A77"/>
    <w:rsid w:val="007A32DD"/>
    <w:rsid w:val="007A36FD"/>
    <w:rsid w:val="007B1905"/>
    <w:rsid w:val="007B2A45"/>
    <w:rsid w:val="007B7BDB"/>
    <w:rsid w:val="007C25D1"/>
    <w:rsid w:val="007C2784"/>
    <w:rsid w:val="007C2830"/>
    <w:rsid w:val="007C2F92"/>
    <w:rsid w:val="007C3A41"/>
    <w:rsid w:val="007C50FA"/>
    <w:rsid w:val="007D033C"/>
    <w:rsid w:val="007D0735"/>
    <w:rsid w:val="007D0988"/>
    <w:rsid w:val="007D0EC0"/>
    <w:rsid w:val="007D110D"/>
    <w:rsid w:val="007D35D5"/>
    <w:rsid w:val="007E6408"/>
    <w:rsid w:val="007E706F"/>
    <w:rsid w:val="007F20FA"/>
    <w:rsid w:val="007F3E81"/>
    <w:rsid w:val="00801A3E"/>
    <w:rsid w:val="00802C57"/>
    <w:rsid w:val="0081121D"/>
    <w:rsid w:val="008120ED"/>
    <w:rsid w:val="008141E9"/>
    <w:rsid w:val="00815D17"/>
    <w:rsid w:val="00816386"/>
    <w:rsid w:val="00820DEE"/>
    <w:rsid w:val="00821FAD"/>
    <w:rsid w:val="00823D56"/>
    <w:rsid w:val="00824EFC"/>
    <w:rsid w:val="0083347F"/>
    <w:rsid w:val="00836124"/>
    <w:rsid w:val="00837364"/>
    <w:rsid w:val="008418FA"/>
    <w:rsid w:val="008431AD"/>
    <w:rsid w:val="008432D3"/>
    <w:rsid w:val="00843730"/>
    <w:rsid w:val="008503F3"/>
    <w:rsid w:val="00853D4C"/>
    <w:rsid w:val="00854FF0"/>
    <w:rsid w:val="008561BC"/>
    <w:rsid w:val="00861D9E"/>
    <w:rsid w:val="00862519"/>
    <w:rsid w:val="00864123"/>
    <w:rsid w:val="00866094"/>
    <w:rsid w:val="00871B23"/>
    <w:rsid w:val="00871DA9"/>
    <w:rsid w:val="00876E4E"/>
    <w:rsid w:val="00880D21"/>
    <w:rsid w:val="00880F6A"/>
    <w:rsid w:val="00882270"/>
    <w:rsid w:val="008838FE"/>
    <w:rsid w:val="00883A32"/>
    <w:rsid w:val="00885BD2"/>
    <w:rsid w:val="00893C28"/>
    <w:rsid w:val="008963EF"/>
    <w:rsid w:val="008A08DE"/>
    <w:rsid w:val="008A1BF2"/>
    <w:rsid w:val="008A2F20"/>
    <w:rsid w:val="008B22F7"/>
    <w:rsid w:val="008B2571"/>
    <w:rsid w:val="008B2AA1"/>
    <w:rsid w:val="008B618E"/>
    <w:rsid w:val="008B70D2"/>
    <w:rsid w:val="008C3CEA"/>
    <w:rsid w:val="008C4916"/>
    <w:rsid w:val="008D007E"/>
    <w:rsid w:val="008D0BC7"/>
    <w:rsid w:val="008D4A77"/>
    <w:rsid w:val="008E285C"/>
    <w:rsid w:val="008E72EC"/>
    <w:rsid w:val="008F1E52"/>
    <w:rsid w:val="008F664E"/>
    <w:rsid w:val="008F749F"/>
    <w:rsid w:val="00902111"/>
    <w:rsid w:val="009035AD"/>
    <w:rsid w:val="009078DD"/>
    <w:rsid w:val="009130C0"/>
    <w:rsid w:val="009137EE"/>
    <w:rsid w:val="009214E9"/>
    <w:rsid w:val="00927A5D"/>
    <w:rsid w:val="009328D0"/>
    <w:rsid w:val="0094004B"/>
    <w:rsid w:val="00941DD8"/>
    <w:rsid w:val="00942BC9"/>
    <w:rsid w:val="00946163"/>
    <w:rsid w:val="009504C2"/>
    <w:rsid w:val="0095470B"/>
    <w:rsid w:val="00955A99"/>
    <w:rsid w:val="0096117B"/>
    <w:rsid w:val="0096684B"/>
    <w:rsid w:val="00971A9D"/>
    <w:rsid w:val="009737F8"/>
    <w:rsid w:val="00974C8E"/>
    <w:rsid w:val="00974E74"/>
    <w:rsid w:val="00981CE5"/>
    <w:rsid w:val="00987618"/>
    <w:rsid w:val="0099470A"/>
    <w:rsid w:val="009951AB"/>
    <w:rsid w:val="00995E5B"/>
    <w:rsid w:val="0099751D"/>
    <w:rsid w:val="009A4BE6"/>
    <w:rsid w:val="009B181D"/>
    <w:rsid w:val="009C4748"/>
    <w:rsid w:val="009C5494"/>
    <w:rsid w:val="009D05AB"/>
    <w:rsid w:val="009D0A4D"/>
    <w:rsid w:val="009D384D"/>
    <w:rsid w:val="009D6D1C"/>
    <w:rsid w:val="009E1C98"/>
    <w:rsid w:val="009E3C50"/>
    <w:rsid w:val="009E541E"/>
    <w:rsid w:val="009E657F"/>
    <w:rsid w:val="009F10FF"/>
    <w:rsid w:val="009F1A14"/>
    <w:rsid w:val="009F411B"/>
    <w:rsid w:val="009F72BB"/>
    <w:rsid w:val="00A06C1A"/>
    <w:rsid w:val="00A07F1B"/>
    <w:rsid w:val="00A1170D"/>
    <w:rsid w:val="00A13638"/>
    <w:rsid w:val="00A14527"/>
    <w:rsid w:val="00A14544"/>
    <w:rsid w:val="00A20181"/>
    <w:rsid w:val="00A22504"/>
    <w:rsid w:val="00A2353F"/>
    <w:rsid w:val="00A26CDA"/>
    <w:rsid w:val="00A3098C"/>
    <w:rsid w:val="00A31349"/>
    <w:rsid w:val="00A33347"/>
    <w:rsid w:val="00A3385B"/>
    <w:rsid w:val="00A34AE5"/>
    <w:rsid w:val="00A34FBB"/>
    <w:rsid w:val="00A403E1"/>
    <w:rsid w:val="00A41917"/>
    <w:rsid w:val="00A42D2D"/>
    <w:rsid w:val="00A43A97"/>
    <w:rsid w:val="00A464EF"/>
    <w:rsid w:val="00A50158"/>
    <w:rsid w:val="00A50B5E"/>
    <w:rsid w:val="00A51D8F"/>
    <w:rsid w:val="00A53128"/>
    <w:rsid w:val="00A554EE"/>
    <w:rsid w:val="00A56F20"/>
    <w:rsid w:val="00A573E1"/>
    <w:rsid w:val="00A57E92"/>
    <w:rsid w:val="00A61BBB"/>
    <w:rsid w:val="00A623F2"/>
    <w:rsid w:val="00A6428B"/>
    <w:rsid w:val="00A64691"/>
    <w:rsid w:val="00A64AE2"/>
    <w:rsid w:val="00A662B2"/>
    <w:rsid w:val="00A66D39"/>
    <w:rsid w:val="00A70AF3"/>
    <w:rsid w:val="00A75C8A"/>
    <w:rsid w:val="00A801B2"/>
    <w:rsid w:val="00A83499"/>
    <w:rsid w:val="00A9191E"/>
    <w:rsid w:val="00A9294B"/>
    <w:rsid w:val="00AA08BE"/>
    <w:rsid w:val="00AA3529"/>
    <w:rsid w:val="00AB0120"/>
    <w:rsid w:val="00AB0BFC"/>
    <w:rsid w:val="00AB122D"/>
    <w:rsid w:val="00AB29DB"/>
    <w:rsid w:val="00AB31C4"/>
    <w:rsid w:val="00AB56EB"/>
    <w:rsid w:val="00AC434D"/>
    <w:rsid w:val="00AC512E"/>
    <w:rsid w:val="00AD3FF0"/>
    <w:rsid w:val="00AD5BBB"/>
    <w:rsid w:val="00AD73DA"/>
    <w:rsid w:val="00AD781E"/>
    <w:rsid w:val="00AE1C36"/>
    <w:rsid w:val="00AE6039"/>
    <w:rsid w:val="00AE699D"/>
    <w:rsid w:val="00AF079E"/>
    <w:rsid w:val="00AF1EDE"/>
    <w:rsid w:val="00AF3BF4"/>
    <w:rsid w:val="00AF4EB5"/>
    <w:rsid w:val="00B0209B"/>
    <w:rsid w:val="00B02292"/>
    <w:rsid w:val="00B04C10"/>
    <w:rsid w:val="00B134CD"/>
    <w:rsid w:val="00B13890"/>
    <w:rsid w:val="00B14318"/>
    <w:rsid w:val="00B153F4"/>
    <w:rsid w:val="00B1605E"/>
    <w:rsid w:val="00B20A4B"/>
    <w:rsid w:val="00B20CDD"/>
    <w:rsid w:val="00B227F8"/>
    <w:rsid w:val="00B230FC"/>
    <w:rsid w:val="00B2661B"/>
    <w:rsid w:val="00B2757F"/>
    <w:rsid w:val="00B31B8E"/>
    <w:rsid w:val="00B35EC4"/>
    <w:rsid w:val="00B37B76"/>
    <w:rsid w:val="00B41099"/>
    <w:rsid w:val="00B41752"/>
    <w:rsid w:val="00B42225"/>
    <w:rsid w:val="00B46458"/>
    <w:rsid w:val="00B46DC6"/>
    <w:rsid w:val="00B47F90"/>
    <w:rsid w:val="00B50594"/>
    <w:rsid w:val="00B536DA"/>
    <w:rsid w:val="00B551E6"/>
    <w:rsid w:val="00B57D49"/>
    <w:rsid w:val="00B6053D"/>
    <w:rsid w:val="00B7124D"/>
    <w:rsid w:val="00B723FC"/>
    <w:rsid w:val="00B738EC"/>
    <w:rsid w:val="00B76157"/>
    <w:rsid w:val="00B76529"/>
    <w:rsid w:val="00B80225"/>
    <w:rsid w:val="00B8106A"/>
    <w:rsid w:val="00B830E8"/>
    <w:rsid w:val="00B83325"/>
    <w:rsid w:val="00B84946"/>
    <w:rsid w:val="00B84973"/>
    <w:rsid w:val="00B84CC2"/>
    <w:rsid w:val="00B8507A"/>
    <w:rsid w:val="00B86B6D"/>
    <w:rsid w:val="00B871C2"/>
    <w:rsid w:val="00B91BE8"/>
    <w:rsid w:val="00B929A9"/>
    <w:rsid w:val="00B92DF5"/>
    <w:rsid w:val="00B9500C"/>
    <w:rsid w:val="00B95B3A"/>
    <w:rsid w:val="00B96170"/>
    <w:rsid w:val="00B96D83"/>
    <w:rsid w:val="00BA1DEE"/>
    <w:rsid w:val="00BA354F"/>
    <w:rsid w:val="00BA6422"/>
    <w:rsid w:val="00BA67CB"/>
    <w:rsid w:val="00BA72D4"/>
    <w:rsid w:val="00BA7EB0"/>
    <w:rsid w:val="00BB075F"/>
    <w:rsid w:val="00BB1B4F"/>
    <w:rsid w:val="00BB1D4B"/>
    <w:rsid w:val="00BB2292"/>
    <w:rsid w:val="00BB4717"/>
    <w:rsid w:val="00BB49AE"/>
    <w:rsid w:val="00BB4D89"/>
    <w:rsid w:val="00BB77FA"/>
    <w:rsid w:val="00BB7EDD"/>
    <w:rsid w:val="00BC14B4"/>
    <w:rsid w:val="00BC2494"/>
    <w:rsid w:val="00BC2D20"/>
    <w:rsid w:val="00BD3751"/>
    <w:rsid w:val="00BD7B34"/>
    <w:rsid w:val="00BE1718"/>
    <w:rsid w:val="00BE1A82"/>
    <w:rsid w:val="00BE2DDD"/>
    <w:rsid w:val="00BE31F3"/>
    <w:rsid w:val="00BE4EDF"/>
    <w:rsid w:val="00BF2BF3"/>
    <w:rsid w:val="00BF5F74"/>
    <w:rsid w:val="00BF6AD5"/>
    <w:rsid w:val="00C0266C"/>
    <w:rsid w:val="00C044BF"/>
    <w:rsid w:val="00C16967"/>
    <w:rsid w:val="00C2310F"/>
    <w:rsid w:val="00C300A7"/>
    <w:rsid w:val="00C31415"/>
    <w:rsid w:val="00C35927"/>
    <w:rsid w:val="00C40622"/>
    <w:rsid w:val="00C40ACC"/>
    <w:rsid w:val="00C41E39"/>
    <w:rsid w:val="00C47D37"/>
    <w:rsid w:val="00C51489"/>
    <w:rsid w:val="00C541AE"/>
    <w:rsid w:val="00C54C59"/>
    <w:rsid w:val="00C61ACF"/>
    <w:rsid w:val="00C63221"/>
    <w:rsid w:val="00C63F57"/>
    <w:rsid w:val="00C64BAF"/>
    <w:rsid w:val="00C73CBC"/>
    <w:rsid w:val="00C75932"/>
    <w:rsid w:val="00C75C0E"/>
    <w:rsid w:val="00C8094F"/>
    <w:rsid w:val="00C842FB"/>
    <w:rsid w:val="00C844C9"/>
    <w:rsid w:val="00C84659"/>
    <w:rsid w:val="00C90EEA"/>
    <w:rsid w:val="00C935E8"/>
    <w:rsid w:val="00CA209C"/>
    <w:rsid w:val="00CA3FF2"/>
    <w:rsid w:val="00CA5AA0"/>
    <w:rsid w:val="00CB0A5F"/>
    <w:rsid w:val="00CB0DD5"/>
    <w:rsid w:val="00CB51A8"/>
    <w:rsid w:val="00CB604A"/>
    <w:rsid w:val="00CC092E"/>
    <w:rsid w:val="00CC1B32"/>
    <w:rsid w:val="00CC4998"/>
    <w:rsid w:val="00CC5584"/>
    <w:rsid w:val="00CD34DE"/>
    <w:rsid w:val="00CD4511"/>
    <w:rsid w:val="00CD6E80"/>
    <w:rsid w:val="00CE3C29"/>
    <w:rsid w:val="00CE6C13"/>
    <w:rsid w:val="00CE7B09"/>
    <w:rsid w:val="00CF17C6"/>
    <w:rsid w:val="00CF694E"/>
    <w:rsid w:val="00CF7F1E"/>
    <w:rsid w:val="00D026EA"/>
    <w:rsid w:val="00D02798"/>
    <w:rsid w:val="00D02D6F"/>
    <w:rsid w:val="00D03556"/>
    <w:rsid w:val="00D10B8D"/>
    <w:rsid w:val="00D146AA"/>
    <w:rsid w:val="00D14A5C"/>
    <w:rsid w:val="00D20FD1"/>
    <w:rsid w:val="00D2180B"/>
    <w:rsid w:val="00D239F1"/>
    <w:rsid w:val="00D23E6F"/>
    <w:rsid w:val="00D25502"/>
    <w:rsid w:val="00D25EEC"/>
    <w:rsid w:val="00D26997"/>
    <w:rsid w:val="00D30084"/>
    <w:rsid w:val="00D321C5"/>
    <w:rsid w:val="00D33D3B"/>
    <w:rsid w:val="00D35774"/>
    <w:rsid w:val="00D36200"/>
    <w:rsid w:val="00D40F21"/>
    <w:rsid w:val="00D4173E"/>
    <w:rsid w:val="00D45368"/>
    <w:rsid w:val="00D47DAD"/>
    <w:rsid w:val="00D47DF9"/>
    <w:rsid w:val="00D50D88"/>
    <w:rsid w:val="00D52581"/>
    <w:rsid w:val="00D5268B"/>
    <w:rsid w:val="00D5688C"/>
    <w:rsid w:val="00D571D2"/>
    <w:rsid w:val="00D6298D"/>
    <w:rsid w:val="00D62EA4"/>
    <w:rsid w:val="00D648D8"/>
    <w:rsid w:val="00D65582"/>
    <w:rsid w:val="00D661BE"/>
    <w:rsid w:val="00D73CC0"/>
    <w:rsid w:val="00D740E0"/>
    <w:rsid w:val="00D744DD"/>
    <w:rsid w:val="00D74C91"/>
    <w:rsid w:val="00D8092F"/>
    <w:rsid w:val="00D81A17"/>
    <w:rsid w:val="00D86A41"/>
    <w:rsid w:val="00D87CB3"/>
    <w:rsid w:val="00D9041C"/>
    <w:rsid w:val="00D91A81"/>
    <w:rsid w:val="00D91AB6"/>
    <w:rsid w:val="00D92AD9"/>
    <w:rsid w:val="00D933A6"/>
    <w:rsid w:val="00D93E0A"/>
    <w:rsid w:val="00D95E3A"/>
    <w:rsid w:val="00DA4BFB"/>
    <w:rsid w:val="00DA6B79"/>
    <w:rsid w:val="00DB445B"/>
    <w:rsid w:val="00DB7F63"/>
    <w:rsid w:val="00DC0C26"/>
    <w:rsid w:val="00DC26A6"/>
    <w:rsid w:val="00DC2DA5"/>
    <w:rsid w:val="00DC4367"/>
    <w:rsid w:val="00DC4FB4"/>
    <w:rsid w:val="00DC67C1"/>
    <w:rsid w:val="00DC7041"/>
    <w:rsid w:val="00DD184F"/>
    <w:rsid w:val="00DD21C2"/>
    <w:rsid w:val="00DD336C"/>
    <w:rsid w:val="00DD4317"/>
    <w:rsid w:val="00DD6C79"/>
    <w:rsid w:val="00DD7220"/>
    <w:rsid w:val="00DD7ECE"/>
    <w:rsid w:val="00DE15BA"/>
    <w:rsid w:val="00DE1C06"/>
    <w:rsid w:val="00DE24FD"/>
    <w:rsid w:val="00DE339A"/>
    <w:rsid w:val="00DE46DF"/>
    <w:rsid w:val="00DE4ABE"/>
    <w:rsid w:val="00DE7998"/>
    <w:rsid w:val="00DF1561"/>
    <w:rsid w:val="00DF7F89"/>
    <w:rsid w:val="00E00177"/>
    <w:rsid w:val="00E05D18"/>
    <w:rsid w:val="00E06DFB"/>
    <w:rsid w:val="00E07F35"/>
    <w:rsid w:val="00E10D0A"/>
    <w:rsid w:val="00E11A6C"/>
    <w:rsid w:val="00E11A77"/>
    <w:rsid w:val="00E11CE8"/>
    <w:rsid w:val="00E1723D"/>
    <w:rsid w:val="00E22775"/>
    <w:rsid w:val="00E23CBB"/>
    <w:rsid w:val="00E25681"/>
    <w:rsid w:val="00E2785B"/>
    <w:rsid w:val="00E307F7"/>
    <w:rsid w:val="00E430F6"/>
    <w:rsid w:val="00E44886"/>
    <w:rsid w:val="00E45520"/>
    <w:rsid w:val="00E50354"/>
    <w:rsid w:val="00E50981"/>
    <w:rsid w:val="00E515D1"/>
    <w:rsid w:val="00E52326"/>
    <w:rsid w:val="00E533DB"/>
    <w:rsid w:val="00E72B87"/>
    <w:rsid w:val="00E737B1"/>
    <w:rsid w:val="00E7387C"/>
    <w:rsid w:val="00E76FCB"/>
    <w:rsid w:val="00E81AAC"/>
    <w:rsid w:val="00E843B4"/>
    <w:rsid w:val="00E864D3"/>
    <w:rsid w:val="00E86576"/>
    <w:rsid w:val="00E87DC0"/>
    <w:rsid w:val="00E95221"/>
    <w:rsid w:val="00E956E1"/>
    <w:rsid w:val="00EA07D3"/>
    <w:rsid w:val="00EA28C0"/>
    <w:rsid w:val="00EA33C8"/>
    <w:rsid w:val="00EA460C"/>
    <w:rsid w:val="00EA4CA0"/>
    <w:rsid w:val="00EA75B9"/>
    <w:rsid w:val="00EB45EC"/>
    <w:rsid w:val="00EB7CED"/>
    <w:rsid w:val="00EC45B6"/>
    <w:rsid w:val="00EC4E5A"/>
    <w:rsid w:val="00EC55EF"/>
    <w:rsid w:val="00ED47FC"/>
    <w:rsid w:val="00ED4A75"/>
    <w:rsid w:val="00ED4E0E"/>
    <w:rsid w:val="00EE0A2C"/>
    <w:rsid w:val="00EE1055"/>
    <w:rsid w:val="00EE70DE"/>
    <w:rsid w:val="00EE722B"/>
    <w:rsid w:val="00EF4DAB"/>
    <w:rsid w:val="00EF5E86"/>
    <w:rsid w:val="00F0001E"/>
    <w:rsid w:val="00F00AFC"/>
    <w:rsid w:val="00F030C5"/>
    <w:rsid w:val="00F053B1"/>
    <w:rsid w:val="00F1399F"/>
    <w:rsid w:val="00F14A4E"/>
    <w:rsid w:val="00F16D5C"/>
    <w:rsid w:val="00F20295"/>
    <w:rsid w:val="00F31943"/>
    <w:rsid w:val="00F36D6F"/>
    <w:rsid w:val="00F41997"/>
    <w:rsid w:val="00F44130"/>
    <w:rsid w:val="00F4487C"/>
    <w:rsid w:val="00F53385"/>
    <w:rsid w:val="00F53883"/>
    <w:rsid w:val="00F56ACC"/>
    <w:rsid w:val="00F60E0F"/>
    <w:rsid w:val="00F65FB4"/>
    <w:rsid w:val="00F67440"/>
    <w:rsid w:val="00F720CD"/>
    <w:rsid w:val="00F75F1F"/>
    <w:rsid w:val="00F806AC"/>
    <w:rsid w:val="00F83AC3"/>
    <w:rsid w:val="00F84314"/>
    <w:rsid w:val="00F84744"/>
    <w:rsid w:val="00F85711"/>
    <w:rsid w:val="00F9227E"/>
    <w:rsid w:val="00F94785"/>
    <w:rsid w:val="00F9553A"/>
    <w:rsid w:val="00F97DC3"/>
    <w:rsid w:val="00FA16F6"/>
    <w:rsid w:val="00FA1CF3"/>
    <w:rsid w:val="00FA30E9"/>
    <w:rsid w:val="00FA6274"/>
    <w:rsid w:val="00FB190F"/>
    <w:rsid w:val="00FB522C"/>
    <w:rsid w:val="00FB54A8"/>
    <w:rsid w:val="00FB6153"/>
    <w:rsid w:val="00FB6C64"/>
    <w:rsid w:val="00FB7CF7"/>
    <w:rsid w:val="00FC0218"/>
    <w:rsid w:val="00FC0845"/>
    <w:rsid w:val="00FC09BC"/>
    <w:rsid w:val="00FC3D1D"/>
    <w:rsid w:val="00FC6B4A"/>
    <w:rsid w:val="00FC778B"/>
    <w:rsid w:val="00FD1C26"/>
    <w:rsid w:val="00FD26C3"/>
    <w:rsid w:val="00FD4D16"/>
    <w:rsid w:val="00FD4EF9"/>
    <w:rsid w:val="00FD58E9"/>
    <w:rsid w:val="00FD64C0"/>
    <w:rsid w:val="00FD7306"/>
    <w:rsid w:val="00FE090C"/>
    <w:rsid w:val="00FE3426"/>
    <w:rsid w:val="00FE4B55"/>
    <w:rsid w:val="00FE5A8D"/>
    <w:rsid w:val="00FE5E0B"/>
    <w:rsid w:val="00FE6704"/>
    <w:rsid w:val="00FE6CD5"/>
    <w:rsid w:val="00FF0D25"/>
    <w:rsid w:val="00FF5570"/>
    <w:rsid w:val="00FF651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556A37"/>
  <w15:chartTrackingRefBased/>
  <w15:docId w15:val="{83A3BD69-3713-47F4-9DCE-F095FD146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733D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733D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733D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2733D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733D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733D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733D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733D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733D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733D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733D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2733D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2733D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733D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733D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733D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733D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733D0"/>
    <w:rPr>
      <w:rFonts w:eastAsiaTheme="majorEastAsia" w:cstheme="majorBidi"/>
      <w:color w:val="272727" w:themeColor="text1" w:themeTint="D8"/>
    </w:rPr>
  </w:style>
  <w:style w:type="paragraph" w:styleId="Title">
    <w:name w:val="Title"/>
    <w:basedOn w:val="Normal"/>
    <w:next w:val="Normal"/>
    <w:link w:val="TitleChar"/>
    <w:uiPriority w:val="10"/>
    <w:qFormat/>
    <w:rsid w:val="002733D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733D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733D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733D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733D0"/>
    <w:pPr>
      <w:spacing w:before="160"/>
      <w:jc w:val="center"/>
    </w:pPr>
    <w:rPr>
      <w:i/>
      <w:iCs/>
      <w:color w:val="404040" w:themeColor="text1" w:themeTint="BF"/>
    </w:rPr>
  </w:style>
  <w:style w:type="character" w:customStyle="1" w:styleId="QuoteChar">
    <w:name w:val="Quote Char"/>
    <w:basedOn w:val="DefaultParagraphFont"/>
    <w:link w:val="Quote"/>
    <w:uiPriority w:val="29"/>
    <w:rsid w:val="002733D0"/>
    <w:rPr>
      <w:i/>
      <w:iCs/>
      <w:color w:val="404040" w:themeColor="text1" w:themeTint="BF"/>
    </w:rPr>
  </w:style>
  <w:style w:type="paragraph" w:styleId="ListParagraph">
    <w:name w:val="List Paragraph"/>
    <w:basedOn w:val="Normal"/>
    <w:link w:val="ListParagraphChar"/>
    <w:uiPriority w:val="34"/>
    <w:qFormat/>
    <w:rsid w:val="002733D0"/>
    <w:pPr>
      <w:ind w:left="720"/>
      <w:contextualSpacing/>
    </w:pPr>
  </w:style>
  <w:style w:type="character" w:styleId="IntenseEmphasis">
    <w:name w:val="Intense Emphasis"/>
    <w:basedOn w:val="DefaultParagraphFont"/>
    <w:uiPriority w:val="21"/>
    <w:qFormat/>
    <w:rsid w:val="002733D0"/>
    <w:rPr>
      <w:i/>
      <w:iCs/>
      <w:color w:val="0F4761" w:themeColor="accent1" w:themeShade="BF"/>
    </w:rPr>
  </w:style>
  <w:style w:type="paragraph" w:styleId="IntenseQuote">
    <w:name w:val="Intense Quote"/>
    <w:basedOn w:val="Normal"/>
    <w:next w:val="Normal"/>
    <w:link w:val="IntenseQuoteChar"/>
    <w:uiPriority w:val="30"/>
    <w:qFormat/>
    <w:rsid w:val="002733D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733D0"/>
    <w:rPr>
      <w:i/>
      <w:iCs/>
      <w:color w:val="0F4761" w:themeColor="accent1" w:themeShade="BF"/>
    </w:rPr>
  </w:style>
  <w:style w:type="character" w:styleId="IntenseReference">
    <w:name w:val="Intense Reference"/>
    <w:basedOn w:val="DefaultParagraphFont"/>
    <w:uiPriority w:val="32"/>
    <w:qFormat/>
    <w:rsid w:val="002733D0"/>
    <w:rPr>
      <w:b/>
      <w:bCs/>
      <w:smallCaps/>
      <w:color w:val="0F4761" w:themeColor="accent1" w:themeShade="BF"/>
      <w:spacing w:val="5"/>
    </w:rPr>
  </w:style>
  <w:style w:type="paragraph" w:customStyle="1" w:styleId="Nornal">
    <w:name w:val="Nornal"/>
    <w:basedOn w:val="Normal"/>
    <w:link w:val="NornalChar"/>
    <w:qFormat/>
    <w:rsid w:val="002733D0"/>
    <w:pPr>
      <w:spacing w:line="264" w:lineRule="auto"/>
    </w:pPr>
    <w:rPr>
      <w:rFonts w:ascii="Arial" w:eastAsiaTheme="minorHAnsi" w:hAnsi="Arial" w:cs="Arial"/>
      <w:kern w:val="0"/>
      <w:sz w:val="22"/>
      <w:szCs w:val="22"/>
      <w:lang w:eastAsia="en-US"/>
      <w14:ligatures w14:val="none"/>
    </w:rPr>
  </w:style>
  <w:style w:type="character" w:customStyle="1" w:styleId="NornalChar">
    <w:name w:val="Nornal Char"/>
    <w:basedOn w:val="DefaultParagraphFont"/>
    <w:link w:val="Nornal"/>
    <w:rsid w:val="002733D0"/>
    <w:rPr>
      <w:rFonts w:ascii="Arial" w:eastAsiaTheme="minorHAnsi" w:hAnsi="Arial" w:cs="Arial"/>
      <w:kern w:val="0"/>
      <w:sz w:val="22"/>
      <w:szCs w:val="22"/>
      <w:lang w:eastAsia="en-US"/>
      <w14:ligatures w14:val="none"/>
    </w:rPr>
  </w:style>
  <w:style w:type="character" w:customStyle="1" w:styleId="ListParagraphChar">
    <w:name w:val="List Paragraph Char"/>
    <w:basedOn w:val="DefaultParagraphFont"/>
    <w:link w:val="ListParagraph"/>
    <w:uiPriority w:val="34"/>
    <w:rsid w:val="002733D0"/>
  </w:style>
  <w:style w:type="character" w:styleId="Hyperlink">
    <w:name w:val="Hyperlink"/>
    <w:basedOn w:val="DefaultParagraphFont"/>
    <w:uiPriority w:val="99"/>
    <w:unhideWhenUsed/>
    <w:rsid w:val="00802C57"/>
    <w:rPr>
      <w:color w:val="467886" w:themeColor="hyperlink"/>
      <w:u w:val="single"/>
    </w:rPr>
  </w:style>
  <w:style w:type="character" w:styleId="UnresolvedMention">
    <w:name w:val="Unresolved Mention"/>
    <w:basedOn w:val="DefaultParagraphFont"/>
    <w:uiPriority w:val="99"/>
    <w:semiHidden/>
    <w:unhideWhenUsed/>
    <w:rsid w:val="00802C57"/>
    <w:rPr>
      <w:color w:val="605E5C"/>
      <w:shd w:val="clear" w:color="auto" w:fill="E1DFDD"/>
    </w:rPr>
  </w:style>
  <w:style w:type="character" w:styleId="CommentReference">
    <w:name w:val="annotation reference"/>
    <w:basedOn w:val="DefaultParagraphFont"/>
    <w:uiPriority w:val="99"/>
    <w:semiHidden/>
    <w:unhideWhenUsed/>
    <w:rsid w:val="0035663C"/>
    <w:rPr>
      <w:sz w:val="16"/>
      <w:szCs w:val="16"/>
    </w:rPr>
  </w:style>
  <w:style w:type="paragraph" w:styleId="CommentText">
    <w:name w:val="annotation text"/>
    <w:basedOn w:val="Normal"/>
    <w:link w:val="CommentTextChar"/>
    <w:uiPriority w:val="99"/>
    <w:unhideWhenUsed/>
    <w:rsid w:val="0035663C"/>
    <w:pPr>
      <w:spacing w:line="240" w:lineRule="auto"/>
    </w:pPr>
    <w:rPr>
      <w:sz w:val="20"/>
      <w:szCs w:val="20"/>
    </w:rPr>
  </w:style>
  <w:style w:type="character" w:customStyle="1" w:styleId="CommentTextChar">
    <w:name w:val="Comment Text Char"/>
    <w:basedOn w:val="DefaultParagraphFont"/>
    <w:link w:val="CommentText"/>
    <w:uiPriority w:val="99"/>
    <w:rsid w:val="0035663C"/>
    <w:rPr>
      <w:sz w:val="20"/>
      <w:szCs w:val="20"/>
    </w:rPr>
  </w:style>
  <w:style w:type="paragraph" w:styleId="CommentSubject">
    <w:name w:val="annotation subject"/>
    <w:basedOn w:val="CommentText"/>
    <w:next w:val="CommentText"/>
    <w:link w:val="CommentSubjectChar"/>
    <w:uiPriority w:val="99"/>
    <w:semiHidden/>
    <w:unhideWhenUsed/>
    <w:rsid w:val="0035663C"/>
    <w:rPr>
      <w:b/>
      <w:bCs/>
    </w:rPr>
  </w:style>
  <w:style w:type="character" w:customStyle="1" w:styleId="CommentSubjectChar">
    <w:name w:val="Comment Subject Char"/>
    <w:basedOn w:val="CommentTextChar"/>
    <w:link w:val="CommentSubject"/>
    <w:uiPriority w:val="99"/>
    <w:semiHidden/>
    <w:rsid w:val="0035663C"/>
    <w:rPr>
      <w:b/>
      <w:bCs/>
      <w:sz w:val="20"/>
      <w:szCs w:val="20"/>
    </w:rPr>
  </w:style>
  <w:style w:type="character" w:styleId="FollowedHyperlink">
    <w:name w:val="FollowedHyperlink"/>
    <w:basedOn w:val="DefaultParagraphFont"/>
    <w:uiPriority w:val="99"/>
    <w:semiHidden/>
    <w:unhideWhenUsed/>
    <w:rsid w:val="00434BDB"/>
    <w:rPr>
      <w:color w:val="96607D" w:themeColor="followedHyperlink"/>
      <w:u w:val="single"/>
    </w:rPr>
  </w:style>
  <w:style w:type="paragraph" w:styleId="NormalWeb">
    <w:name w:val="Normal (Web)"/>
    <w:basedOn w:val="Normal"/>
    <w:uiPriority w:val="99"/>
    <w:semiHidden/>
    <w:unhideWhenUsed/>
    <w:rsid w:val="005B1619"/>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Strong">
    <w:name w:val="Strong"/>
    <w:basedOn w:val="DefaultParagraphFont"/>
    <w:uiPriority w:val="22"/>
    <w:qFormat/>
    <w:rsid w:val="005A008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5287/ora-bpkbjayvk" TargetMode="External"/><Relationship Id="rId21" Type="http://schemas.openxmlformats.org/officeDocument/2006/relationships/hyperlink" Target="https://www.cipd.org/en/views-and-insights/cipd-viewpoint/employee-health-wellbeing/" TargetMode="External"/><Relationship Id="rId42" Type="http://schemas.openxmlformats.org/officeDocument/2006/relationships/hyperlink" Target="https://doi.org/10.1111/1748-8583.12139" TargetMode="External"/><Relationship Id="rId47" Type="http://schemas.openxmlformats.org/officeDocument/2006/relationships/hyperlink" Target="https://doi.org/10.1371/journal.pone.0306065" TargetMode="External"/><Relationship Id="rId63" Type="http://schemas.openxmlformats.org/officeDocument/2006/relationships/hyperlink" Target="https://doi.org/10.5281/zenodo.19675516" TargetMode="External"/><Relationship Id="rId68" Type="http://schemas.openxmlformats.org/officeDocument/2006/relationships/hyperlink" Target="https://doi.org/10.3390/ijerph17061901" TargetMode="External"/><Relationship Id="rId2" Type="http://schemas.openxmlformats.org/officeDocument/2006/relationships/styles" Target="styles.xml"/><Relationship Id="rId16" Type="http://schemas.openxmlformats.org/officeDocument/2006/relationships/hyperlink" Target="https://www.cipd.org/uk/knowledge/reports/understanding-older-workers/" TargetMode="External"/><Relationship Id="rId29" Type="http://schemas.openxmlformats.org/officeDocument/2006/relationships/hyperlink" Target="https://doi.org/10.1111/1472-9296.00030" TargetMode="External"/><Relationship Id="rId11" Type="http://schemas.openxmlformats.org/officeDocument/2006/relationships/hyperlink" Target="https://link.springer.com/article/10.1186/s43093-024-00382-w" TargetMode="External"/><Relationship Id="rId24" Type="http://schemas.openxmlformats.org/officeDocument/2006/relationships/hyperlink" Target="https://doi.org/10.1136/bmjopen-2022-071203" TargetMode="External"/><Relationship Id="rId32" Type="http://schemas.openxmlformats.org/officeDocument/2006/relationships/hyperlink" Target="https://doi.org/10.3389/fpsyg.2021.817244" TargetMode="External"/><Relationship Id="rId37" Type="http://schemas.openxmlformats.org/officeDocument/2006/relationships/hyperlink" Target="https://doi.org/10.18394/iid.1464432" TargetMode="External"/><Relationship Id="rId40" Type="http://schemas.openxmlformats.org/officeDocument/2006/relationships/hyperlink" Target="https://doi.org/10.1080/07420528.2021.1926763" TargetMode="External"/><Relationship Id="rId45" Type="http://schemas.openxmlformats.org/officeDocument/2006/relationships/hyperlink" Target="https://doi.org/10.1111/1748-8583.12501" TargetMode="External"/><Relationship Id="rId53" Type="http://schemas.openxmlformats.org/officeDocument/2006/relationships/hyperlink" Target="https://doi.org/10.3389/fpsyg.2024.1371936" TargetMode="External"/><Relationship Id="rId58" Type="http://schemas.openxmlformats.org/officeDocument/2006/relationships/hyperlink" Target="https://doi.org/10.1108/IJOA-06-2024-4567" TargetMode="External"/><Relationship Id="rId66" Type="http://schemas.openxmlformats.org/officeDocument/2006/relationships/hyperlink" Target="https://doi.org/10.1080/02678373.2010.495262" TargetMode="External"/><Relationship Id="rId5" Type="http://schemas.openxmlformats.org/officeDocument/2006/relationships/hyperlink" Target="https://www.acas.org.uk/supporting-mental-health-workplace" TargetMode="External"/><Relationship Id="rId61" Type="http://schemas.openxmlformats.org/officeDocument/2006/relationships/hyperlink" Target="https://doi.org/10.32388/PQVBRW" TargetMode="External"/><Relationship Id="rId19" Type="http://schemas.openxmlformats.org/officeDocument/2006/relationships/hyperlink" Target="https://www.cipd.org/uk/knowledge/research/goodwork/" TargetMode="External"/><Relationship Id="rId14" Type="http://schemas.openxmlformats.org/officeDocument/2006/relationships/hyperlink" Target="https://www.cipd.org/uk/knowledge/factsheets/financial-wellbeing-and-mental-health-factsheet/" TargetMode="External"/><Relationship Id="rId22" Type="http://schemas.openxmlformats.org/officeDocument/2006/relationships/hyperlink" Target="https://www.cipd.org/uk/knowledge/strategy/wellbeing/" TargetMode="External"/><Relationship Id="rId27" Type="http://schemas.openxmlformats.org/officeDocument/2006/relationships/hyperlink" Target="https://wellbeing.hmc.ox.ac.uk/publications/work-wellbeing-playbook/" TargetMode="External"/><Relationship Id="rId30" Type="http://schemas.openxmlformats.org/officeDocument/2006/relationships/hyperlink" Target="https://doi.org/10.1177/20413866231187847" TargetMode="External"/><Relationship Id="rId35" Type="http://schemas.openxmlformats.org/officeDocument/2006/relationships/hyperlink" Target="https://academic.oup.com/occmed/article/74/6/416/7712333" TargetMode="External"/><Relationship Id="rId43" Type="http://schemas.openxmlformats.org/officeDocument/2006/relationships/hyperlink" Target="https://link.springer.com/article/10.1007/s41542-023-00171-x" TargetMode="External"/><Relationship Id="rId48" Type="http://schemas.openxmlformats.org/officeDocument/2006/relationships/hyperlink" Target="https://www.frontiersin.org/articles/10.3389/fpubh.2023.1053179/full" TargetMode="External"/><Relationship Id="rId56" Type="http://schemas.openxmlformats.org/officeDocument/2006/relationships/hyperlink" Target="https://doi.org/10.15611/pn.2025.2.08" TargetMode="External"/><Relationship Id="rId64" Type="http://schemas.openxmlformats.org/officeDocument/2006/relationships/hyperlink" Target="https://doi.org/10.1007/s10597-023-01179-x" TargetMode="External"/><Relationship Id="rId69" Type="http://schemas.openxmlformats.org/officeDocument/2006/relationships/hyperlink" Target="https://doi.org/10.1017/jmo.2024.42" TargetMode="External"/><Relationship Id="rId8" Type="http://schemas.openxmlformats.org/officeDocument/2006/relationships/hyperlink" Target="https://doi.org/10.3390/su13074045" TargetMode="External"/><Relationship Id="rId51" Type="http://schemas.openxmlformats.org/officeDocument/2006/relationships/hyperlink" Target="https://www.hbs.edu/ris/Publication%20Files/gh19_ch5_9e171d71-db54-4e08-a2eb-3cf1587daf4a.pdf" TargetMode="External"/><Relationship Id="rId72" Type="http://schemas.openxmlformats.org/officeDocument/2006/relationships/fontTable" Target="fontTable.xml"/><Relationship Id="rId3" Type="http://schemas.openxmlformats.org/officeDocument/2006/relationships/settings" Target="settings.xml"/><Relationship Id="rId12" Type="http://schemas.openxmlformats.org/officeDocument/2006/relationships/hyperlink" Target="https://doi.org/10.1108/JOSM-10-2020-0382" TargetMode="External"/><Relationship Id="rId17" Type="http://schemas.openxmlformats.org/officeDocument/2006/relationships/hyperlink" Target="https://www.cipd.org/uk/knowledge/factsheets/health-wellbeing/" TargetMode="External"/><Relationship Id="rId25" Type="http://schemas.openxmlformats.org/officeDocument/2006/relationships/hyperlink" Target="https://worldwellbeingmovement.org/wp-content/uploads/2024/11/Work-Wellbeing-Playbook.pdf" TargetMode="External"/><Relationship Id="rId33" Type="http://schemas.openxmlformats.org/officeDocument/2006/relationships/hyperlink" Target="https://doi.org/10.1037/ocp0000126" TargetMode="External"/><Relationship Id="rId38" Type="http://schemas.openxmlformats.org/officeDocument/2006/relationships/hyperlink" Target="https://www.eurofound.europa.eu" TargetMode="External"/><Relationship Id="rId46" Type="http://schemas.openxmlformats.org/officeDocument/2006/relationships/hyperlink" Target="https://reba.global/resource/why-mental-and-physical-wellness-should-be-part-of-rewards.html" TargetMode="External"/><Relationship Id="rId59" Type="http://schemas.openxmlformats.org/officeDocument/2006/relationships/hyperlink" Target="https://doi.org/10.1108/JOEPP-01-2017-0007" TargetMode="External"/><Relationship Id="rId67" Type="http://schemas.openxmlformats.org/officeDocument/2006/relationships/hyperlink" Target="https://doi.org/10.1080/1359432X.2022.2157009" TargetMode="External"/><Relationship Id="rId20" Type="http://schemas.openxmlformats.org/officeDocument/2006/relationships/hyperlink" Target="https://www.cipd.org/en/knowledge/factsheets/well-being-factsheet/" TargetMode="External"/><Relationship Id="rId41" Type="http://schemas.openxmlformats.org/officeDocument/2006/relationships/hyperlink" Target="https://journals.lww.com/joem/Abstract/2010/01001/Workplace_Health_Promotion__How_to_Make.7.aspx" TargetMode="External"/><Relationship Id="rId54" Type="http://schemas.openxmlformats.org/officeDocument/2006/relationships/hyperlink" Target="https://www.hrmagazine.co.uk/content/news/cipd-wellbeing-at-work-conference-what-you-missed" TargetMode="External"/><Relationship Id="rId62" Type="http://schemas.openxmlformats.org/officeDocument/2006/relationships/hyperlink" Target="https://doi.org/10.3390/admsci13100218" TargetMode="External"/><Relationship Id="rId70" Type="http://schemas.openxmlformats.org/officeDocument/2006/relationships/hyperlink" Target="https://worldwellbeingmovement.org/work-wellbeing-playbook/" TargetMode="External"/><Relationship Id="rId1" Type="http://schemas.openxmlformats.org/officeDocument/2006/relationships/numbering" Target="numbering.xml"/><Relationship Id="rId6" Type="http://schemas.openxmlformats.org/officeDocument/2006/relationships/hyperlink" Target="https://www.acas.org.uk/managing-work-related-stress/risk-assessments" TargetMode="External"/><Relationship Id="rId15" Type="http://schemas.openxmlformats.org/officeDocument/2006/relationships/hyperlink" Target="https://www.cipd.org/uk/knowledge/reports/labour-market-outlook/" TargetMode="External"/><Relationship Id="rId23" Type="http://schemas.openxmlformats.org/officeDocument/2006/relationships/hyperlink" Target="https://doi.org/10.1136/bmj.l2239" TargetMode="External"/><Relationship Id="rId28" Type="http://schemas.openxmlformats.org/officeDocument/2006/relationships/hyperlink" Target="https://doi.org/10.1207/S15327965PLI1104_01" TargetMode="External"/><Relationship Id="rId36" Type="http://schemas.openxmlformats.org/officeDocument/2006/relationships/hyperlink" Target="https://doi.org/10.3390/su17062613" TargetMode="External"/><Relationship Id="rId49" Type="http://schemas.openxmlformats.org/officeDocument/2006/relationships/hyperlink" Target="https://doi.org/10.1016/j.hrmr.2019.100719" TargetMode="External"/><Relationship Id="rId57" Type="http://schemas.openxmlformats.org/officeDocument/2006/relationships/hyperlink" Target="https://doi.org/10.5271/sjweh.4031" TargetMode="External"/><Relationship Id="rId10" Type="http://schemas.openxmlformats.org/officeDocument/2006/relationships/hyperlink" Target="https://doi.org/10.1037/ocp0000056" TargetMode="External"/><Relationship Id="rId31" Type="http://schemas.openxmlformats.org/officeDocument/2006/relationships/hyperlink" Target="https://link.springer.com/article/10.1007/s41042-019-00021-8?trk=public_post_comment-text" TargetMode="External"/><Relationship Id="rId44" Type="http://schemas.openxmlformats.org/officeDocument/2006/relationships/hyperlink" Target="https://www.gallup.com/workplace/349484/state-of-the-global-workplace-2022-report.aspx" TargetMode="External"/><Relationship Id="rId52" Type="http://schemas.openxmlformats.org/officeDocument/2006/relationships/hyperlink" Target="https://doi:10.3389/fpsyg.2023.1194018" TargetMode="External"/><Relationship Id="rId60" Type="http://schemas.openxmlformats.org/officeDocument/2006/relationships/hyperlink" Target="https://doi.org/10.1093/occmed/kqad012" TargetMode="External"/><Relationship Id="rId65" Type="http://schemas.openxmlformats.org/officeDocument/2006/relationships/hyperlink" Target="https://doi.org/10.1016/j.jbusres.2021.12.031" TargetMode="External"/><Relationship Id="rId73"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hyperlink" Target="https://jamanetwork.com/journals/jama/fullarticle/2730614" TargetMode="External"/><Relationship Id="rId13" Type="http://schemas.openxmlformats.org/officeDocument/2006/relationships/hyperlink" Target="https://www.cipd.org/uk/knowledge/factsheets/well-being-factsheet/" TargetMode="External"/><Relationship Id="rId18" Type="http://schemas.openxmlformats.org/officeDocument/2006/relationships/hyperlink" Target="https://www.cipd.org/uk/knowledge/factsheets/reward-factsheet/" TargetMode="External"/><Relationship Id="rId39" Type="http://schemas.openxmlformats.org/officeDocument/2006/relationships/hyperlink" Target="https://doi.org/10.1136/oem.2002.006734" TargetMode="External"/><Relationship Id="rId34" Type="http://schemas.openxmlformats.org/officeDocument/2006/relationships/hyperlink" Target="https://doi.org/10.4102/sajems.v28i1.6428" TargetMode="External"/><Relationship Id="rId50" Type="http://schemas.openxmlformats.org/officeDocument/2006/relationships/hyperlink" Target="https://www.marianjournals.com/files/IJEPC_articles/Vol_14_no_1_and_2_2024/Kartali_Gkliati_IJEPC_2024_14_1_2_36_58.pdf" TargetMode="External"/><Relationship Id="rId55" Type="http://schemas.openxmlformats.org/officeDocument/2006/relationships/hyperlink" Target="https://doi.org/10.1016/S22150366(17)303723" TargetMode="External"/><Relationship Id="rId7" Type="http://schemas.openxmlformats.org/officeDocument/2006/relationships/hyperlink" Target="https://www.acas.org.uk/supporting-mental-health-workplace" TargetMode="External"/><Relationship Id="rId71" Type="http://schemas.openxmlformats.org/officeDocument/2006/relationships/hyperlink" Target="https://doi.org/10.1002/job.24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154</TotalTime>
  <Pages>31</Pages>
  <Words>8226</Words>
  <Characters>46892</Characters>
  <Application>Microsoft Office Word</Application>
  <DocSecurity>0</DocSecurity>
  <Lines>390</Lines>
  <Paragraphs>110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55008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Steans (1601373)</dc:creator>
  <cp:keywords/>
  <dc:description/>
  <cp:lastModifiedBy>Louise Steans (Public Health Wales)</cp:lastModifiedBy>
  <cp:revision>122</cp:revision>
  <dcterms:created xsi:type="dcterms:W3CDTF">2026-05-09T19:39:00Z</dcterms:created>
  <dcterms:modified xsi:type="dcterms:W3CDTF">2026-05-16T19:04:00Z</dcterms:modified>
</cp:coreProperties>
</file>