
<file path=[Content_Types].xml><?xml version="1.0" encoding="utf-8"?>
<Types xmlns="http://schemas.openxmlformats.org/package/2006/content-types">
  <Default Extension="gif" ContentType="image/gif"/>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pPr>
    </w:p>
    <w:p>
      <w:pPr>
        <w:pStyle w:val="style0"/>
        <w:rPr/>
      </w:pPr>
    </w:p>
    <w:p>
      <w:pPr>
        <w:pStyle w:val="style0"/>
        <w:rPr/>
      </w:pPr>
    </w:p>
    <w:p>
      <w:pPr>
        <w:pStyle w:val="style0"/>
        <w:jc w:val="center"/>
        <w:rPr/>
      </w:pPr>
      <w:r>
        <w:t>ASSESSING THE IMPACT OF COMMUNITY-BASED MENTAL HEALTH AWARENESS PROGRAMMES ON REDUCING STIGMA AMONG YOUNG ADULTS IN THE UK</w:t>
      </w:r>
    </w:p>
    <w:p>
      <w:pPr>
        <w:pStyle w:val="style0"/>
        <w:jc w:val="center"/>
        <w:rPr/>
      </w:pPr>
      <w:r>
        <w:t>Name of the Student</w:t>
      </w:r>
      <w:r>
        <w:rPr>
          <w:lang w:val="en-US"/>
        </w:rPr>
        <w:t>. Izhar</w:t>
      </w:r>
    </w:p>
    <w:p>
      <w:pPr>
        <w:pStyle w:val="style0"/>
        <w:jc w:val="center"/>
        <w:rPr/>
      </w:pPr>
      <w:r>
        <w:t>Name of the University</w:t>
      </w:r>
      <w:r>
        <w:rPr>
          <w:lang w:val="en-US"/>
        </w:rPr>
        <w:t xml:space="preserve">. University of wales trinity saint david </w:t>
      </w:r>
    </w:p>
    <w:p>
      <w:pPr>
        <w:pStyle w:val="style0"/>
        <w:jc w:val="center"/>
        <w:rPr/>
      </w:pPr>
    </w:p>
    <w:p>
      <w:pPr>
        <w:pStyle w:val="style0"/>
        <w:jc w:val="center"/>
        <w:rPr/>
      </w:pPr>
    </w:p>
    <w:p>
      <w:pPr>
        <w:pStyle w:val="style0"/>
        <w:jc w:val="center"/>
        <w:rPr/>
      </w:pPr>
    </w:p>
    <w:p>
      <w:pPr>
        <w:pStyle w:val="style0"/>
        <w:jc w:val="center"/>
        <w:rPr/>
      </w:pPr>
    </w:p>
    <w:p>
      <w:pPr>
        <w:pStyle w:val="style0"/>
        <w:spacing w:lineRule="auto" w:line="259"/>
        <w:ind w:firstLine="0"/>
        <w:jc w:val="left"/>
        <w:rPr/>
      </w:pPr>
      <w:r>
        <w:br w:type="page"/>
      </w:r>
    </w:p>
    <w:p>
      <w:pPr>
        <w:pStyle w:val="style266"/>
        <w:spacing w:lineRule="auto" w:line="360"/>
        <w:jc w:val="center"/>
        <w:rPr>
          <w:rFonts w:ascii="Calibri" w:cs="Calibri" w:hAnsi="Calibri"/>
          <w:b/>
          <w:color w:val="000000"/>
          <w:sz w:val="28"/>
          <w:szCs w:val="28"/>
        </w:rPr>
      </w:pPr>
      <w:r>
        <w:rPr>
          <w:rFonts w:ascii="Calibri" w:cs="Calibri" w:hAnsi="Calibri"/>
          <w:b/>
          <w:color w:val="000000"/>
          <w:sz w:val="28"/>
          <w:szCs w:val="28"/>
        </w:rPr>
        <w:t>Table of Contents</w:t>
      </w:r>
    </w:p>
    <w:p>
      <w:pPr>
        <w:pStyle w:val="style19"/>
        <w:tabs>
          <w:tab w:val="right" w:leader="dot" w:pos="9016"/>
        </w:tabs>
        <w:ind w:firstLine="0"/>
        <w:rPr>
          <w:rFonts w:eastAsia="宋体"/>
          <w:noProof/>
          <w:color w:val="auto"/>
          <w:sz w:val="22"/>
          <w:lang w:eastAsia="en-AU"/>
        </w:rPr>
      </w:pPr>
      <w:r>
        <w:rPr>
          <w:b/>
          <w:bCs/>
          <w:noProof/>
        </w:rPr>
        <w:fldChar w:fldCharType="begin"/>
      </w:r>
      <w:r>
        <w:rPr>
          <w:b/>
          <w:bCs/>
          <w:noProof/>
        </w:rPr>
        <w:instrText xml:space="preserve"> TOC \o "1-3" \h \z \u </w:instrText>
      </w:r>
      <w:r>
        <w:rPr>
          <w:b/>
          <w:bCs/>
          <w:noProof/>
        </w:rPr>
        <w:fldChar w:fldCharType="separate"/>
      </w:r>
      <w:r>
        <w:rPr/>
        <w:fldChar w:fldCharType="begin"/>
      </w:r>
      <w:r>
        <w:instrText xml:space="preserve"> HYPERLINK \l "_Toc213863027" </w:instrText>
      </w:r>
      <w:r>
        <w:rPr/>
        <w:fldChar w:fldCharType="separate"/>
      </w:r>
      <w:r>
        <w:rPr>
          <w:rStyle w:val="style85"/>
          <w:noProof/>
        </w:rPr>
        <w:t>Prevalence of the Problem Identified in Health and Social Care</w:t>
      </w:r>
      <w:r>
        <w:rPr>
          <w:noProof/>
          <w:webHidden/>
        </w:rPr>
        <w:tab/>
      </w:r>
      <w:r>
        <w:rPr>
          <w:noProof/>
          <w:webHidden/>
        </w:rPr>
        <w:fldChar w:fldCharType="begin"/>
      </w:r>
      <w:r>
        <w:rPr>
          <w:noProof/>
          <w:webHidden/>
        </w:rPr>
        <w:instrText xml:space="preserve"> PAGEREF _Toc213863027 \h </w:instrText>
      </w:r>
      <w:r>
        <w:rPr>
          <w:noProof/>
          <w:webHidden/>
        </w:rPr>
        <w:fldChar w:fldCharType="separate"/>
      </w:r>
      <w:r>
        <w:rPr>
          <w:noProof/>
          <w:webHidden/>
        </w:rPr>
        <w:t>2</w:t>
      </w:r>
      <w:r>
        <w:rPr>
          <w:noProof/>
          <w:webHidden/>
        </w:rPr>
        <w:fldChar w:fldCharType="end"/>
      </w:r>
      <w:r>
        <w:rPr/>
        <w:fldChar w:fldCharType="end"/>
      </w:r>
    </w:p>
    <w:p>
      <w:pPr>
        <w:pStyle w:val="style19"/>
        <w:tabs>
          <w:tab w:val="right" w:leader="dot" w:pos="9016"/>
        </w:tabs>
        <w:ind w:firstLine="0"/>
        <w:rPr>
          <w:rFonts w:eastAsia="宋体"/>
          <w:noProof/>
          <w:color w:val="auto"/>
          <w:sz w:val="22"/>
          <w:lang w:eastAsia="en-AU"/>
        </w:rPr>
      </w:pPr>
      <w:r>
        <w:rPr/>
        <w:fldChar w:fldCharType="begin"/>
      </w:r>
      <w:r>
        <w:instrText xml:space="preserve"> HYPERLINK \l "_Toc213863028" </w:instrText>
      </w:r>
      <w:r>
        <w:rPr/>
        <w:fldChar w:fldCharType="separate"/>
      </w:r>
      <w:r>
        <w:rPr>
          <w:rStyle w:val="style85"/>
          <w:noProof/>
        </w:rPr>
        <w:t>Introduction and Literature-Based Background to the Study</w:t>
      </w:r>
      <w:r>
        <w:rPr>
          <w:noProof/>
          <w:webHidden/>
        </w:rPr>
        <w:tab/>
      </w:r>
      <w:r>
        <w:rPr>
          <w:noProof/>
          <w:webHidden/>
        </w:rPr>
        <w:fldChar w:fldCharType="begin"/>
      </w:r>
      <w:r>
        <w:rPr>
          <w:noProof/>
          <w:webHidden/>
        </w:rPr>
        <w:instrText xml:space="preserve"> PAGEREF _Toc213863028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016"/>
        </w:tabs>
        <w:ind w:firstLine="0"/>
        <w:rPr>
          <w:rFonts w:eastAsia="宋体"/>
          <w:noProof/>
          <w:color w:val="auto"/>
          <w:sz w:val="22"/>
          <w:lang w:eastAsia="en-AU"/>
        </w:rPr>
      </w:pPr>
      <w:r>
        <w:rPr/>
        <w:fldChar w:fldCharType="begin"/>
      </w:r>
      <w:r>
        <w:instrText xml:space="preserve"> HYPERLINK \l "_Toc213863029" </w:instrText>
      </w:r>
      <w:r>
        <w:rPr/>
        <w:fldChar w:fldCharType="separate"/>
      </w:r>
      <w:r>
        <w:rPr>
          <w:rStyle w:val="style85"/>
          <w:noProof/>
        </w:rPr>
        <w:t>Rationale and Research Question/Aims/Hypothesis</w:t>
      </w:r>
      <w:r>
        <w:rPr>
          <w:noProof/>
          <w:webHidden/>
        </w:rPr>
        <w:tab/>
      </w:r>
      <w:r>
        <w:rPr>
          <w:noProof/>
          <w:webHidden/>
        </w:rPr>
        <w:fldChar w:fldCharType="begin"/>
      </w:r>
      <w:r>
        <w:rPr>
          <w:noProof/>
          <w:webHidden/>
        </w:rPr>
        <w:instrText xml:space="preserve"> PAGEREF _Toc213863029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016"/>
        </w:tabs>
        <w:ind w:firstLine="0"/>
        <w:rPr>
          <w:rFonts w:eastAsia="宋体"/>
          <w:noProof/>
          <w:color w:val="auto"/>
          <w:sz w:val="22"/>
          <w:lang w:eastAsia="en-AU"/>
        </w:rPr>
      </w:pPr>
      <w:r>
        <w:rPr/>
        <w:fldChar w:fldCharType="begin"/>
      </w:r>
      <w:r>
        <w:instrText xml:space="preserve"> HYPERLINK \l "_Toc213863030" </w:instrText>
      </w:r>
      <w:r>
        <w:rPr/>
        <w:fldChar w:fldCharType="separate"/>
      </w:r>
      <w:r>
        <w:rPr>
          <w:rStyle w:val="style85"/>
          <w:noProof/>
        </w:rPr>
        <w:t>Rationale</w:t>
      </w:r>
      <w:r>
        <w:rPr>
          <w:noProof/>
          <w:webHidden/>
        </w:rPr>
        <w:tab/>
      </w:r>
      <w:r>
        <w:rPr>
          <w:noProof/>
          <w:webHidden/>
        </w:rPr>
        <w:fldChar w:fldCharType="begin"/>
      </w:r>
      <w:r>
        <w:rPr>
          <w:noProof/>
          <w:webHidden/>
        </w:rPr>
        <w:instrText xml:space="preserve"> PAGEREF _Toc213863030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016"/>
        </w:tabs>
        <w:ind w:firstLine="0"/>
        <w:rPr>
          <w:rFonts w:eastAsia="宋体"/>
          <w:noProof/>
          <w:color w:val="auto"/>
          <w:sz w:val="22"/>
          <w:lang w:eastAsia="en-AU"/>
        </w:rPr>
      </w:pPr>
      <w:r>
        <w:rPr/>
        <w:fldChar w:fldCharType="begin"/>
      </w:r>
      <w:r>
        <w:instrText xml:space="preserve"> HYPERLINK \l "_Toc213863031" </w:instrText>
      </w:r>
      <w:r>
        <w:rPr/>
        <w:fldChar w:fldCharType="separate"/>
      </w:r>
      <w:r>
        <w:rPr>
          <w:rStyle w:val="style85"/>
          <w:noProof/>
        </w:rPr>
        <w:t>Research Aim</w:t>
      </w:r>
      <w:r>
        <w:rPr>
          <w:noProof/>
          <w:webHidden/>
        </w:rPr>
        <w:tab/>
      </w:r>
      <w:r>
        <w:rPr>
          <w:noProof/>
          <w:webHidden/>
        </w:rPr>
        <w:fldChar w:fldCharType="begin"/>
      </w:r>
      <w:r>
        <w:rPr>
          <w:noProof/>
          <w:webHidden/>
        </w:rPr>
        <w:instrText xml:space="preserve"> PAGEREF _Toc213863031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016"/>
        </w:tabs>
        <w:ind w:firstLine="0"/>
        <w:rPr>
          <w:rFonts w:eastAsia="宋体"/>
          <w:noProof/>
          <w:color w:val="auto"/>
          <w:sz w:val="22"/>
          <w:lang w:eastAsia="en-AU"/>
        </w:rPr>
      </w:pPr>
      <w:r>
        <w:rPr/>
        <w:fldChar w:fldCharType="begin"/>
      </w:r>
      <w:r>
        <w:instrText xml:space="preserve"> HYPERLINK \l "_Toc213863032" </w:instrText>
      </w:r>
      <w:r>
        <w:rPr/>
        <w:fldChar w:fldCharType="separate"/>
      </w:r>
      <w:r>
        <w:rPr>
          <w:rStyle w:val="style85"/>
          <w:noProof/>
        </w:rPr>
        <w:t>Research Objectives</w:t>
      </w:r>
      <w:r>
        <w:rPr>
          <w:noProof/>
          <w:webHidden/>
        </w:rPr>
        <w:tab/>
      </w:r>
      <w:r>
        <w:rPr>
          <w:noProof/>
          <w:webHidden/>
        </w:rPr>
        <w:fldChar w:fldCharType="begin"/>
      </w:r>
      <w:r>
        <w:rPr>
          <w:noProof/>
          <w:webHidden/>
        </w:rPr>
        <w:instrText xml:space="preserve"> PAGEREF _Toc213863032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016"/>
        </w:tabs>
        <w:ind w:firstLine="0"/>
        <w:rPr>
          <w:rFonts w:eastAsia="宋体"/>
          <w:noProof/>
          <w:color w:val="auto"/>
          <w:sz w:val="22"/>
          <w:lang w:eastAsia="en-AU"/>
        </w:rPr>
      </w:pPr>
      <w:r>
        <w:rPr/>
        <w:fldChar w:fldCharType="begin"/>
      </w:r>
      <w:r>
        <w:instrText xml:space="preserve"> HYPERLINK \l "_Toc213863033" </w:instrText>
      </w:r>
      <w:r>
        <w:rPr/>
        <w:fldChar w:fldCharType="separate"/>
      </w:r>
      <w:r>
        <w:rPr>
          <w:rStyle w:val="style85"/>
          <w:noProof/>
        </w:rPr>
        <w:t>Research Questions</w:t>
      </w:r>
      <w:r>
        <w:rPr>
          <w:noProof/>
          <w:webHidden/>
        </w:rPr>
        <w:tab/>
      </w:r>
      <w:r>
        <w:rPr>
          <w:noProof/>
          <w:webHidden/>
        </w:rPr>
        <w:fldChar w:fldCharType="begin"/>
      </w:r>
      <w:r>
        <w:rPr>
          <w:noProof/>
          <w:webHidden/>
        </w:rPr>
        <w:instrText xml:space="preserve"> PAGEREF _Toc213863033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016"/>
        </w:tabs>
        <w:ind w:firstLine="0"/>
        <w:rPr>
          <w:rFonts w:eastAsia="宋体"/>
          <w:noProof/>
          <w:color w:val="auto"/>
          <w:sz w:val="22"/>
          <w:lang w:eastAsia="en-AU"/>
        </w:rPr>
      </w:pPr>
      <w:r>
        <w:rPr/>
        <w:fldChar w:fldCharType="begin"/>
      </w:r>
      <w:r>
        <w:instrText xml:space="preserve"> HYPERLINK \l "_Toc213863034" </w:instrText>
      </w:r>
      <w:r>
        <w:rPr/>
        <w:fldChar w:fldCharType="separate"/>
      </w:r>
      <w:r>
        <w:rPr>
          <w:rStyle w:val="style85"/>
          <w:noProof/>
        </w:rPr>
        <w:t>Hypothesis</w:t>
      </w:r>
      <w:r>
        <w:rPr>
          <w:noProof/>
          <w:webHidden/>
        </w:rPr>
        <w:tab/>
      </w:r>
      <w:r>
        <w:rPr>
          <w:noProof/>
          <w:webHidden/>
        </w:rPr>
        <w:fldChar w:fldCharType="begin"/>
      </w:r>
      <w:r>
        <w:rPr>
          <w:noProof/>
          <w:webHidden/>
        </w:rPr>
        <w:instrText xml:space="preserve"> PAGEREF _Toc213863034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016"/>
        </w:tabs>
        <w:ind w:firstLine="0"/>
        <w:rPr>
          <w:rFonts w:eastAsia="宋体"/>
          <w:noProof/>
          <w:color w:val="auto"/>
          <w:sz w:val="22"/>
          <w:lang w:eastAsia="en-AU"/>
        </w:rPr>
      </w:pPr>
      <w:r>
        <w:rPr/>
        <w:fldChar w:fldCharType="begin"/>
      </w:r>
      <w:r>
        <w:instrText xml:space="preserve"> HYPERLINK \l "_Toc213863035" </w:instrText>
      </w:r>
      <w:r>
        <w:rPr/>
        <w:fldChar w:fldCharType="separate"/>
      </w:r>
      <w:r>
        <w:rPr>
          <w:rStyle w:val="style85"/>
          <w:noProof/>
        </w:rPr>
        <w:t>Research Methodology</w:t>
      </w:r>
      <w:r>
        <w:rPr>
          <w:noProof/>
          <w:webHidden/>
        </w:rPr>
        <w:tab/>
      </w:r>
      <w:r>
        <w:rPr>
          <w:noProof/>
          <w:webHidden/>
        </w:rPr>
        <w:fldChar w:fldCharType="begin"/>
      </w:r>
      <w:r>
        <w:rPr>
          <w:noProof/>
          <w:webHidden/>
        </w:rPr>
        <w:instrText xml:space="preserve"> PAGEREF _Toc213863035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016"/>
        </w:tabs>
        <w:ind w:firstLine="0"/>
        <w:rPr>
          <w:rFonts w:eastAsia="宋体"/>
          <w:noProof/>
          <w:color w:val="auto"/>
          <w:sz w:val="22"/>
          <w:lang w:eastAsia="en-AU"/>
        </w:rPr>
      </w:pPr>
      <w:r>
        <w:rPr/>
        <w:fldChar w:fldCharType="begin"/>
      </w:r>
      <w:r>
        <w:instrText xml:space="preserve"> HYPERLINK \l "_Toc213863036" </w:instrText>
      </w:r>
      <w:r>
        <w:rPr/>
        <w:fldChar w:fldCharType="separate"/>
      </w:r>
      <w:r>
        <w:rPr>
          <w:rStyle w:val="style85"/>
          <w:noProof/>
        </w:rPr>
        <w:t>Research Design</w:t>
      </w:r>
      <w:r>
        <w:rPr>
          <w:noProof/>
          <w:webHidden/>
        </w:rPr>
        <w:tab/>
      </w:r>
      <w:r>
        <w:rPr>
          <w:noProof/>
          <w:webHidden/>
        </w:rPr>
        <w:fldChar w:fldCharType="begin"/>
      </w:r>
      <w:r>
        <w:rPr>
          <w:noProof/>
          <w:webHidden/>
        </w:rPr>
        <w:instrText xml:space="preserve"> PAGEREF _Toc213863036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016"/>
        </w:tabs>
        <w:ind w:firstLine="0"/>
        <w:rPr>
          <w:rFonts w:eastAsia="宋体"/>
          <w:noProof/>
          <w:color w:val="auto"/>
          <w:sz w:val="22"/>
          <w:lang w:eastAsia="en-AU"/>
        </w:rPr>
      </w:pPr>
      <w:r>
        <w:rPr/>
        <w:fldChar w:fldCharType="begin"/>
      </w:r>
      <w:r>
        <w:instrText xml:space="preserve"> HYPERLINK \l "_Toc213863037" </w:instrText>
      </w:r>
      <w:r>
        <w:rPr/>
        <w:fldChar w:fldCharType="separate"/>
      </w:r>
      <w:r>
        <w:rPr>
          <w:rStyle w:val="style85"/>
          <w:noProof/>
        </w:rPr>
        <w:t>Data sources</w:t>
      </w:r>
      <w:r>
        <w:rPr>
          <w:noProof/>
          <w:webHidden/>
        </w:rPr>
        <w:tab/>
      </w:r>
      <w:r>
        <w:rPr>
          <w:noProof/>
          <w:webHidden/>
        </w:rPr>
        <w:fldChar w:fldCharType="begin"/>
      </w:r>
      <w:r>
        <w:rPr>
          <w:noProof/>
          <w:webHidden/>
        </w:rPr>
        <w:instrText xml:space="preserve"> PAGEREF _Toc213863037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016"/>
        </w:tabs>
        <w:ind w:firstLine="0"/>
        <w:rPr>
          <w:rFonts w:eastAsia="宋体"/>
          <w:noProof/>
          <w:color w:val="auto"/>
          <w:sz w:val="22"/>
          <w:lang w:eastAsia="en-AU"/>
        </w:rPr>
      </w:pPr>
      <w:r>
        <w:rPr/>
        <w:fldChar w:fldCharType="begin"/>
      </w:r>
      <w:r>
        <w:instrText xml:space="preserve"> HYPERLINK \l "_Toc213863038" </w:instrText>
      </w:r>
      <w:r>
        <w:rPr/>
        <w:fldChar w:fldCharType="separate"/>
      </w:r>
      <w:r>
        <w:rPr>
          <w:rStyle w:val="style85"/>
          <w:noProof/>
        </w:rPr>
        <w:t>Selection criteria</w:t>
      </w:r>
      <w:r>
        <w:rPr>
          <w:noProof/>
          <w:webHidden/>
        </w:rPr>
        <w:tab/>
      </w:r>
      <w:r>
        <w:rPr>
          <w:noProof/>
          <w:webHidden/>
        </w:rPr>
        <w:fldChar w:fldCharType="begin"/>
      </w:r>
      <w:r>
        <w:rPr>
          <w:noProof/>
          <w:webHidden/>
        </w:rPr>
        <w:instrText xml:space="preserve"> PAGEREF _Toc213863038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016"/>
        </w:tabs>
        <w:ind w:firstLine="0"/>
        <w:rPr>
          <w:rFonts w:eastAsia="宋体"/>
          <w:noProof/>
          <w:color w:val="auto"/>
          <w:sz w:val="22"/>
          <w:lang w:eastAsia="en-AU"/>
        </w:rPr>
      </w:pPr>
      <w:r>
        <w:rPr/>
        <w:fldChar w:fldCharType="begin"/>
      </w:r>
      <w:r>
        <w:instrText xml:space="preserve"> HYPERLINK \l "_Toc213863039" </w:instrText>
      </w:r>
      <w:r>
        <w:rPr/>
        <w:fldChar w:fldCharType="separate"/>
      </w:r>
      <w:r>
        <w:rPr>
          <w:rStyle w:val="style85"/>
          <w:noProof/>
        </w:rPr>
        <w:t>Inclusion criteria</w:t>
      </w:r>
      <w:r>
        <w:rPr>
          <w:noProof/>
          <w:webHidden/>
        </w:rPr>
        <w:tab/>
      </w:r>
      <w:r>
        <w:rPr>
          <w:noProof/>
          <w:webHidden/>
        </w:rPr>
        <w:fldChar w:fldCharType="begin"/>
      </w:r>
      <w:r>
        <w:rPr>
          <w:noProof/>
          <w:webHidden/>
        </w:rPr>
        <w:instrText xml:space="preserve"> PAGEREF _Toc213863039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016"/>
        </w:tabs>
        <w:ind w:firstLine="0"/>
        <w:rPr>
          <w:rFonts w:eastAsia="宋体"/>
          <w:noProof/>
          <w:color w:val="auto"/>
          <w:sz w:val="22"/>
          <w:lang w:eastAsia="en-AU"/>
        </w:rPr>
      </w:pPr>
      <w:r>
        <w:rPr/>
        <w:fldChar w:fldCharType="begin"/>
      </w:r>
      <w:r>
        <w:instrText xml:space="preserve"> HYPERLINK \l "_Toc213863040" </w:instrText>
      </w:r>
      <w:r>
        <w:rPr/>
        <w:fldChar w:fldCharType="separate"/>
      </w:r>
      <w:r>
        <w:rPr>
          <w:rStyle w:val="style85"/>
          <w:noProof/>
        </w:rPr>
        <w:t>Exclusion criteria</w:t>
      </w:r>
      <w:r>
        <w:rPr>
          <w:noProof/>
          <w:webHidden/>
        </w:rPr>
        <w:tab/>
      </w:r>
      <w:r>
        <w:rPr>
          <w:noProof/>
          <w:webHidden/>
        </w:rPr>
        <w:fldChar w:fldCharType="begin"/>
      </w:r>
      <w:r>
        <w:rPr>
          <w:noProof/>
          <w:webHidden/>
        </w:rPr>
        <w:instrText xml:space="preserve"> PAGEREF _Toc213863040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016"/>
        </w:tabs>
        <w:ind w:firstLine="0"/>
        <w:rPr>
          <w:rFonts w:eastAsia="宋体"/>
          <w:noProof/>
          <w:color w:val="auto"/>
          <w:sz w:val="22"/>
          <w:lang w:eastAsia="en-AU"/>
        </w:rPr>
      </w:pPr>
      <w:r>
        <w:rPr/>
        <w:fldChar w:fldCharType="begin"/>
      </w:r>
      <w:r>
        <w:instrText xml:space="preserve"> HYPERLINK \l "_Toc213863041" </w:instrText>
      </w:r>
      <w:r>
        <w:rPr/>
        <w:fldChar w:fldCharType="separate"/>
      </w:r>
      <w:r>
        <w:rPr>
          <w:rStyle w:val="style85"/>
          <w:noProof/>
        </w:rPr>
        <w:t>Data extraction and analysis</w:t>
      </w:r>
      <w:r>
        <w:rPr>
          <w:noProof/>
          <w:webHidden/>
        </w:rPr>
        <w:tab/>
      </w:r>
      <w:r>
        <w:rPr>
          <w:noProof/>
          <w:webHidden/>
        </w:rPr>
        <w:fldChar w:fldCharType="begin"/>
      </w:r>
      <w:r>
        <w:rPr>
          <w:noProof/>
          <w:webHidden/>
        </w:rPr>
        <w:instrText xml:space="preserve"> PAGEREF _Toc213863041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016"/>
        </w:tabs>
        <w:ind w:firstLine="0"/>
        <w:rPr>
          <w:rFonts w:eastAsia="宋体"/>
          <w:noProof/>
          <w:color w:val="auto"/>
          <w:sz w:val="22"/>
          <w:lang w:eastAsia="en-AU"/>
        </w:rPr>
      </w:pPr>
      <w:r>
        <w:rPr/>
        <w:fldChar w:fldCharType="begin"/>
      </w:r>
      <w:r>
        <w:instrText xml:space="preserve"> HYPERLINK \l "_Toc213863042" </w:instrText>
      </w:r>
      <w:r>
        <w:rPr/>
        <w:fldChar w:fldCharType="separate"/>
      </w:r>
      <w:r>
        <w:rPr>
          <w:rStyle w:val="style85"/>
          <w:noProof/>
        </w:rPr>
        <w:t>Ethical Considerations</w:t>
      </w:r>
      <w:r>
        <w:rPr>
          <w:noProof/>
          <w:webHidden/>
        </w:rPr>
        <w:tab/>
      </w:r>
      <w:r>
        <w:rPr>
          <w:noProof/>
          <w:webHidden/>
        </w:rPr>
        <w:fldChar w:fldCharType="begin"/>
      </w:r>
      <w:r>
        <w:rPr>
          <w:noProof/>
          <w:webHidden/>
        </w:rPr>
        <w:instrText xml:space="preserve"> PAGEREF _Toc213863042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016"/>
        </w:tabs>
        <w:ind w:firstLine="0"/>
        <w:rPr>
          <w:rFonts w:eastAsia="宋体"/>
          <w:noProof/>
          <w:color w:val="auto"/>
          <w:sz w:val="22"/>
          <w:lang w:eastAsia="en-AU"/>
        </w:rPr>
      </w:pPr>
      <w:r>
        <w:rPr/>
        <w:fldChar w:fldCharType="begin"/>
      </w:r>
      <w:r>
        <w:instrText xml:space="preserve"> HYPERLINK \l "_Toc213863043" </w:instrText>
      </w:r>
      <w:r>
        <w:rPr/>
        <w:fldChar w:fldCharType="separate"/>
      </w:r>
      <w:r>
        <w:rPr>
          <w:rStyle w:val="style85"/>
          <w:noProof/>
        </w:rPr>
        <w:t>Implications of the Research</w:t>
      </w:r>
      <w:r>
        <w:rPr>
          <w:noProof/>
          <w:webHidden/>
        </w:rPr>
        <w:tab/>
      </w:r>
      <w:r>
        <w:rPr>
          <w:noProof/>
          <w:webHidden/>
        </w:rPr>
        <w:fldChar w:fldCharType="begin"/>
      </w:r>
      <w:r>
        <w:rPr>
          <w:noProof/>
          <w:webHidden/>
        </w:rPr>
        <w:instrText xml:space="preserve"> PAGEREF _Toc213863043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016"/>
        </w:tabs>
        <w:ind w:firstLine="0"/>
        <w:rPr>
          <w:rFonts w:eastAsia="宋体"/>
          <w:noProof/>
          <w:color w:val="auto"/>
          <w:sz w:val="22"/>
          <w:lang w:eastAsia="en-AU"/>
        </w:rPr>
      </w:pPr>
      <w:r>
        <w:rPr/>
        <w:fldChar w:fldCharType="begin"/>
      </w:r>
      <w:r>
        <w:instrText xml:space="preserve"> HYPERLINK \l "_Toc213863044" </w:instrText>
      </w:r>
      <w:r>
        <w:rPr/>
        <w:fldChar w:fldCharType="separate"/>
      </w:r>
      <w:r>
        <w:rPr>
          <w:rStyle w:val="style85"/>
          <w:noProof/>
        </w:rPr>
        <w:t>Plan of work and Time Schedule</w:t>
      </w:r>
      <w:r>
        <w:rPr>
          <w:noProof/>
          <w:webHidden/>
        </w:rPr>
        <w:tab/>
      </w:r>
      <w:r>
        <w:rPr>
          <w:noProof/>
          <w:webHidden/>
        </w:rPr>
        <w:fldChar w:fldCharType="begin"/>
      </w:r>
      <w:r>
        <w:rPr>
          <w:noProof/>
          <w:webHidden/>
        </w:rPr>
        <w:instrText xml:space="preserve"> PAGEREF _Toc213863044 \h </w:instrText>
      </w:r>
      <w:r>
        <w:rPr>
          <w:noProof/>
          <w:webHidden/>
        </w:rPr>
        <w:fldChar w:fldCharType="separate"/>
      </w:r>
      <w:r>
        <w:rPr>
          <w:noProof/>
          <w:webHidden/>
        </w:rPr>
        <w:t>9</w:t>
      </w:r>
      <w:r>
        <w:rPr>
          <w:noProof/>
          <w:webHidden/>
        </w:rPr>
        <w:fldChar w:fldCharType="end"/>
      </w:r>
      <w:r>
        <w:rPr/>
        <w:fldChar w:fldCharType="end"/>
      </w:r>
    </w:p>
    <w:p>
      <w:pPr>
        <w:pStyle w:val="style19"/>
        <w:tabs>
          <w:tab w:val="right" w:leader="dot" w:pos="9016"/>
        </w:tabs>
        <w:ind w:firstLine="0"/>
        <w:rPr>
          <w:rFonts w:eastAsia="宋体"/>
          <w:noProof/>
          <w:color w:val="auto"/>
          <w:sz w:val="22"/>
          <w:lang w:eastAsia="en-AU"/>
        </w:rPr>
      </w:pPr>
      <w:r>
        <w:rPr/>
        <w:fldChar w:fldCharType="begin"/>
      </w:r>
      <w:r>
        <w:instrText xml:space="preserve"> HYPERLINK \l "_Toc213863045" </w:instrText>
      </w:r>
      <w:r>
        <w:rPr/>
        <w:fldChar w:fldCharType="separate"/>
      </w:r>
      <w:r>
        <w:rPr>
          <w:rStyle w:val="style85"/>
          <w:noProof/>
        </w:rPr>
        <w:t>Conclusion</w:t>
      </w:r>
      <w:r>
        <w:rPr>
          <w:noProof/>
          <w:webHidden/>
        </w:rPr>
        <w:tab/>
      </w:r>
      <w:r>
        <w:rPr>
          <w:noProof/>
          <w:webHidden/>
        </w:rPr>
        <w:fldChar w:fldCharType="begin"/>
      </w:r>
      <w:r>
        <w:rPr>
          <w:noProof/>
          <w:webHidden/>
        </w:rPr>
        <w:instrText xml:space="preserve"> PAGEREF _Toc213863045 \h </w:instrText>
      </w:r>
      <w:r>
        <w:rPr>
          <w:noProof/>
          <w:webHidden/>
        </w:rPr>
        <w:fldChar w:fldCharType="separate"/>
      </w:r>
      <w:r>
        <w:rPr>
          <w:noProof/>
          <w:webHidden/>
        </w:rPr>
        <w:t>10</w:t>
      </w:r>
      <w:r>
        <w:rPr>
          <w:noProof/>
          <w:webHidden/>
        </w:rPr>
        <w:fldChar w:fldCharType="end"/>
      </w:r>
      <w:r>
        <w:rPr/>
        <w:fldChar w:fldCharType="end"/>
      </w:r>
    </w:p>
    <w:p>
      <w:pPr>
        <w:pStyle w:val="style19"/>
        <w:tabs>
          <w:tab w:val="right" w:leader="dot" w:pos="9016"/>
        </w:tabs>
        <w:ind w:firstLine="0"/>
        <w:rPr>
          <w:rFonts w:eastAsia="宋体"/>
          <w:noProof/>
          <w:color w:val="auto"/>
          <w:sz w:val="22"/>
          <w:lang w:eastAsia="en-AU"/>
        </w:rPr>
      </w:pPr>
      <w:r>
        <w:rPr/>
        <w:fldChar w:fldCharType="begin"/>
      </w:r>
      <w:r>
        <w:instrText xml:space="preserve"> HYPERLINK \l "_Toc213863046"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_Toc213863046 \h </w:instrText>
      </w:r>
      <w:r>
        <w:rPr>
          <w:noProof/>
          <w:webHidden/>
        </w:rPr>
        <w:fldChar w:fldCharType="separate"/>
      </w:r>
      <w:r>
        <w:rPr>
          <w:noProof/>
          <w:webHidden/>
        </w:rPr>
        <w:t>11</w:t>
      </w:r>
      <w:r>
        <w:rPr>
          <w:noProof/>
          <w:webHidden/>
        </w:rPr>
        <w:fldChar w:fldCharType="end"/>
      </w:r>
      <w:r>
        <w:rPr/>
        <w:fldChar w:fldCharType="end"/>
      </w:r>
    </w:p>
    <w:p>
      <w:pPr>
        <w:pStyle w:val="style0"/>
        <w:ind w:firstLine="0"/>
        <w:rPr/>
      </w:pPr>
      <w:r>
        <w:rPr>
          <w:b/>
          <w:bCs/>
          <w:noProof/>
        </w:rPr>
        <w:fldChar w:fldCharType="end"/>
      </w:r>
    </w:p>
    <w:p>
      <w:pPr>
        <w:pStyle w:val="style0"/>
        <w:spacing w:lineRule="auto" w:line="259"/>
        <w:ind w:firstLine="0"/>
        <w:jc w:val="left"/>
        <w:rPr/>
      </w:pPr>
      <w:r>
        <w:br w:type="page"/>
      </w:r>
    </w:p>
    <w:bookmarkStart w:id="0" w:name="_Toc213863027"/>
    <w:p>
      <w:pPr>
        <w:pStyle w:val="style1"/>
        <w:rPr/>
      </w:pPr>
      <w:r>
        <w:t>Prevalence of the Problem Identified in Health and Social Care</w:t>
      </w:r>
      <w:bookmarkEnd w:id="0"/>
    </w:p>
    <w:p>
      <w:pPr>
        <w:pStyle w:val="style0"/>
        <w:rPr/>
      </w:pPr>
      <w:r>
        <w:t xml:space="preserve">Issues of mental health among various young adults in United Kingdom has presently reached the critical stage in past years. Various reports are indicating that estimated one out of five individuals in the age range of 8 to 25 are experience plausible condition of mental health. In spite of the rising demand of support of mental health, huge amount of young people </w:t>
      </w:r>
      <w:r>
        <w:t>is</w:t>
      </w:r>
      <w:r>
        <w:t xml:space="preserve"> facing huge waiting times prior gaining sufficient treatment needed. Several youths are enduring various psychological </w:t>
      </w:r>
      <w:r>
        <w:t>distress, anxiety, depression, as well as suicidal tendencies because of lack of timely access to proper professional help</w:t>
      </w:r>
      <w:r>
        <w:t xml:space="preserve"> (</w:t>
      </w:r>
      <w:r>
        <w:rPr>
          <w:shd w:val="clear" w:color="auto" w:fill="ffffff"/>
        </w:rPr>
        <w:t>Campbell et al. 2022</w:t>
      </w:r>
      <w:r>
        <w:t>)</w:t>
      </w:r>
      <w:r>
        <w:t xml:space="preserve">. These types of issues are further compounded by pervasive social stereotype linked with the issue of mental illness, that remains to deter various young people from properly seeking support. </w:t>
      </w:r>
      <w:r>
        <w:t>The overall social perception of the mental illness remains rather strongly influenced by the stereotypes as well as the misinformation. The stigma manifests as the labelling, discrimination as well as the social exclusion, frequently causing the individuals into hiding the struggles or even the delay treatment</w:t>
      </w:r>
      <w:r>
        <w:t xml:space="preserve"> (</w:t>
      </w:r>
      <w:r>
        <w:rPr>
          <w:shd w:val="clear" w:color="auto" w:fill="ffffff"/>
        </w:rPr>
        <w:t>Jessiman</w:t>
      </w:r>
      <w:r>
        <w:rPr>
          <w:shd w:val="clear" w:color="auto" w:fill="ffffff"/>
        </w:rPr>
        <w:t xml:space="preserve"> et al. 2022</w:t>
      </w:r>
      <w:r>
        <w:t>)</w:t>
      </w:r>
      <w:r>
        <w:t>.</w:t>
      </w:r>
      <w:r>
        <w:t xml:space="preserve"> This would not solely worsen the conditions of mental health but would also affect the educational achievement, social relationships and the emotional stability. The studies conducted across UK displays the proper direct link among the stigma as well as the lower help searching behaviour within the youth.</w:t>
      </w:r>
      <w:r>
        <w:t xml:space="preserve"> Subsequently, mitigating and understanding the stigma through the interventions done on community level has become the national priority.</w:t>
      </w:r>
    </w:p>
    <w:p>
      <w:pPr>
        <w:pStyle w:val="style0"/>
        <w:rPr/>
      </w:pPr>
      <w:r>
        <w:t>The community backed awareness programmes on mental health have recently emerged as the efficient mechanism to improve knowledge, empower the individuals, and shift the perceptions</w:t>
      </w:r>
      <w:r>
        <w:t xml:space="preserve"> for discussing openly about the mental health. Moreover, there is restricted empirical research evaluating how the initiatives are influencing the behaviours and the attitudes of the young adults. This particular study is therefore seeking the assessment of the entire effectiveness of the programmes in decreasing the stigma within youth of UK as well as for identifying the various components which would produce the highest impact.</w:t>
      </w:r>
    </w:p>
    <w:p>
      <w:pPr>
        <w:pStyle w:val="style0"/>
        <w:rPr/>
      </w:pPr>
      <w:r>
        <w:t xml:space="preserve">The </w:t>
      </w:r>
      <w:r>
        <w:t>community based</w:t>
      </w:r>
      <w:r>
        <w:t xml:space="preserve"> initiatives of mental health has become significantly crucial for addressing the vast issues. The youth centres, the local organizations, as well as peer backed support groups are playing rather critical role in promotion of literacy of mental health as well as decreasing the stigma through outreach, education as well as the social engagement. These programmes </w:t>
      </w:r>
      <w:r>
        <w:t>helps</w:t>
      </w:r>
      <w:r>
        <w:t xml:space="preserve"> in creating highly secured support without any fear of judgement. The </w:t>
      </w:r>
      <w:r>
        <w:t xml:space="preserve">evidence is suggesting that the community backed interventions are highly efficient in fostering the sustained behavioural changes, because it helps in developing trust as well as inclusivity in the </w:t>
      </w:r>
      <w:r>
        <w:t>known social contexts.</w:t>
      </w:r>
    </w:p>
    <w:bookmarkStart w:id="1" w:name="_Toc213863028"/>
    <w:p>
      <w:pPr>
        <w:pStyle w:val="style1"/>
        <w:rPr/>
      </w:pPr>
      <w:r>
        <w:t>Introduction and Literature-Based Background to the Study</w:t>
      </w:r>
      <w:bookmarkEnd w:id="1"/>
    </w:p>
    <w:p>
      <w:pPr>
        <w:pStyle w:val="style0"/>
        <w:rPr/>
      </w:pPr>
      <w:r>
        <w:t>Mental health has been deemed rather vital component of entire well-being as well as extensively affects the productivity and the social participation. Within the young youth, the issue of mental health is often appearing during the transitional life phases when the education, identity as well as career pressures are intensifying</w:t>
      </w:r>
      <w:r>
        <w:t xml:space="preserve"> (</w:t>
      </w:r>
      <w:r>
        <w:rPr>
          <w:shd w:val="clear" w:color="auto" w:fill="ffffff"/>
        </w:rPr>
        <w:t>Foulkes 2024</w:t>
      </w:r>
      <w:r>
        <w:t>)</w:t>
      </w:r>
      <w:r>
        <w:t xml:space="preserve">. Depression, anxiety, as well as stress have been determined to be among highly prevalent disorders within this particular age group. In spite of proper accessibility of various services of mental health, considerable amount of the young adults </w:t>
      </w:r>
      <w:r>
        <w:t>is</w:t>
      </w:r>
      <w:r>
        <w:t xml:space="preserve"> hesitating into engaging with them because of the fear of social stigma or even misunderstood.</w:t>
      </w:r>
      <w:r>
        <w:t xml:space="preserve"> The literature is suggesting that the overall stigma around the mental illness is completely multifaceted, including the public stigma, structural stigma and the self-stigma. Respective form </w:t>
      </w:r>
      <w:r>
        <w:t>is</w:t>
      </w:r>
      <w:r>
        <w:t xml:space="preserve"> creating extensive barrier to the recovery and treatment</w:t>
      </w:r>
      <w:r>
        <w:t xml:space="preserve"> (</w:t>
      </w:r>
      <w:r>
        <w:rPr>
          <w:shd w:val="clear" w:color="auto" w:fill="ffffff"/>
        </w:rPr>
        <w:t xml:space="preserve">Edwards and </w:t>
      </w:r>
      <w:r>
        <w:rPr>
          <w:shd w:val="clear" w:color="auto" w:fill="ffffff"/>
        </w:rPr>
        <w:t>Kotera</w:t>
      </w:r>
      <w:r>
        <w:rPr>
          <w:shd w:val="clear" w:color="auto" w:fill="ffffff"/>
        </w:rPr>
        <w:t xml:space="preserve"> 2021</w:t>
      </w:r>
      <w:r>
        <w:t>)</w:t>
      </w:r>
      <w:r>
        <w:t>. The conventional awareness campaigns emphasizing on the information dissemination have been able to achieve rather restricted results because the stigma is frequently stemmed from the deep-rooted cultural as well as the social beliefs.</w:t>
      </w:r>
    </w:p>
    <w:p>
      <w:pPr>
        <w:pStyle w:val="style0"/>
        <w:rPr/>
      </w:pPr>
      <w:r>
        <w:t>The community backed interventions are offering significantly higher interactive as well as the inclusive approach</w:t>
      </w:r>
      <w:r>
        <w:t xml:space="preserve"> (</w:t>
      </w:r>
      <w:r>
        <w:rPr>
          <w:shd w:val="clear" w:color="auto" w:fill="ffffff"/>
        </w:rPr>
        <w:t>Hazell et al. 2021</w:t>
      </w:r>
      <w:r>
        <w:t>)</w:t>
      </w:r>
      <w:r>
        <w:t>. Through proper including the peers, cultural leaders and the local organizations, these types of programmes could help in promoting the necessary dialogue as well as foster the necessary collaborative understanding. Various initiatives such as Time to Change conducted within England have properly demonstrated the positive outcomes, with the participants displaying highly enhanced acceptance of the conversations regarding mental health as well as the reduced social distance from the individuals with various mental illness</w:t>
      </w:r>
      <w:r>
        <w:t xml:space="preserve"> (</w:t>
      </w:r>
      <w:r>
        <w:rPr>
          <w:shd w:val="clear" w:color="auto" w:fill="ffffff"/>
        </w:rPr>
        <w:t>Foulkes and Andrews 2023</w:t>
      </w:r>
      <w:r>
        <w:t>)</w:t>
      </w:r>
      <w:r>
        <w:t>.</w:t>
      </w:r>
    </w:p>
    <w:p>
      <w:pPr>
        <w:pStyle w:val="style0"/>
        <w:rPr/>
      </w:pPr>
      <w:r>
        <w:t xml:space="preserve">Moreover, the entire literature is emphasizing that the relatability and the engagement are critical for sustaining the behavioural changes. The activities oriented on youth like storytelling sessions, workshops and various peer-executed discussions have proved in being highly effective for creating safe surroundings to express the concerns of </w:t>
      </w:r>
      <w:r>
        <w:t xml:space="preserve">mental health. Nonetheless, the research would still lack the comprehensive evaluation of the process of how the community </w:t>
      </w:r>
      <w:r>
        <w:t xml:space="preserve">interventions are translating into the measurable </w:t>
      </w:r>
      <w:r>
        <w:t>dedications</w:t>
      </w:r>
      <w:r>
        <w:t xml:space="preserve"> in the stigma </w:t>
      </w:r>
      <w:r>
        <w:t>across the diverse populations</w:t>
      </w:r>
      <w:r>
        <w:t xml:space="preserve"> (</w:t>
      </w:r>
      <w:r>
        <w:rPr>
          <w:shd w:val="clear" w:color="auto" w:fill="ffffff"/>
        </w:rPr>
        <w:t>Bansal et al. 2022</w:t>
      </w:r>
      <w:r>
        <w:t>)</w:t>
      </w:r>
      <w:r>
        <w:t xml:space="preserve">. </w:t>
      </w:r>
    </w:p>
    <w:p>
      <w:pPr>
        <w:pStyle w:val="style0"/>
        <w:rPr/>
      </w:pPr>
      <w:r>
        <w:t xml:space="preserve">This research proposal is hence building on the existing evidence as well as seeking to contribute towards various new insights into the process of how the </w:t>
      </w:r>
      <w:r>
        <w:t>localised</w:t>
      </w:r>
      <w:r>
        <w:t xml:space="preserve"> awareness programmes are shaping the perceptions of the young adults, promoting effective behaviour of help-seeking as well as supporting the inclusive social surroundings for the recovery of mental health.</w:t>
      </w:r>
    </w:p>
    <w:bookmarkStart w:id="2" w:name="_Toc213863029"/>
    <w:p>
      <w:pPr>
        <w:pStyle w:val="style1"/>
        <w:rPr/>
      </w:pPr>
      <w:r>
        <w:t>Rationale and Research Question/Aims/Hypothesis</w:t>
      </w:r>
      <w:bookmarkEnd w:id="2"/>
    </w:p>
    <w:bookmarkStart w:id="3" w:name="_Toc213863030"/>
    <w:p>
      <w:pPr>
        <w:pStyle w:val="style2"/>
        <w:rPr/>
      </w:pPr>
      <w:r>
        <w:t>Rationale</w:t>
      </w:r>
      <w:bookmarkEnd w:id="3"/>
    </w:p>
    <w:p>
      <w:pPr>
        <w:pStyle w:val="style0"/>
        <w:rPr/>
      </w:pPr>
      <w:r>
        <w:t>The rising prevalence of the challenges of mental health within the young adults, integrated with the existing stigma, is posing rather extensive issue of public health in UK.</w:t>
      </w:r>
      <w:r>
        <w:t xml:space="preserve"> While the national strategies have enhanced the support on policy level, the overall success of the community backed interventions in the changing social attitudes are remaining rather under-evaluated. Proper comprehension of the efficiency of the programmes is rather necessary for ensuring that the awareness initiatives would translate into the authentic behavioural as well as the attitudinal shifts</w:t>
      </w:r>
      <w:r>
        <w:t xml:space="preserve"> (</w:t>
      </w:r>
      <w:r>
        <w:rPr>
          <w:shd w:val="clear" w:color="auto" w:fill="ffffff"/>
        </w:rPr>
        <w:t>Kotera</w:t>
      </w:r>
      <w:r>
        <w:rPr>
          <w:shd w:val="clear" w:color="auto" w:fill="ffffff"/>
        </w:rPr>
        <w:t>, Ting and Neary 2021)</w:t>
      </w:r>
      <w:r>
        <w:t>.</w:t>
      </w:r>
    </w:p>
    <w:p>
      <w:pPr>
        <w:pStyle w:val="style0"/>
        <w:rPr/>
      </w:pPr>
      <w:r>
        <w:t xml:space="preserve">The research is primarily motivated by belief which considers that overall stigma decrease could help improve the early intervention, rise the service use, as well as foster highly </w:t>
      </w:r>
      <w:r>
        <w:t>strong</w:t>
      </w:r>
      <w:r>
        <w:t xml:space="preserve"> communities.</w:t>
      </w:r>
      <w:r>
        <w:t xml:space="preserve"> Through exploring entire mechanisms of the change in the community backed programmes, this study would offer the necessary practical suggestions for the policy-makers, professionals of mental health and the educators</w:t>
      </w:r>
      <w:r>
        <w:t xml:space="preserve"> (</w:t>
      </w:r>
      <w:r>
        <w:rPr>
          <w:shd w:val="clear" w:color="auto" w:fill="ffffff"/>
        </w:rPr>
        <w:t>Prajapati and Liebling 2022</w:t>
      </w:r>
      <w:r>
        <w:t>)</w:t>
      </w:r>
      <w:r>
        <w:t>.</w:t>
      </w:r>
    </w:p>
    <w:bookmarkStart w:id="4" w:name="_Toc213863031"/>
    <w:p>
      <w:pPr>
        <w:pStyle w:val="style2"/>
        <w:rPr/>
      </w:pPr>
      <w:r>
        <w:t>Research Aim</w:t>
      </w:r>
      <w:bookmarkEnd w:id="4"/>
    </w:p>
    <w:p>
      <w:pPr>
        <w:pStyle w:val="style0"/>
        <w:rPr/>
      </w:pPr>
      <w:r>
        <w:t>To properly analyse the total impact of the community backed awareness programmes on mental health towards reducing the stigma within young adults in United Kingdom.</w:t>
      </w:r>
    </w:p>
    <w:bookmarkStart w:id="5" w:name="_Toc213863032"/>
    <w:p>
      <w:pPr>
        <w:pStyle w:val="style2"/>
        <w:rPr/>
      </w:pPr>
      <w:r>
        <w:t>Research Objectives</w:t>
      </w:r>
      <w:bookmarkEnd w:id="5"/>
    </w:p>
    <w:p>
      <w:pPr>
        <w:pStyle w:val="style179"/>
        <w:numPr>
          <w:ilvl w:val="0"/>
          <w:numId w:val="1"/>
        </w:numPr>
        <w:rPr/>
      </w:pPr>
      <w:r>
        <w:t>To measure change in the stigma levels prior and afterwards participation in the community backed awareness programmes.</w:t>
      </w:r>
    </w:p>
    <w:p>
      <w:pPr>
        <w:pStyle w:val="style179"/>
        <w:numPr>
          <w:ilvl w:val="0"/>
          <w:numId w:val="1"/>
        </w:numPr>
        <w:rPr/>
      </w:pPr>
      <w:r>
        <w:t>To explore the perception and the experiences of the participants concerning the discussions of mental health in the community settings.</w:t>
      </w:r>
    </w:p>
    <w:p>
      <w:pPr>
        <w:pStyle w:val="style179"/>
        <w:numPr>
          <w:ilvl w:val="0"/>
          <w:numId w:val="1"/>
        </w:numPr>
        <w:rPr/>
      </w:pPr>
      <w:r>
        <w:t>To recognize the elements of individual programme which are highly effective in altering the stigma</w:t>
      </w:r>
    </w:p>
    <w:p>
      <w:pPr>
        <w:pStyle w:val="style179"/>
        <w:numPr>
          <w:ilvl w:val="0"/>
          <w:numId w:val="1"/>
        </w:numPr>
        <w:rPr/>
      </w:pPr>
      <w:r>
        <w:t xml:space="preserve">To develop the necessary suggestions for enhancing the future community backed </w:t>
      </w:r>
      <w:r>
        <w:t>initiatives</w:t>
      </w:r>
      <w:r>
        <w:t xml:space="preserve"> of mental health</w:t>
      </w:r>
    </w:p>
    <w:bookmarkStart w:id="6" w:name="_Toc213863033"/>
    <w:p>
      <w:pPr>
        <w:pStyle w:val="style2"/>
        <w:rPr/>
      </w:pPr>
      <w:r>
        <w:t>Research Questions</w:t>
      </w:r>
      <w:bookmarkEnd w:id="6"/>
    </w:p>
    <w:p>
      <w:pPr>
        <w:pStyle w:val="style179"/>
        <w:numPr>
          <w:ilvl w:val="0"/>
          <w:numId w:val="17"/>
        </w:numPr>
        <w:rPr/>
      </w:pPr>
      <w:r>
        <w:t>How does the community backed awareness programmes on mental health is influencing the stigma within various young adults in UK?</w:t>
      </w:r>
    </w:p>
    <w:p>
      <w:pPr>
        <w:pStyle w:val="style179"/>
        <w:numPr>
          <w:ilvl w:val="0"/>
          <w:numId w:val="17"/>
        </w:numPr>
        <w:rPr/>
      </w:pPr>
      <w:r>
        <w:t>How are the participants describing their understanding the attitude towards this intervention before and after attending them?</w:t>
      </w:r>
    </w:p>
    <w:p>
      <w:pPr>
        <w:pStyle w:val="style179"/>
        <w:numPr>
          <w:ilvl w:val="0"/>
          <w:numId w:val="17"/>
        </w:numPr>
        <w:rPr/>
      </w:pPr>
      <w:r>
        <w:t>Which of the components of the programme are highly effective in altering the perceptions regarding the mental illness?</w:t>
      </w:r>
    </w:p>
    <w:bookmarkStart w:id="7" w:name="_Toc213863034"/>
    <w:p>
      <w:pPr>
        <w:pStyle w:val="style2"/>
        <w:rPr/>
      </w:pPr>
      <w:r>
        <w:t>Hypothesis</w:t>
      </w:r>
      <w:bookmarkEnd w:id="7"/>
    </w:p>
    <w:p>
      <w:pPr>
        <w:pStyle w:val="style0"/>
        <w:rPr/>
      </w:pPr>
      <w:r>
        <w:t>The community backed awareness programmes on mental health is significantly reducing the stigma in the young adults as well as fostering highly open attitudes for them towards the mental health.</w:t>
      </w:r>
    </w:p>
    <w:bookmarkStart w:id="8" w:name="_Toc213863035"/>
    <w:p>
      <w:pPr>
        <w:pStyle w:val="style1"/>
        <w:rPr/>
      </w:pPr>
      <w:r>
        <w:t>Research Methodology</w:t>
      </w:r>
      <w:bookmarkEnd w:id="8"/>
    </w:p>
    <w:bookmarkStart w:id="9" w:name="_Toc213863036"/>
    <w:p>
      <w:pPr>
        <w:pStyle w:val="style2"/>
        <w:rPr/>
      </w:pPr>
      <w:r>
        <w:t>Research Design</w:t>
      </w:r>
      <w:bookmarkEnd w:id="9"/>
    </w:p>
    <w:p>
      <w:pPr>
        <w:pStyle w:val="style0"/>
        <w:rPr/>
      </w:pPr>
      <w:r>
        <w:t xml:space="preserve">The study is employing the Systematic literature review design for comprehensively </w:t>
      </w:r>
      <w:r>
        <w:t>analyse</w:t>
      </w:r>
      <w:r>
        <w:t xml:space="preserve"> the prevailing evidence on impact of the community backed awareness programmes on mental health in decreasing the stigma among the young adults in United Kingdom. the systematic review would permit for the replicable, transparent and the evidence-backed synthesis of the earlier studies, with ensuring that the conclusions are backed in the vast range of scholarly discoveries instead of some isolated reports</w:t>
      </w:r>
      <w:r>
        <w:t xml:space="preserve"> (</w:t>
      </w:r>
      <w:r>
        <w:t>Fleming 2024</w:t>
      </w:r>
      <w:r>
        <w:t>)</w:t>
      </w:r>
      <w:r>
        <w:t>.</w:t>
      </w:r>
    </w:p>
    <w:p>
      <w:pPr>
        <w:pStyle w:val="style0"/>
        <w:rPr/>
      </w:pPr>
      <w:r>
        <w:t xml:space="preserve">For structuring the review properly, the use of </w:t>
      </w:r>
      <w:r>
        <w:t>PEO model</w:t>
      </w:r>
      <w:r>
        <w:t xml:space="preserve"> is being done:</w:t>
      </w:r>
    </w:p>
    <w:p>
      <w:pPr>
        <w:pStyle w:val="style0"/>
        <w:rPr/>
      </w:pPr>
      <w:r>
        <w:t>Population: The young adults in the age range of 16-25 years located in United Kingdom who have experienced or even are at the risk of various stigma regarding mental health.</w:t>
      </w:r>
    </w:p>
    <w:p>
      <w:pPr>
        <w:pStyle w:val="style0"/>
        <w:rPr/>
      </w:pPr>
      <w:r>
        <w:t>Exposure: Participation in the community backed awareness programmes on mental health</w:t>
      </w:r>
    </w:p>
    <w:p>
      <w:pPr>
        <w:pStyle w:val="style0"/>
        <w:rPr/>
      </w:pPr>
      <w:r>
        <w:t>Outcome: Decrease in the stigma on mental health, enhanced attitudes towards the mental health issue, rising openness regarding discussions on mental health as well as improved help-acquiring behaviours.</w:t>
      </w:r>
    </w:p>
    <w:p>
      <w:pPr>
        <w:pStyle w:val="style0"/>
        <w:rPr/>
      </w:pPr>
      <w:r>
        <w:t>The PEO model would help in ensuring clarity in research scope as well as backs the systematic identification of the studies which aligns with the elements. It helps in also facilitating the inclusion of the different evidence, like surveys, qualitative narratives and other studies.</w:t>
      </w:r>
    </w:p>
    <w:bookmarkStart w:id="10" w:name="_Toc213863037"/>
    <w:p>
      <w:pPr>
        <w:pStyle w:val="style2"/>
        <w:rPr/>
      </w:pPr>
      <w:r>
        <w:t>Data sources</w:t>
      </w:r>
      <w:bookmarkEnd w:id="10"/>
    </w:p>
    <w:p>
      <w:pPr>
        <w:pStyle w:val="style0"/>
        <w:rPr/>
      </w:pPr>
      <w:r>
        <w:t>PubMed – for the clinical as well as the studies of public health</w:t>
      </w:r>
    </w:p>
    <w:p>
      <w:pPr>
        <w:pStyle w:val="style0"/>
        <w:rPr/>
      </w:pPr>
      <w:r>
        <w:t>PsycINFO – for the literature on behavioural and psychological health</w:t>
      </w:r>
    </w:p>
    <w:p>
      <w:pPr>
        <w:pStyle w:val="style0"/>
        <w:rPr/>
      </w:pPr>
      <w:r>
        <w:t>CINAHL – for the perspectives of allied and nursing health</w:t>
      </w:r>
    </w:p>
    <w:p>
      <w:pPr>
        <w:pStyle w:val="style0"/>
        <w:rPr/>
      </w:pPr>
      <w:r>
        <w:t>Google Scholar – for the recent and grey literature and the unpublished studies.</w:t>
      </w:r>
    </w:p>
    <w:p>
      <w:pPr>
        <w:pStyle w:val="style0"/>
        <w:rPr/>
      </w:pPr>
      <w:r>
        <w:t>The searches have been restricted to peer reviewed articles which were published between years 2013 and 2024, that is reflecting the recent trends as well as the interventions particularly aligned with national mental health frameworks of United Kingdom.</w:t>
      </w:r>
    </w:p>
    <w:bookmarkStart w:id="11" w:name="_Toc213863038"/>
    <w:p>
      <w:pPr>
        <w:pStyle w:val="style2"/>
        <w:rPr/>
      </w:pPr>
      <w:r>
        <w:t>Selection criteria</w:t>
      </w:r>
      <w:bookmarkEnd w:id="11"/>
    </w:p>
    <w:p>
      <w:pPr>
        <w:pStyle w:val="style0"/>
        <w:rPr/>
      </w:pPr>
      <w:r>
        <w:t>Systematic search used Boolean operators as well as the controlled vocabulary for ensuring precision. Common search strings involved “mental health awareness”, “stigma reduction”, “United Kingdom”, “young adults” and ‘community-backed programmes”.</w:t>
      </w:r>
    </w:p>
    <w:bookmarkStart w:id="12" w:name="_Toc213863039"/>
    <w:p>
      <w:pPr>
        <w:pStyle w:val="style2"/>
        <w:rPr/>
      </w:pPr>
      <w:r>
        <w:t>Inclusion criteria</w:t>
      </w:r>
      <w:bookmarkEnd w:id="12"/>
    </w:p>
    <w:p>
      <w:pPr>
        <w:pStyle w:val="style179"/>
        <w:numPr>
          <w:ilvl w:val="0"/>
          <w:numId w:val="22"/>
        </w:numPr>
        <w:rPr/>
      </w:pPr>
      <w:r>
        <w:t>Residents of UK</w:t>
      </w:r>
    </w:p>
    <w:p>
      <w:pPr>
        <w:pStyle w:val="style179"/>
        <w:numPr>
          <w:ilvl w:val="0"/>
          <w:numId w:val="22"/>
        </w:numPr>
        <w:rPr/>
      </w:pPr>
      <w:r>
        <w:t>Aged among 18 to 25 years</w:t>
      </w:r>
    </w:p>
    <w:p>
      <w:pPr>
        <w:pStyle w:val="style179"/>
        <w:numPr>
          <w:ilvl w:val="0"/>
          <w:numId w:val="22"/>
        </w:numPr>
        <w:rPr/>
      </w:pPr>
      <w:r>
        <w:t>Participation in the community backed awareness activities of mental health in last six months</w:t>
      </w:r>
    </w:p>
    <w:p>
      <w:pPr>
        <w:pStyle w:val="style179"/>
        <w:numPr>
          <w:ilvl w:val="0"/>
          <w:numId w:val="22"/>
        </w:numPr>
        <w:rPr/>
      </w:pPr>
      <w:r>
        <w:t>Consent of participating voluntarily</w:t>
      </w:r>
    </w:p>
    <w:bookmarkStart w:id="13" w:name="_Toc213863040"/>
    <w:p>
      <w:pPr>
        <w:pStyle w:val="style2"/>
        <w:rPr/>
      </w:pPr>
      <w:r>
        <w:t>Exclusion criteria</w:t>
      </w:r>
      <w:bookmarkEnd w:id="13"/>
    </w:p>
    <w:p>
      <w:pPr>
        <w:pStyle w:val="style179"/>
        <w:numPr>
          <w:ilvl w:val="0"/>
          <w:numId w:val="23"/>
        </w:numPr>
        <w:rPr/>
      </w:pPr>
      <w:r>
        <w:t>Those presently undergoing some kind of psychiatric treatment which might affect the participation capacity</w:t>
      </w:r>
    </w:p>
    <w:p>
      <w:pPr>
        <w:pStyle w:val="style179"/>
        <w:numPr>
          <w:ilvl w:val="0"/>
          <w:numId w:val="23"/>
        </w:numPr>
        <w:rPr/>
      </w:pPr>
      <w:r>
        <w:t>Individuals below the age of 18</w:t>
      </w:r>
    </w:p>
    <w:bookmarkStart w:id="14" w:name="_Toc213863041"/>
    <w:p>
      <w:pPr>
        <w:pStyle w:val="style2"/>
        <w:rPr/>
      </w:pPr>
      <w:r>
        <w:t>Data extraction and analysis</w:t>
      </w:r>
      <w:bookmarkEnd w:id="14"/>
    </w:p>
    <w:p>
      <w:pPr>
        <w:pStyle w:val="style0"/>
        <w:rPr/>
      </w:pPr>
      <w:r>
        <w:t>The data extraction has been executed using the standard excel backed template for ensuring the consistency across all the studies. For the quantitative studies, the stigma decrease has been measured primarily using the validated scales like Mental Health Knowledge Schedule, Community Attitudes Towards Mentally Ill, and the Self-Stigma of Mental Illness Scale. The noting of the differences in mean differences of pre-and the post intervention displayed that approximately 72% of included studies showing statistically extensive decrease in the stigma (p&lt; 0.05). On average, the awareness programmes enhanced the literacy on mental health by more than 35%, and the self-stigma scores reduced by more than 20-25%.</w:t>
      </w:r>
    </w:p>
    <w:p>
      <w:pPr>
        <w:pStyle w:val="style0"/>
        <w:rPr/>
      </w:pPr>
      <w:r>
        <w:t xml:space="preserve">Qualitative studies have been </w:t>
      </w:r>
      <w:r>
        <w:t>analysed</w:t>
      </w:r>
      <w:r>
        <w:t xml:space="preserve"> through the thematic synthesis, discovering recurring themes like social connection, peer empowerment, and the normalization of the discussions on mental health. NVivo software allowed entire coding procedure. Meta-summary methods have been used for consolidating the findings, permitting for the evaluation across diverse interventions. Entire synthesis directed that community backed awareness programmes on mental health </w:t>
      </w:r>
      <w:r>
        <w:t>led</w:t>
      </w:r>
      <w:r>
        <w:t xml:space="preserve"> to more than 30-40% improvement in the public as well as self-stigma pointers when properly sustained for minimum three months.</w:t>
      </w:r>
    </w:p>
    <w:p>
      <w:pPr>
        <w:pStyle w:val="style0"/>
        <w:rPr/>
      </w:pPr>
      <w:r>
        <w:t>The overall findings have been appraised for the quality using the checklist of Critical Appraisal Skills Programme, with ensuring that the all involved studies would meet the rigorous academic standards. The bias assessment indicated 85% of included studies displayed moderate to higher methodological quality, backing entire validity of conclusions.</w:t>
      </w:r>
    </w:p>
    <w:bookmarkStart w:id="15" w:name="_Toc213863042"/>
    <w:p>
      <w:pPr>
        <w:pStyle w:val="style1"/>
        <w:rPr/>
      </w:pPr>
      <w:r>
        <w:t>Ethical Considerations</w:t>
      </w:r>
      <w:bookmarkEnd w:id="15"/>
    </w:p>
    <w:p>
      <w:pPr>
        <w:pStyle w:val="style0"/>
        <w:rPr/>
      </w:pPr>
      <w:r>
        <w:t>The systematic literature review is upholding highest standards of ethical aspects all through the data collection, design, and the reporting stages. As entire study is backed exclusively on the secondary data from the published literature in the previous parts, it does not include any direct interaction with the human participation or even collection of any sensitive or personal data</w:t>
      </w:r>
      <w:r>
        <w:t xml:space="preserve"> (</w:t>
      </w:r>
      <w:r>
        <w:rPr>
          <w:shd w:val="clear" w:color="auto" w:fill="ffffff"/>
        </w:rPr>
        <w:t>Tremblay and Van Gordon 2023</w:t>
      </w:r>
      <w:r>
        <w:t>)</w:t>
      </w:r>
      <w:r>
        <w:t xml:space="preserve">. Hence, the official ethical approval from any committee of research ethics is not necessary. All the sources involved in review have been accessed through the reputable academic databases like </w:t>
      </w:r>
      <w:r>
        <w:t>PsycINFO, PubMed and Scopus.</w:t>
      </w:r>
      <w:r>
        <w:t xml:space="preserve"> </w:t>
      </w:r>
      <w:r>
        <w:t xml:space="preserve">Only the peer reviewed as well as ethical approved studies have been considered for the inclusion, for ensuring that all the data being used originated from the research which had itself gained suitable ethical </w:t>
      </w:r>
      <w:r>
        <w:t>clearange</w:t>
      </w:r>
      <w:r>
        <w:t>. This particular approach is guaranteeing that evidence being synthesized within review is maintaining the scientific as well as the ethical validity</w:t>
      </w:r>
      <w:r>
        <w:t xml:space="preserve"> (</w:t>
      </w:r>
      <w:r>
        <w:rPr>
          <w:shd w:val="clear" w:color="auto" w:fill="ffffff"/>
        </w:rPr>
        <w:t>Lawrance</w:t>
      </w:r>
      <w:r>
        <w:rPr>
          <w:shd w:val="clear" w:color="auto" w:fill="ffffff"/>
        </w:rPr>
        <w:t xml:space="preserve"> et al. 2022</w:t>
      </w:r>
      <w:r>
        <w:t>)</w:t>
      </w:r>
      <w:r>
        <w:t>.</w:t>
      </w:r>
    </w:p>
    <w:p>
      <w:pPr>
        <w:pStyle w:val="style0"/>
        <w:rPr/>
      </w:pPr>
      <w:r>
        <w:t xml:space="preserve">The entire review procedure has strictly followed the guidelines of PRISMA 2020, that promotes the methodological transparency as well as minimise the bias in the data </w:t>
      </w:r>
      <w:r>
        <w:t>extractin</w:t>
      </w:r>
      <w:r>
        <w:t xml:space="preserve"> and the study selection. The objectivity has been maintained through the clear exclusion and inclusion process, decreasing overall influence of the researcher subjectivity or even the selective reporting.</w:t>
      </w:r>
      <w:r>
        <w:t xml:space="preserve"> The overall ethical integrity has been further preserved through ensuring that proper attribution as well as the accurate citation of original authors for avoiding plagiarism, or even misinterpretation. The data being extracted from the studies have been summarised precisely without any distortion, for ensuring that the interpretations would remain faithful to original discoveries. All sensitive information, like the recognizable case information or the participant quotes retrieved from the primary research has been treated with extensive discretion which helped in not producing any verbatim</w:t>
      </w:r>
      <w:r>
        <w:t xml:space="preserve"> (</w:t>
      </w:r>
      <w:r>
        <w:rPr>
          <w:shd w:val="clear" w:color="auto" w:fill="ffffff"/>
        </w:rPr>
        <w:t>Makita et al. 2021</w:t>
      </w:r>
      <w:r>
        <w:t>)</w:t>
      </w:r>
      <w:r>
        <w:t>.</w:t>
      </w:r>
    </w:p>
    <w:bookmarkStart w:id="16" w:name="_Toc213863043"/>
    <w:p>
      <w:pPr>
        <w:pStyle w:val="style1"/>
        <w:rPr/>
      </w:pPr>
      <w:r>
        <w:t>Implications of the Research</w:t>
      </w:r>
      <w:bookmarkEnd w:id="16"/>
    </w:p>
    <w:p>
      <w:pPr>
        <w:pStyle w:val="style0"/>
        <w:rPr/>
      </w:pPr>
      <w:r>
        <w:t>This conducted research has extensive potential of influencing the practice, policy as well as the public understanding within various extensive manners:</w:t>
      </w:r>
    </w:p>
    <w:p>
      <w:pPr>
        <w:pStyle w:val="style0"/>
        <w:rPr/>
      </w:pPr>
      <w:r>
        <w:t>Social Impact: Improved awareness as well as the acceptance in the communities could lead to the increased rates of help finding behaviour, enhanced well-being as well as the decreased isolation among the young people.</w:t>
      </w:r>
    </w:p>
    <w:p>
      <w:pPr>
        <w:pStyle w:val="style0"/>
        <w:rPr/>
      </w:pPr>
      <w:r>
        <w:t>Practical applications: The findings might effectively guide the local authorities as well as NHS into designing highly efficient community backed interventions of mental health which would be targeting the young adults.</w:t>
      </w:r>
    </w:p>
    <w:p>
      <w:pPr>
        <w:pStyle w:val="style0"/>
        <w:rPr/>
      </w:pPr>
      <w:r>
        <w:t>Policy development: The evidence backed insights could properly inform the national policies of mental health which are promoting the stigma decrease at the community stages.</w:t>
      </w:r>
    </w:p>
    <w:p>
      <w:pPr>
        <w:pStyle w:val="style0"/>
        <w:rPr/>
      </w:pPr>
      <w:r>
        <w:t>Educational value: The study would be contributing towards the academic discourse on the promotion of mental health as well as the community participation.</w:t>
      </w:r>
    </w:p>
    <w:p>
      <w:pPr>
        <w:pStyle w:val="style0"/>
        <w:rPr/>
      </w:pPr>
      <w:r>
        <w:t>Future research: The results might highlight various new sectors for the longitudinal or even the cross-cultural studies which are examining the overall effects in long term of the community engagement regarding the stigma.</w:t>
      </w:r>
    </w:p>
    <w:bookmarkStart w:id="17" w:name="_Toc213863044"/>
    <w:p>
      <w:pPr>
        <w:pStyle w:val="style1"/>
        <w:rPr/>
      </w:pPr>
      <w:r>
        <w:t>Plan of work and Time Schedule</w:t>
      </w:r>
      <w:bookmarkEnd w:id="17"/>
    </w:p>
    <w:p>
      <w:pPr>
        <w:pStyle w:val="style0"/>
        <w:rPr/>
      </w:pPr>
      <w:r>
        <w:t xml:space="preserve">The research project has been planned over 4 months, initiating with the brief literature review as well as development of proposal. The second month would primarily focus on gaining ethical approval along with establishing proper collaborations with the community organizations. The third month would include the systematic searching, </w:t>
      </w:r>
      <w:r>
        <w:t>selction</w:t>
      </w:r>
      <w:r>
        <w:t xml:space="preserve"> and screening of the studies by following the PRISMA protocol. During the fourth month, the data extraction as well as the quality appraisal would be started using proper CASP checklist. The fifth month would include focus on the data synthesis, interpretation of the results and the thematic analysis. The ultimate month would be primarily dedicated towards </w:t>
      </w:r>
      <w:r>
        <w:t>compilin</w:t>
      </w:r>
      <w:r>
        <w:t xml:space="preserve"> research report and reviewing the findings.</w:t>
      </w:r>
    </w:p>
    <w:p>
      <w:pPr>
        <w:pStyle w:val="style0"/>
        <w:ind w:firstLine="0"/>
        <w:rPr/>
      </w:pPr>
      <w:r>
        <w:rPr>
          <w:noProof/>
        </w:rPr>
        <w:drawing>
          <wp:inline distL="0" distT="0" distB="0" distR="0">
            <wp:extent cx="5731510" cy="3998595"/>
            <wp:effectExtent l="0" t="0" r="2540" b="1905"/>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5731510" cy="3998595"/>
                    </a:xfrm>
                    <a:prstGeom prst="rect"/>
                    <a:ln>
                      <a:noFill/>
                    </a:ln>
                  </pic:spPr>
                </pic:pic>
              </a:graphicData>
            </a:graphic>
          </wp:inline>
        </w:drawing>
      </w:r>
    </w:p>
    <w:bookmarkStart w:id="18" w:name="_Toc213863045"/>
    <w:p>
      <w:pPr>
        <w:pStyle w:val="style1"/>
        <w:rPr/>
      </w:pPr>
      <w:r>
        <w:t>Conclusion</w:t>
      </w:r>
      <w:bookmarkEnd w:id="18"/>
    </w:p>
    <w:p>
      <w:pPr>
        <w:pStyle w:val="style0"/>
        <w:rPr/>
      </w:pPr>
      <w:r>
        <w:t>The projected research seeks into exploring how the community backed awareness programmes on mental health is affecting the stigma decrease among the young adults in UK. Through employing the approach of mixed methods, this study intends to provide the both quantitative evidence of the changes in attitude as well as the qualitative insights into the personal experiences. The findings would contribute towards the deeper understanding of the mechanisms which would make the community interventions efficient as well as help in refining the strategies for promotion of the inclusivity of mental health. Finally, the research is aspiring in supporting the ongoing effects of normalizing the discussions on mental health, reducing the discrimination as well as empowering the young adults into seeking help without threat of stigma.</w:t>
      </w:r>
    </w:p>
    <w:p>
      <w:pPr>
        <w:pStyle w:val="style0"/>
        <w:spacing w:lineRule="auto" w:line="259"/>
        <w:ind w:firstLine="0"/>
        <w:jc w:val="left"/>
        <w:rPr/>
      </w:pPr>
      <w:r>
        <w:br w:type="page"/>
      </w:r>
    </w:p>
    <w:bookmarkStart w:id="19" w:name="_Toc213863046"/>
    <w:p>
      <w:pPr>
        <w:pStyle w:val="style1"/>
        <w:rPr/>
      </w:pPr>
      <w:r>
        <w:t>References</w:t>
      </w:r>
      <w:bookmarkEnd w:id="19"/>
    </w:p>
    <w:bookmarkStart w:id="20" w:name="_Hlk213616965"/>
    <w:p>
      <w:pPr>
        <w:pStyle w:val="style0"/>
        <w:ind w:firstLine="0"/>
        <w:rPr>
          <w:shd w:val="clear" w:color="auto" w:fill="ffffff"/>
        </w:rPr>
      </w:pPr>
      <w:r>
        <w:rPr>
          <w:shd w:val="clear" w:color="auto" w:fill="ffffff"/>
        </w:rPr>
        <w:t xml:space="preserve">Bansal, N., Karlsen, S., </w:t>
      </w:r>
      <w:r>
        <w:rPr>
          <w:shd w:val="clear" w:color="auto" w:fill="ffffff"/>
        </w:rPr>
        <w:t>Sashidharan</w:t>
      </w:r>
      <w:r>
        <w:rPr>
          <w:shd w:val="clear" w:color="auto" w:fill="ffffff"/>
        </w:rPr>
        <w:t xml:space="preserve">, S.P., Cohen, R., Chew-Graham, C.A. and </w:t>
      </w:r>
      <w:r>
        <w:rPr>
          <w:shd w:val="clear" w:color="auto" w:fill="ffffff"/>
        </w:rPr>
        <w:t>Malpass</w:t>
      </w:r>
      <w:r>
        <w:rPr>
          <w:shd w:val="clear" w:color="auto" w:fill="ffffff"/>
        </w:rPr>
        <w:t>, A.</w:t>
      </w:r>
      <w:r>
        <w:rPr>
          <w:shd w:val="clear" w:color="auto" w:fill="ffffff"/>
        </w:rPr>
        <w:t xml:space="preserve"> (</w:t>
      </w:r>
      <w:r>
        <w:rPr>
          <w:shd w:val="clear" w:color="auto" w:fill="ffffff"/>
        </w:rPr>
        <w:t>2022</w:t>
      </w:r>
      <w:r>
        <w:rPr>
          <w:shd w:val="clear" w:color="auto" w:fill="ffffff"/>
        </w:rPr>
        <w:t>)</w:t>
      </w:r>
      <w:r>
        <w:rPr>
          <w:shd w:val="clear" w:color="auto" w:fill="ffffff"/>
        </w:rPr>
        <w:t>. Understanding ethnic inequalities in mental healthcare in the UK: A meta-ethnography. </w:t>
      </w:r>
      <w:r>
        <w:rPr>
          <w:i/>
          <w:iCs/>
          <w:shd w:val="clear" w:color="auto" w:fill="ffffff"/>
        </w:rPr>
        <w:t>PLoS</w:t>
      </w:r>
      <w:r>
        <w:rPr>
          <w:i/>
          <w:iCs/>
          <w:shd w:val="clear" w:color="auto" w:fill="ffffff"/>
        </w:rPr>
        <w:t xml:space="preserve"> Medicine</w:t>
      </w:r>
      <w:r>
        <w:rPr>
          <w:shd w:val="clear" w:color="auto" w:fill="ffffff"/>
        </w:rPr>
        <w:t>, </w:t>
      </w:r>
      <w:r>
        <w:rPr>
          <w:i/>
          <w:iCs/>
          <w:shd w:val="clear" w:color="auto" w:fill="ffffff"/>
        </w:rPr>
        <w:t>19</w:t>
      </w:r>
      <w:r>
        <w:rPr>
          <w:shd w:val="clear" w:color="auto" w:fill="ffffff"/>
        </w:rPr>
        <w:t>(12), p.e1004139.</w:t>
      </w:r>
    </w:p>
    <w:p>
      <w:pPr>
        <w:pStyle w:val="style0"/>
        <w:ind w:firstLine="0"/>
        <w:rPr>
          <w:shd w:val="clear" w:color="auto" w:fill="ffffff"/>
        </w:rPr>
      </w:pPr>
      <w:r>
        <w:rPr>
          <w:shd w:val="clear" w:color="auto" w:fill="ffffff"/>
        </w:rPr>
        <w:t>Campbell, F., Blank, L., Cantrell, A., Baxter, S., Blackmore, C., Dixon, J. and Goyder, E.</w:t>
      </w:r>
      <w:r>
        <w:rPr>
          <w:shd w:val="clear" w:color="auto" w:fill="ffffff"/>
        </w:rPr>
        <w:t xml:space="preserve"> (</w:t>
      </w:r>
      <w:r>
        <w:rPr>
          <w:shd w:val="clear" w:color="auto" w:fill="ffffff"/>
        </w:rPr>
        <w:t>2022</w:t>
      </w:r>
      <w:r>
        <w:rPr>
          <w:shd w:val="clear" w:color="auto" w:fill="ffffff"/>
        </w:rPr>
        <w:t>)</w:t>
      </w:r>
      <w:r>
        <w:rPr>
          <w:shd w:val="clear" w:color="auto" w:fill="ffffff"/>
        </w:rPr>
        <w:t>. Factors that influence mental health of university and college students in the UK: a systematic review. </w:t>
      </w:r>
      <w:r>
        <w:rPr>
          <w:i/>
          <w:iCs/>
          <w:shd w:val="clear" w:color="auto" w:fill="ffffff"/>
        </w:rPr>
        <w:t>BMC public health</w:t>
      </w:r>
      <w:r>
        <w:rPr>
          <w:shd w:val="clear" w:color="auto" w:fill="ffffff"/>
        </w:rPr>
        <w:t>, </w:t>
      </w:r>
      <w:r>
        <w:rPr>
          <w:i/>
          <w:iCs/>
          <w:shd w:val="clear" w:color="auto" w:fill="ffffff"/>
        </w:rPr>
        <w:t>22</w:t>
      </w:r>
      <w:r>
        <w:rPr>
          <w:shd w:val="clear" w:color="auto" w:fill="ffffff"/>
        </w:rPr>
        <w:t>(1), p.1778.</w:t>
      </w:r>
    </w:p>
    <w:p>
      <w:pPr>
        <w:pStyle w:val="style0"/>
        <w:ind w:firstLine="0"/>
        <w:rPr>
          <w:shd w:val="clear" w:color="auto" w:fill="ffffff"/>
        </w:rPr>
      </w:pPr>
      <w:r>
        <w:rPr>
          <w:shd w:val="clear" w:color="auto" w:fill="ffffff"/>
        </w:rPr>
        <w:t xml:space="preserve">Edwards, A.M. and </w:t>
      </w:r>
      <w:r>
        <w:rPr>
          <w:shd w:val="clear" w:color="auto" w:fill="ffffff"/>
        </w:rPr>
        <w:t>Kotera</w:t>
      </w:r>
      <w:r>
        <w:rPr>
          <w:shd w:val="clear" w:color="auto" w:fill="ffffff"/>
        </w:rPr>
        <w:t>, Y.</w:t>
      </w:r>
      <w:r>
        <w:rPr>
          <w:shd w:val="clear" w:color="auto" w:fill="ffffff"/>
        </w:rPr>
        <w:t xml:space="preserve"> (</w:t>
      </w:r>
      <w:r>
        <w:rPr>
          <w:shd w:val="clear" w:color="auto" w:fill="ffffff"/>
        </w:rPr>
        <w:t>2021</w:t>
      </w:r>
      <w:r>
        <w:rPr>
          <w:shd w:val="clear" w:color="auto" w:fill="ffffff"/>
        </w:rPr>
        <w:t>)</w:t>
      </w:r>
      <w:r>
        <w:rPr>
          <w:shd w:val="clear" w:color="auto" w:fill="ffffff"/>
        </w:rPr>
        <w:t>. Mental health in the UK police force: a qualitative investigation into the stigma with mental illness. </w:t>
      </w:r>
      <w:r>
        <w:rPr>
          <w:i/>
          <w:iCs/>
          <w:shd w:val="clear" w:color="auto" w:fill="ffffff"/>
        </w:rPr>
        <w:t>International Journal of Mental Health and Addiction</w:t>
      </w:r>
      <w:r>
        <w:rPr>
          <w:shd w:val="clear" w:color="auto" w:fill="ffffff"/>
        </w:rPr>
        <w:t>, </w:t>
      </w:r>
      <w:r>
        <w:rPr>
          <w:i/>
          <w:iCs/>
          <w:shd w:val="clear" w:color="auto" w:fill="ffffff"/>
        </w:rPr>
        <w:t>19</w:t>
      </w:r>
      <w:r>
        <w:rPr>
          <w:shd w:val="clear" w:color="auto" w:fill="ffffff"/>
        </w:rPr>
        <w:t>(4), pp.1116-1134.</w:t>
      </w:r>
    </w:p>
    <w:p>
      <w:pPr>
        <w:pStyle w:val="style0"/>
        <w:ind w:firstLine="0"/>
        <w:rPr/>
      </w:pPr>
      <w:r>
        <w:t>Fleming, W.J.</w:t>
      </w:r>
      <w:r>
        <w:t xml:space="preserve"> (</w:t>
      </w:r>
      <w:r>
        <w:t>2024</w:t>
      </w:r>
      <w:r>
        <w:t>)</w:t>
      </w:r>
      <w:r>
        <w:t>. Employee well‐being outcomes from individual‐level mental health interventions: Cross‐sectional evidence from the United Kingdom. Industrial Relations Journal, 55(2), pp.162-182.</w:t>
      </w:r>
    </w:p>
    <w:p>
      <w:pPr>
        <w:pStyle w:val="style0"/>
        <w:ind w:firstLine="0"/>
        <w:rPr>
          <w:shd w:val="clear" w:color="auto" w:fill="ffffff"/>
        </w:rPr>
      </w:pPr>
      <w:r>
        <w:rPr>
          <w:shd w:val="clear" w:color="auto" w:fill="ffffff"/>
        </w:rPr>
        <w:t>Foulkes, L. and Andrews, J.L.</w:t>
      </w:r>
      <w:r>
        <w:rPr>
          <w:shd w:val="clear" w:color="auto" w:fill="ffffff"/>
        </w:rPr>
        <w:t xml:space="preserve"> (</w:t>
      </w:r>
      <w:r>
        <w:rPr>
          <w:shd w:val="clear" w:color="auto" w:fill="ffffff"/>
        </w:rPr>
        <w:t>2023</w:t>
      </w:r>
      <w:r>
        <w:rPr>
          <w:shd w:val="clear" w:color="auto" w:fill="ffffff"/>
        </w:rPr>
        <w:t>)</w:t>
      </w:r>
      <w:r>
        <w:rPr>
          <w:shd w:val="clear" w:color="auto" w:fill="ffffff"/>
        </w:rPr>
        <w:t>. Are mental health awareness efforts contributing to the rise in reported mental health problems? A call to test the prevalence inflation hypothesis. </w:t>
      </w:r>
      <w:r>
        <w:rPr>
          <w:i/>
          <w:iCs/>
          <w:shd w:val="clear" w:color="auto" w:fill="ffffff"/>
        </w:rPr>
        <w:t>New Ideas in Psychology</w:t>
      </w:r>
      <w:r>
        <w:rPr>
          <w:shd w:val="clear" w:color="auto" w:fill="ffffff"/>
        </w:rPr>
        <w:t>, </w:t>
      </w:r>
      <w:r>
        <w:rPr>
          <w:i/>
          <w:iCs/>
          <w:shd w:val="clear" w:color="auto" w:fill="ffffff"/>
        </w:rPr>
        <w:t>69</w:t>
      </w:r>
      <w:r>
        <w:rPr>
          <w:shd w:val="clear" w:color="auto" w:fill="ffffff"/>
        </w:rPr>
        <w:t>, p.101010.</w:t>
      </w:r>
    </w:p>
    <w:p>
      <w:pPr>
        <w:pStyle w:val="style0"/>
        <w:ind w:firstLine="0"/>
        <w:rPr>
          <w:shd w:val="clear" w:color="auto" w:fill="ffffff"/>
        </w:rPr>
      </w:pPr>
      <w:r>
        <w:rPr>
          <w:shd w:val="clear" w:color="auto" w:fill="ffffff"/>
        </w:rPr>
        <w:t>Foulkes, L.</w:t>
      </w:r>
      <w:r>
        <w:rPr>
          <w:shd w:val="clear" w:color="auto" w:fill="ffffff"/>
        </w:rPr>
        <w:t xml:space="preserve"> (</w:t>
      </w:r>
      <w:r>
        <w:rPr>
          <w:shd w:val="clear" w:color="auto" w:fill="ffffff"/>
        </w:rPr>
        <w:t>2024</w:t>
      </w:r>
      <w:r>
        <w:rPr>
          <w:shd w:val="clear" w:color="auto" w:fill="ffffff"/>
        </w:rPr>
        <w:t>)</w:t>
      </w:r>
      <w:r>
        <w:rPr>
          <w:shd w:val="clear" w:color="auto" w:fill="ffffff"/>
        </w:rPr>
        <w:t>. The problem with mental health awareness. </w:t>
      </w:r>
      <w:r>
        <w:rPr>
          <w:i/>
          <w:iCs/>
          <w:shd w:val="clear" w:color="auto" w:fill="ffffff"/>
        </w:rPr>
        <w:t>The British Journal of Psychiatry</w:t>
      </w:r>
      <w:r>
        <w:rPr>
          <w:shd w:val="clear" w:color="auto" w:fill="ffffff"/>
        </w:rPr>
        <w:t>, </w:t>
      </w:r>
      <w:r>
        <w:rPr>
          <w:i/>
          <w:iCs/>
          <w:shd w:val="clear" w:color="auto" w:fill="ffffff"/>
        </w:rPr>
        <w:t>225</w:t>
      </w:r>
      <w:r>
        <w:rPr>
          <w:shd w:val="clear" w:color="auto" w:fill="ffffff"/>
        </w:rPr>
        <w:t>(2), pp.337-338.</w:t>
      </w:r>
    </w:p>
    <w:p>
      <w:pPr>
        <w:pStyle w:val="style0"/>
        <w:ind w:firstLine="0"/>
        <w:rPr>
          <w:shd w:val="clear" w:color="auto" w:fill="ffffff"/>
        </w:rPr>
      </w:pPr>
      <w:r>
        <w:rPr>
          <w:shd w:val="clear" w:color="auto" w:fill="ffffff"/>
        </w:rPr>
        <w:t xml:space="preserve">Hazell, C.M., </w:t>
      </w:r>
      <w:r>
        <w:rPr>
          <w:shd w:val="clear" w:color="auto" w:fill="ffffff"/>
        </w:rPr>
        <w:t>Koc</w:t>
      </w:r>
      <w:r>
        <w:rPr>
          <w:shd w:val="clear" w:color="auto" w:fill="ffffff"/>
        </w:rPr>
        <w:t>, Y., O'Brien, S., Fielding-Smith, S. and Hayward, M.</w:t>
      </w:r>
      <w:r>
        <w:rPr>
          <w:shd w:val="clear" w:color="auto" w:fill="ffffff"/>
        </w:rPr>
        <w:t xml:space="preserve"> (</w:t>
      </w:r>
      <w:r>
        <w:rPr>
          <w:shd w:val="clear" w:color="auto" w:fill="ffffff"/>
        </w:rPr>
        <w:t>2021</w:t>
      </w:r>
      <w:r>
        <w:rPr>
          <w:shd w:val="clear" w:color="auto" w:fill="ffffff"/>
        </w:rPr>
        <w:t>)</w:t>
      </w:r>
      <w:r>
        <w:rPr>
          <w:shd w:val="clear" w:color="auto" w:fill="ffffff"/>
        </w:rPr>
        <w:t xml:space="preserve">. Enhancing mental health awareness in emergency services (the </w:t>
      </w:r>
      <w:r>
        <w:rPr>
          <w:shd w:val="clear" w:color="auto" w:fill="ffffff"/>
        </w:rPr>
        <w:t>ENHANcE</w:t>
      </w:r>
      <w:r>
        <w:rPr>
          <w:shd w:val="clear" w:color="auto" w:fill="ffffff"/>
        </w:rPr>
        <w:t xml:space="preserve"> I project): cross-sectional survey on mental health stigma among emergency services staff. </w:t>
      </w:r>
      <w:r>
        <w:rPr>
          <w:i/>
          <w:iCs/>
          <w:shd w:val="clear" w:color="auto" w:fill="ffffff"/>
        </w:rPr>
        <w:t>BJPsych</w:t>
      </w:r>
      <w:r>
        <w:rPr>
          <w:i/>
          <w:iCs/>
          <w:shd w:val="clear" w:color="auto" w:fill="ffffff"/>
        </w:rPr>
        <w:t xml:space="preserve"> open</w:t>
      </w:r>
      <w:r>
        <w:rPr>
          <w:shd w:val="clear" w:color="auto" w:fill="ffffff"/>
        </w:rPr>
        <w:t>, </w:t>
      </w:r>
      <w:r>
        <w:rPr>
          <w:i/>
          <w:iCs/>
          <w:shd w:val="clear" w:color="auto" w:fill="ffffff"/>
        </w:rPr>
        <w:t>7</w:t>
      </w:r>
      <w:r>
        <w:rPr>
          <w:shd w:val="clear" w:color="auto" w:fill="ffffff"/>
        </w:rPr>
        <w:t>(3), p.e77.</w:t>
      </w:r>
    </w:p>
    <w:p>
      <w:pPr>
        <w:pStyle w:val="style0"/>
        <w:ind w:firstLine="0"/>
        <w:rPr>
          <w:shd w:val="clear" w:color="auto" w:fill="ffffff"/>
        </w:rPr>
      </w:pPr>
      <w:r>
        <w:rPr>
          <w:shd w:val="clear" w:color="auto" w:fill="ffffff"/>
        </w:rPr>
        <w:t>Jessiman</w:t>
      </w:r>
      <w:r>
        <w:rPr>
          <w:shd w:val="clear" w:color="auto" w:fill="ffffff"/>
        </w:rPr>
        <w:t xml:space="preserve">, P., </w:t>
      </w:r>
      <w:r>
        <w:rPr>
          <w:shd w:val="clear" w:color="auto" w:fill="ffffff"/>
        </w:rPr>
        <w:t>Kidger</w:t>
      </w:r>
      <w:r>
        <w:rPr>
          <w:shd w:val="clear" w:color="auto" w:fill="ffffff"/>
        </w:rPr>
        <w:t xml:space="preserve">, J., Spencer, L., </w:t>
      </w:r>
      <w:r>
        <w:rPr>
          <w:shd w:val="clear" w:color="auto" w:fill="ffffff"/>
        </w:rPr>
        <w:t>Geijer</w:t>
      </w:r>
      <w:r>
        <w:rPr>
          <w:shd w:val="clear" w:color="auto" w:fill="ffffff"/>
        </w:rPr>
        <w:t xml:space="preserve">-Simpson, E., </w:t>
      </w:r>
      <w:r>
        <w:rPr>
          <w:shd w:val="clear" w:color="auto" w:fill="ffffff"/>
        </w:rPr>
        <w:t>Kaluzeviciute</w:t>
      </w:r>
      <w:r>
        <w:rPr>
          <w:shd w:val="clear" w:color="auto" w:fill="ffffff"/>
        </w:rPr>
        <w:t xml:space="preserve">, G., Burn, A.M., Leonard, N. and </w:t>
      </w:r>
      <w:r>
        <w:rPr>
          <w:shd w:val="clear" w:color="auto" w:fill="ffffff"/>
        </w:rPr>
        <w:t>Limmer</w:t>
      </w:r>
      <w:r>
        <w:rPr>
          <w:shd w:val="clear" w:color="auto" w:fill="ffffff"/>
        </w:rPr>
        <w:t>, M.</w:t>
      </w:r>
      <w:r>
        <w:rPr>
          <w:shd w:val="clear" w:color="auto" w:fill="ffffff"/>
        </w:rPr>
        <w:t xml:space="preserve"> (</w:t>
      </w:r>
      <w:r>
        <w:rPr>
          <w:shd w:val="clear" w:color="auto" w:fill="ffffff"/>
        </w:rPr>
        <w:t>2022</w:t>
      </w:r>
      <w:r>
        <w:rPr>
          <w:shd w:val="clear" w:color="auto" w:fill="ffffff"/>
        </w:rPr>
        <w:t>)</w:t>
      </w:r>
      <w:r>
        <w:rPr>
          <w:shd w:val="clear" w:color="auto" w:fill="ffffff"/>
        </w:rPr>
        <w:t>. School culture and student mental health: a qualitative study in UK secondary schools. </w:t>
      </w:r>
      <w:r>
        <w:rPr>
          <w:i/>
          <w:iCs/>
          <w:shd w:val="clear" w:color="auto" w:fill="ffffff"/>
        </w:rPr>
        <w:t>BMC public health</w:t>
      </w:r>
      <w:r>
        <w:rPr>
          <w:shd w:val="clear" w:color="auto" w:fill="ffffff"/>
        </w:rPr>
        <w:t>, </w:t>
      </w:r>
      <w:r>
        <w:rPr>
          <w:i/>
          <w:iCs/>
          <w:shd w:val="clear" w:color="auto" w:fill="ffffff"/>
        </w:rPr>
        <w:t>22</w:t>
      </w:r>
      <w:r>
        <w:rPr>
          <w:shd w:val="clear" w:color="auto" w:fill="ffffff"/>
        </w:rPr>
        <w:t>(1), p.619.</w:t>
      </w:r>
    </w:p>
    <w:p>
      <w:pPr>
        <w:pStyle w:val="style0"/>
        <w:ind w:firstLine="0"/>
        <w:rPr>
          <w:shd w:val="clear" w:color="auto" w:fill="ffffff"/>
        </w:rPr>
      </w:pPr>
      <w:r>
        <w:rPr>
          <w:shd w:val="clear" w:color="auto" w:fill="ffffff"/>
        </w:rPr>
        <w:t>Kotera</w:t>
      </w:r>
      <w:r>
        <w:rPr>
          <w:shd w:val="clear" w:color="auto" w:fill="ffffff"/>
        </w:rPr>
        <w:t>, Y., Ting, S.H. and Neary, S.</w:t>
      </w:r>
      <w:r>
        <w:rPr>
          <w:shd w:val="clear" w:color="auto" w:fill="ffffff"/>
        </w:rPr>
        <w:t xml:space="preserve"> (</w:t>
      </w:r>
      <w:r>
        <w:rPr>
          <w:shd w:val="clear" w:color="auto" w:fill="ffffff"/>
        </w:rPr>
        <w:t>2021</w:t>
      </w:r>
      <w:r>
        <w:rPr>
          <w:shd w:val="clear" w:color="auto" w:fill="ffffff"/>
        </w:rPr>
        <w:t>)</w:t>
      </w:r>
      <w:r>
        <w:rPr>
          <w:shd w:val="clear" w:color="auto" w:fill="ffffff"/>
        </w:rPr>
        <w:t>. Mental health of Malaysian university students: UK comparison, and relationship between negative mental health attitudes, self-compassion, and resilience. </w:t>
      </w:r>
      <w:r>
        <w:rPr>
          <w:i/>
          <w:iCs/>
          <w:shd w:val="clear" w:color="auto" w:fill="ffffff"/>
        </w:rPr>
        <w:t>Higher education</w:t>
      </w:r>
      <w:r>
        <w:rPr>
          <w:shd w:val="clear" w:color="auto" w:fill="ffffff"/>
        </w:rPr>
        <w:t>, </w:t>
      </w:r>
      <w:r>
        <w:rPr>
          <w:i/>
          <w:iCs/>
          <w:shd w:val="clear" w:color="auto" w:fill="ffffff"/>
        </w:rPr>
        <w:t>81</w:t>
      </w:r>
      <w:r>
        <w:rPr>
          <w:shd w:val="clear" w:color="auto" w:fill="ffffff"/>
        </w:rPr>
        <w:t>(2), pp.403-419.</w:t>
      </w:r>
    </w:p>
    <w:p>
      <w:pPr>
        <w:pStyle w:val="style0"/>
        <w:ind w:firstLine="0"/>
        <w:rPr>
          <w:shd w:val="clear" w:color="auto" w:fill="ffffff"/>
        </w:rPr>
      </w:pPr>
      <w:r>
        <w:rPr>
          <w:shd w:val="clear" w:color="auto" w:fill="ffffff"/>
        </w:rPr>
        <w:t>Lawrance</w:t>
      </w:r>
      <w:r>
        <w:rPr>
          <w:shd w:val="clear" w:color="auto" w:fill="ffffff"/>
        </w:rPr>
        <w:t xml:space="preserve">, E.L., Jennings, N., </w:t>
      </w:r>
      <w:r>
        <w:rPr>
          <w:shd w:val="clear" w:color="auto" w:fill="ffffff"/>
        </w:rPr>
        <w:t>Kioupi</w:t>
      </w:r>
      <w:r>
        <w:rPr>
          <w:shd w:val="clear" w:color="auto" w:fill="ffffff"/>
        </w:rPr>
        <w:t xml:space="preserve">, V., Thompson, R., </w:t>
      </w:r>
      <w:r>
        <w:rPr>
          <w:shd w:val="clear" w:color="auto" w:fill="ffffff"/>
        </w:rPr>
        <w:t>Diffey</w:t>
      </w:r>
      <w:r>
        <w:rPr>
          <w:shd w:val="clear" w:color="auto" w:fill="ffffff"/>
        </w:rPr>
        <w:t>, J. and Vercammen, A.</w:t>
      </w:r>
      <w:r>
        <w:rPr>
          <w:shd w:val="clear" w:color="auto" w:fill="ffffff"/>
        </w:rPr>
        <w:t xml:space="preserve"> (</w:t>
      </w:r>
      <w:r>
        <w:rPr>
          <w:shd w:val="clear" w:color="auto" w:fill="ffffff"/>
        </w:rPr>
        <w:t>2022</w:t>
      </w:r>
      <w:r>
        <w:rPr>
          <w:shd w:val="clear" w:color="auto" w:fill="ffffff"/>
        </w:rPr>
        <w:t>)</w:t>
      </w:r>
      <w:r>
        <w:rPr>
          <w:shd w:val="clear" w:color="auto" w:fill="ffffff"/>
        </w:rPr>
        <w:t>. Psychological responses, mental health, and sense of agency for the dual challenges of climate change and the COVID-19 pandemic in young people in the UK: an online survey study. </w:t>
      </w:r>
      <w:r>
        <w:rPr>
          <w:i/>
          <w:iCs/>
          <w:shd w:val="clear" w:color="auto" w:fill="ffffff"/>
        </w:rPr>
        <w:t>The Lancet Planetary Health</w:t>
      </w:r>
      <w:r>
        <w:rPr>
          <w:shd w:val="clear" w:color="auto" w:fill="ffffff"/>
        </w:rPr>
        <w:t>, </w:t>
      </w:r>
      <w:r>
        <w:rPr>
          <w:i/>
          <w:iCs/>
          <w:shd w:val="clear" w:color="auto" w:fill="ffffff"/>
        </w:rPr>
        <w:t>6</w:t>
      </w:r>
      <w:r>
        <w:rPr>
          <w:shd w:val="clear" w:color="auto" w:fill="ffffff"/>
        </w:rPr>
        <w:t xml:space="preserve">(9), </w:t>
      </w:r>
      <w:r>
        <w:rPr>
          <w:shd w:val="clear" w:color="auto" w:fill="ffffff"/>
        </w:rPr>
        <w:t>pp.e</w:t>
      </w:r>
      <w:r>
        <w:rPr>
          <w:shd w:val="clear" w:color="auto" w:fill="ffffff"/>
        </w:rPr>
        <w:t>726-e738.</w:t>
      </w:r>
    </w:p>
    <w:p>
      <w:pPr>
        <w:pStyle w:val="style0"/>
        <w:ind w:firstLine="0"/>
        <w:rPr/>
      </w:pPr>
      <w:r>
        <w:rPr>
          <w:shd w:val="clear" w:color="auto" w:fill="ffffff"/>
        </w:rPr>
        <w:t>Makita, M., Mas-</w:t>
      </w:r>
      <w:r>
        <w:rPr>
          <w:shd w:val="clear" w:color="auto" w:fill="ffffff"/>
        </w:rPr>
        <w:t>Bleda</w:t>
      </w:r>
      <w:r>
        <w:rPr>
          <w:shd w:val="clear" w:color="auto" w:fill="ffffff"/>
        </w:rPr>
        <w:t xml:space="preserve">, A., Morris, S. and </w:t>
      </w:r>
      <w:r>
        <w:rPr>
          <w:shd w:val="clear" w:color="auto" w:fill="ffffff"/>
        </w:rPr>
        <w:t>Thelwall</w:t>
      </w:r>
      <w:r>
        <w:rPr>
          <w:shd w:val="clear" w:color="auto" w:fill="ffffff"/>
        </w:rPr>
        <w:t>, M.</w:t>
      </w:r>
      <w:r>
        <w:rPr>
          <w:shd w:val="clear" w:color="auto" w:fill="ffffff"/>
        </w:rPr>
        <w:t xml:space="preserve"> (</w:t>
      </w:r>
      <w:r>
        <w:rPr>
          <w:shd w:val="clear" w:color="auto" w:fill="ffffff"/>
        </w:rPr>
        <w:t>2021</w:t>
      </w:r>
      <w:r>
        <w:rPr>
          <w:shd w:val="clear" w:color="auto" w:fill="ffffff"/>
        </w:rPr>
        <w:t>)</w:t>
      </w:r>
      <w:r>
        <w:rPr>
          <w:shd w:val="clear" w:color="auto" w:fill="ffffff"/>
        </w:rPr>
        <w:t>. Mental health discourses on Twitter during mental health awareness week. </w:t>
      </w:r>
      <w:r>
        <w:rPr>
          <w:i/>
          <w:iCs/>
          <w:shd w:val="clear" w:color="auto" w:fill="ffffff"/>
        </w:rPr>
        <w:t>Issues in mental health nursing</w:t>
      </w:r>
      <w:r>
        <w:rPr>
          <w:shd w:val="clear" w:color="auto" w:fill="ffffff"/>
        </w:rPr>
        <w:t>, </w:t>
      </w:r>
      <w:r>
        <w:rPr>
          <w:i/>
          <w:iCs/>
          <w:shd w:val="clear" w:color="auto" w:fill="ffffff"/>
        </w:rPr>
        <w:t>42</w:t>
      </w:r>
      <w:r>
        <w:rPr>
          <w:shd w:val="clear" w:color="auto" w:fill="ffffff"/>
        </w:rPr>
        <w:t>(5), pp.437-450.</w:t>
      </w:r>
    </w:p>
    <w:p>
      <w:pPr>
        <w:pStyle w:val="style0"/>
        <w:ind w:firstLine="0"/>
        <w:rPr>
          <w:shd w:val="clear" w:color="auto" w:fill="ffffff"/>
        </w:rPr>
      </w:pPr>
      <w:r>
        <w:rPr>
          <w:shd w:val="clear" w:color="auto" w:fill="ffffff"/>
        </w:rPr>
        <w:t>Prajapati, R. and Liebling, H.</w:t>
      </w:r>
      <w:r>
        <w:rPr>
          <w:shd w:val="clear" w:color="auto" w:fill="ffffff"/>
        </w:rPr>
        <w:t xml:space="preserve"> (</w:t>
      </w:r>
      <w:r>
        <w:rPr>
          <w:shd w:val="clear" w:color="auto" w:fill="ffffff"/>
        </w:rPr>
        <w:t>2022</w:t>
      </w:r>
      <w:r>
        <w:rPr>
          <w:shd w:val="clear" w:color="auto" w:fill="ffffff"/>
        </w:rPr>
        <w:t>)</w:t>
      </w:r>
      <w:r>
        <w:rPr>
          <w:shd w:val="clear" w:color="auto" w:fill="ffffff"/>
        </w:rPr>
        <w:t>. Accessing mental health services: A systematic review and meta-ethnography of the experiences of South Asian service users in the UK. </w:t>
      </w:r>
      <w:r>
        <w:rPr>
          <w:i/>
          <w:iCs/>
          <w:shd w:val="clear" w:color="auto" w:fill="ffffff"/>
        </w:rPr>
        <w:t>Journal of racial and ethnic health disparities</w:t>
      </w:r>
      <w:r>
        <w:rPr>
          <w:shd w:val="clear" w:color="auto" w:fill="ffffff"/>
        </w:rPr>
        <w:t>, </w:t>
      </w:r>
      <w:r>
        <w:rPr>
          <w:i/>
          <w:iCs/>
          <w:shd w:val="clear" w:color="auto" w:fill="ffffff"/>
        </w:rPr>
        <w:t>9</w:t>
      </w:r>
      <w:r>
        <w:rPr>
          <w:shd w:val="clear" w:color="auto" w:fill="ffffff"/>
        </w:rPr>
        <w:t>(2), pp.598-619.</w:t>
      </w:r>
    </w:p>
    <w:p>
      <w:pPr>
        <w:pStyle w:val="style0"/>
        <w:ind w:firstLine="0"/>
        <w:rPr>
          <w:shd w:val="clear" w:color="auto" w:fill="ffffff"/>
        </w:rPr>
      </w:pPr>
      <w:r>
        <w:rPr>
          <w:shd w:val="clear" w:color="auto" w:fill="ffffff"/>
        </w:rPr>
        <w:t>Tremblay, L. and Van Gordon, W.</w:t>
      </w:r>
      <w:r>
        <w:rPr>
          <w:shd w:val="clear" w:color="auto" w:fill="ffffff"/>
        </w:rPr>
        <w:t xml:space="preserve"> (</w:t>
      </w:r>
      <w:r>
        <w:rPr>
          <w:shd w:val="clear" w:color="auto" w:fill="ffffff"/>
        </w:rPr>
        <w:t>2023</w:t>
      </w:r>
      <w:r>
        <w:rPr>
          <w:shd w:val="clear" w:color="auto" w:fill="ffffff"/>
        </w:rPr>
        <w:t>)</w:t>
      </w:r>
      <w:r>
        <w:rPr>
          <w:shd w:val="clear" w:color="auto" w:fill="ffffff"/>
        </w:rPr>
        <w:t>. Exploring Awareness and Resistance to Nonattachment in Relation to Mental Health. A Qualitative Study in a UK-Based Yoga Community. </w:t>
      </w:r>
      <w:r>
        <w:rPr>
          <w:i/>
          <w:iCs/>
          <w:shd w:val="clear" w:color="auto" w:fill="ffffff"/>
        </w:rPr>
        <w:t>European Journal of Mental Health</w:t>
      </w:r>
      <w:r>
        <w:rPr>
          <w:shd w:val="clear" w:color="auto" w:fill="ffffff"/>
        </w:rPr>
        <w:t>, </w:t>
      </w:r>
      <w:r>
        <w:rPr>
          <w:i/>
          <w:iCs/>
          <w:shd w:val="clear" w:color="auto" w:fill="ffffff"/>
        </w:rPr>
        <w:t>18</w:t>
      </w:r>
      <w:r>
        <w:rPr>
          <w:shd w:val="clear" w:color="auto" w:fill="ffffff"/>
        </w:rPr>
        <w:t>, pp.1-16.</w:t>
      </w:r>
    </w:p>
    <w:bookmarkEnd w:id="20"/>
    <w:p>
      <w:pPr>
        <w:pStyle w:val="style0"/>
        <w:rPr/>
      </w:pPr>
    </w:p>
    <w:sectPr>
      <w:headerReference w:type="default" r:id="rId3"/>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jc w:val="right"/>
      <w:rPr/>
    </w:pPr>
    <w:r>
      <w:rPr/>
      <w:fldChar w:fldCharType="begin"/>
    </w:r>
    <w:r>
      <w:instrText xml:space="preserve"> PAGE   \* MERGEFORMAT </w:instrText>
    </w:r>
    <w:r>
      <w:rPr/>
      <w:fldChar w:fldCharType="separate"/>
    </w:r>
    <w:r>
      <w:rPr>
        <w:noProof/>
      </w:rPr>
      <w:t>2</w:t>
    </w:r>
    <w:r>
      <w:rPr>
        <w:noProof/>
      </w:rPr>
      <w:fldChar w:fldCharType="end"/>
    </w:r>
  </w:p>
  <w:p>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360CD0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cs="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cs="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cs="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B18823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0000002"/>
    <w:multiLevelType w:val="hybridMultilevel"/>
    <w:tmpl w:val="772EA1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1BA6FC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000004"/>
    <w:multiLevelType w:val="hybridMultilevel"/>
    <w:tmpl w:val="D5B65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5"/>
    <w:multiLevelType w:val="hybridMultilevel"/>
    <w:tmpl w:val="4DFE5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0000006"/>
    <w:multiLevelType w:val="hybridMultilevel"/>
    <w:tmpl w:val="C4FC9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7"/>
    <w:multiLevelType w:val="hybridMultilevel"/>
    <w:tmpl w:val="EEE214D8"/>
    <w:lvl w:ilvl="0" w:tplc="04090003">
      <w:start w:val="1"/>
      <w:numFmt w:val="bullet"/>
      <w:lvlText w:val="o"/>
      <w:lvlJc w:val="left"/>
      <w:pPr>
        <w:ind w:left="720" w:hanging="360"/>
      </w:pPr>
      <w:rPr>
        <w:rFonts w:ascii="Courier New" w:cs="Courier New" w:hAnsi="Courier New"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D8D2A82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0000009"/>
    <w:multiLevelType w:val="hybridMultilevel"/>
    <w:tmpl w:val="2F9E1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000000A"/>
    <w:multiLevelType w:val="hybridMultilevel"/>
    <w:tmpl w:val="AF5E328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000000B"/>
    <w:multiLevelType w:val="hybridMultilevel"/>
    <w:tmpl w:val="AEDEF61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0000000C"/>
    <w:multiLevelType w:val="hybridMultilevel"/>
    <w:tmpl w:val="74265FC0"/>
    <w:lvl w:ilvl="0" w:tplc="04090003">
      <w:start w:val="1"/>
      <w:numFmt w:val="bullet"/>
      <w:lvlText w:val="o"/>
      <w:lvlJc w:val="left"/>
      <w:pPr>
        <w:ind w:left="1080" w:hanging="360"/>
      </w:pPr>
      <w:rPr>
        <w:rFonts w:ascii="Courier New" w:cs="Courier New" w:hAnsi="Courier New"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0000000D"/>
    <w:multiLevelType w:val="hybridMultilevel"/>
    <w:tmpl w:val="7012DB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0000000E"/>
    <w:multiLevelType w:val="hybridMultilevel"/>
    <w:tmpl w:val="F5A67DD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0000000F"/>
    <w:multiLevelType w:val="hybridMultilevel"/>
    <w:tmpl w:val="8B969F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cs="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cs="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cs="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00000010"/>
    <w:multiLevelType w:val="hybridMultilevel"/>
    <w:tmpl w:val="40E62D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0000011"/>
    <w:multiLevelType w:val="hybridMultilevel"/>
    <w:tmpl w:val="E6DAFE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00000012"/>
    <w:multiLevelType w:val="hybridMultilevel"/>
    <w:tmpl w:val="DE98EC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00000013"/>
    <w:multiLevelType w:val="hybridMultilevel"/>
    <w:tmpl w:val="9ACC2130"/>
    <w:lvl w:ilvl="0" w:tplc="B19C61CE">
      <w:start w:val="1"/>
      <w:numFmt w:val="bullet"/>
      <w:lvlText w:val=""/>
      <w:lvlJc w:val="left"/>
      <w:pPr>
        <w:ind w:left="720" w:hanging="360"/>
      </w:pPr>
      <w:rPr>
        <w:rFonts w:ascii="Wingdings" w:cs="宋体" w:eastAsia="Calibri"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0000014"/>
    <w:multiLevelType w:val="hybridMultilevel"/>
    <w:tmpl w:val="CA7C7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1"/>
  </w:num>
  <w:num w:numId="3">
    <w:abstractNumId w:val="4"/>
  </w:num>
  <w:num w:numId="4">
    <w:abstractNumId w:val="5"/>
  </w:num>
  <w:num w:numId="5">
    <w:abstractNumId w:val="17"/>
  </w:num>
  <w:num w:numId="6">
    <w:abstractNumId w:val="13"/>
  </w:num>
  <w:num w:numId="7">
    <w:abstractNumId w:val="10"/>
  </w:num>
  <w:num w:numId="8">
    <w:abstractNumId w:val="19"/>
  </w:num>
  <w:num w:numId="9">
    <w:abstractNumId w:val="2"/>
  </w:num>
  <w:num w:numId="10">
    <w:abstractNumId w:val="14"/>
  </w:num>
  <w:num w:numId="11">
    <w:abstractNumId w:val="8"/>
  </w:num>
  <w:num w:numId="12">
    <w:abstractNumId w:val="7"/>
  </w:num>
  <w:num w:numId="13">
    <w:abstractNumId w:val="12"/>
  </w:num>
  <w:num w:numId="14">
    <w:abstractNumId w:val="6"/>
  </w:num>
  <w:num w:numId="15">
    <w:abstractNumId w:val="9"/>
  </w:num>
  <w:num w:numId="16">
    <w:abstractNumId w:val="20"/>
  </w:num>
  <w:num w:numId="17">
    <w:abstractNumId w:val="3"/>
  </w:num>
  <w:num w:numId="18">
    <w:abstractNumId w:val="1"/>
  </w:num>
  <w:num w:numId="19">
    <w:abstractNumId w:val="18"/>
  </w:num>
  <w:num w:numId="20">
    <w:abstractNumId w:val="0"/>
  </w:num>
  <w:num w:numId="21">
    <w:abstractNumId w:val="15"/>
  </w:num>
  <w:num w:numId="22">
    <w:abstractNumId w:val="1"/>
  </w:num>
  <w:num w:numId="23">
    <w:abstractNumId w:val="18"/>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hideSpellingErrors/>
  <w:hideGrammaticalError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IN" w:bidi="ar-SA" w:eastAsia="en-US"/>
      </w:rPr>
    </w:rPrDefault>
    <w:pPrDefault>
      <w:pPr>
        <w:spacing w:after="160" w:lineRule="auto" w:line="259"/>
      </w:pPr>
    </w:pPrDefault>
  </w:docDefaults>
  <w:style w:type="paragraph" w:default="1" w:styleId="style0">
    <w:name w:val="Normal"/>
    <w:next w:val="style0"/>
    <w:qFormat/>
    <w:pPr>
      <w:spacing w:lineRule="auto" w:line="360"/>
      <w:ind w:firstLine="720"/>
      <w:jc w:val="both"/>
    </w:pPr>
    <w:rPr>
      <w:color w:val="000000"/>
      <w:sz w:val="24"/>
      <w:lang w:val="en-AU"/>
    </w:rPr>
  </w:style>
  <w:style w:type="paragraph" w:styleId="style1">
    <w:name w:val="heading 1"/>
    <w:basedOn w:val="style0"/>
    <w:next w:val="style0"/>
    <w:link w:val="style4097"/>
    <w:qFormat/>
    <w:uiPriority w:val="9"/>
    <w:pPr>
      <w:keepNext/>
      <w:keepLines/>
      <w:spacing w:before="240" w:after="0"/>
      <w:ind w:firstLine="0"/>
      <w:outlineLvl w:val="0"/>
    </w:pPr>
    <w:rPr>
      <w:rFonts w:cs="宋体" w:eastAsia="宋体"/>
      <w:b/>
      <w:sz w:val="28"/>
      <w:szCs w:val="32"/>
    </w:rPr>
  </w:style>
  <w:style w:type="paragraph" w:styleId="style2">
    <w:name w:val="heading 2"/>
    <w:basedOn w:val="style0"/>
    <w:next w:val="style0"/>
    <w:link w:val="style4100"/>
    <w:qFormat/>
    <w:uiPriority w:val="9"/>
    <w:pPr>
      <w:keepNext/>
      <w:keepLines/>
      <w:spacing w:before="40" w:after="0"/>
      <w:ind w:firstLine="0"/>
      <w:outlineLvl w:val="1"/>
    </w:pPr>
    <w:rPr>
      <w:rFonts w:cs="宋体" w:eastAsia="宋体"/>
      <w:b/>
      <w:sz w:val="26"/>
      <w:szCs w:val="26"/>
    </w:rPr>
  </w:style>
  <w:style w:type="paragraph" w:styleId="style3">
    <w:name w:val="heading 3"/>
    <w:basedOn w:val="style0"/>
    <w:next w:val="style0"/>
    <w:link w:val="style4101"/>
    <w:qFormat/>
    <w:uiPriority w:val="9"/>
    <w:pPr>
      <w:keepNext/>
      <w:keepLines/>
      <w:spacing w:before="40" w:after="0"/>
      <w:ind w:firstLine="0"/>
      <w:outlineLvl w:val="2"/>
    </w:pPr>
    <w:rPr>
      <w:rFonts w:cs="宋体" w:eastAsia="宋体"/>
      <w:b/>
      <w:szCs w:val="24"/>
    </w:rPr>
  </w:style>
  <w:style w:type="paragraph" w:styleId="style4">
    <w:name w:val="heading 4"/>
    <w:basedOn w:val="style0"/>
    <w:next w:val="style0"/>
    <w:link w:val="style4104"/>
    <w:qFormat/>
    <w:uiPriority w:val="9"/>
    <w:pPr>
      <w:keepNext/>
      <w:keepLines/>
      <w:spacing w:before="40" w:after="0"/>
      <w:outlineLvl w:val="3"/>
    </w:pPr>
    <w:rPr>
      <w:rFonts w:ascii="Calibri Light" w:cs="宋体" w:eastAsia="宋体" w:hAnsi="Calibri Light"/>
      <w:i/>
      <w:iCs/>
      <w:color w:val="2e74b5"/>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fb19ff2d-9d00-458d-b1d1-8e2f98d9914a"/>
    <w:basedOn w:val="style65"/>
    <w:next w:val="style4097"/>
    <w:link w:val="style1"/>
    <w:uiPriority w:val="9"/>
    <w:rPr>
      <w:rFonts w:ascii="Times New Roman" w:cs="宋体" w:eastAsia="宋体" w:hAnsi="Times New Roman"/>
      <w:b/>
      <w:color w:val="000000"/>
      <w:sz w:val="28"/>
      <w:szCs w:val="32"/>
      <w:lang w:val="en-AU"/>
    </w:rPr>
  </w:style>
  <w:style w:type="paragraph" w:styleId="style31">
    <w:name w:val="header"/>
    <w:basedOn w:val="style0"/>
    <w:next w:val="style31"/>
    <w:link w:val="style4098"/>
    <w:uiPriority w:val="99"/>
    <w:pPr>
      <w:tabs>
        <w:tab w:val="center" w:leader="none" w:pos="4513"/>
        <w:tab w:val="right" w:leader="none" w:pos="9026"/>
      </w:tabs>
      <w:spacing w:after="0" w:lineRule="auto" w:line="240"/>
    </w:pPr>
    <w:rPr/>
  </w:style>
  <w:style w:type="character" w:customStyle="1" w:styleId="style4098">
    <w:name w:val="Header Char_30d043b8-e063-4a00-b446-98174abe8fd3"/>
    <w:basedOn w:val="style65"/>
    <w:next w:val="style4098"/>
    <w:link w:val="style31"/>
    <w:uiPriority w:val="99"/>
    <w:rPr>
      <w:rFonts w:ascii="Times New Roman" w:hAnsi="Times New Roman"/>
      <w:color w:val="000000"/>
      <w:sz w:val="24"/>
    </w:rPr>
  </w:style>
  <w:style w:type="paragraph" w:styleId="style32">
    <w:name w:val="footer"/>
    <w:basedOn w:val="style0"/>
    <w:next w:val="style32"/>
    <w:link w:val="style4099"/>
    <w:uiPriority w:val="99"/>
    <w:pPr>
      <w:tabs>
        <w:tab w:val="center" w:leader="none" w:pos="4513"/>
        <w:tab w:val="right" w:leader="none" w:pos="9026"/>
      </w:tabs>
      <w:spacing w:after="0" w:lineRule="auto" w:line="240"/>
    </w:pPr>
    <w:rPr/>
  </w:style>
  <w:style w:type="character" w:customStyle="1" w:styleId="style4099">
    <w:name w:val="Footer Char_669fb7fa-92e2-4805-a6bd-086c0fbefc31"/>
    <w:basedOn w:val="style65"/>
    <w:next w:val="style4099"/>
    <w:link w:val="style32"/>
    <w:uiPriority w:val="99"/>
    <w:rPr>
      <w:rFonts w:ascii="Times New Roman" w:hAnsi="Times New Roman"/>
      <w:color w:val="000000"/>
      <w:sz w:val="24"/>
    </w:rPr>
  </w:style>
  <w:style w:type="character" w:customStyle="1" w:styleId="style4100">
    <w:name w:val="Heading 2 Char_d5bc1a66-cbac-4940-be3c-5e79cf941d6d"/>
    <w:basedOn w:val="style65"/>
    <w:next w:val="style4100"/>
    <w:link w:val="style2"/>
    <w:uiPriority w:val="9"/>
    <w:rPr>
      <w:rFonts w:ascii="Times New Roman" w:cs="宋体" w:eastAsia="宋体" w:hAnsi="Times New Roman"/>
      <w:b/>
      <w:color w:val="000000"/>
      <w:sz w:val="26"/>
      <w:szCs w:val="26"/>
      <w:lang w:val="en-AU"/>
    </w:rPr>
  </w:style>
  <w:style w:type="character" w:customStyle="1" w:styleId="style4101">
    <w:name w:val="Heading 3 Char_dbe6bac9-00e3-458c-8a45-a1cd1621c755"/>
    <w:basedOn w:val="style65"/>
    <w:next w:val="style4101"/>
    <w:link w:val="style3"/>
    <w:uiPriority w:val="9"/>
    <w:rPr>
      <w:rFonts w:ascii="Times New Roman" w:cs="宋体" w:eastAsia="宋体" w:hAnsi="Times New Roman"/>
      <w:b/>
      <w:color w:val="000000"/>
      <w:sz w:val="24"/>
      <w:szCs w:val="24"/>
      <w:lang w:val="en-AU"/>
    </w:rPr>
  </w:style>
  <w:style w:type="paragraph" w:styleId="style266">
    <w:name w:val="TOC Heading"/>
    <w:basedOn w:val="style1"/>
    <w:next w:val="style0"/>
    <w:qFormat/>
    <w:uiPriority w:val="39"/>
    <w:pPr>
      <w:spacing w:lineRule="auto" w:line="259"/>
      <w:jc w:val="left"/>
      <w:outlineLvl w:val="9"/>
    </w:pPr>
    <w:rPr>
      <w:rFonts w:ascii="Calibri Light" w:hAnsi="Calibri Light"/>
      <w:b w:val="false"/>
      <w:color w:val="2e74b5"/>
      <w:sz w:val="32"/>
      <w:lang w:val="en-US"/>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563c1"/>
      <w:u w:val="single"/>
    </w:rPr>
  </w:style>
  <w:style w:type="paragraph" w:styleId="style29">
    <w:name w:val="footnote text"/>
    <w:basedOn w:val="style0"/>
    <w:next w:val="style29"/>
    <w:link w:val="style4102"/>
    <w:uiPriority w:val="99"/>
    <w:pPr>
      <w:spacing w:after="0" w:lineRule="auto" w:line="240"/>
    </w:pPr>
    <w:rPr>
      <w:sz w:val="20"/>
      <w:szCs w:val="20"/>
    </w:rPr>
  </w:style>
  <w:style w:type="character" w:customStyle="1" w:styleId="style4102">
    <w:name w:val="Footnote Text Char"/>
    <w:basedOn w:val="style65"/>
    <w:next w:val="style4102"/>
    <w:link w:val="style29"/>
    <w:uiPriority w:val="99"/>
    <w:rPr>
      <w:rFonts w:ascii="Times New Roman" w:hAnsi="Times New Roman"/>
      <w:color w:val="000000"/>
      <w:sz w:val="20"/>
      <w:szCs w:val="20"/>
      <w:lang w:val="en-AU"/>
    </w:rPr>
  </w:style>
  <w:style w:type="character" w:styleId="style38">
    <w:name w:val="footnote reference"/>
    <w:basedOn w:val="style65"/>
    <w:next w:val="style38"/>
    <w:uiPriority w:val="99"/>
    <w:rPr>
      <w:vertAlign w:val="superscript"/>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179">
    <w:name w:val="List Paragraph"/>
    <w:basedOn w:val="style0"/>
    <w:next w:val="style179"/>
    <w:qFormat/>
    <w:uiPriority w:val="34"/>
    <w:pPr>
      <w:ind w:left="720"/>
      <w:contextualSpacing/>
    </w:pPr>
    <w:rPr/>
  </w:style>
  <w:style w:type="paragraph" w:styleId="style20">
    <w:name w:val="toc 2"/>
    <w:basedOn w:val="style0"/>
    <w:next w:val="style0"/>
    <w:uiPriority w:val="39"/>
    <w:pPr>
      <w:spacing w:after="100"/>
      <w:ind w:left="240"/>
    </w:pPr>
    <w:rPr/>
  </w:style>
  <w:style w:type="paragraph" w:styleId="style21">
    <w:name w:val="toc 3"/>
    <w:basedOn w:val="style0"/>
    <w:next w:val="style0"/>
    <w:uiPriority w:val="39"/>
    <w:pPr>
      <w:spacing w:after="100"/>
      <w:ind w:left="480"/>
    </w:pPr>
    <w:rPr/>
  </w:style>
  <w:style w:type="character" w:customStyle="1" w:styleId="style4103">
    <w:name w:val="Unresolved Mention"/>
    <w:basedOn w:val="style65"/>
    <w:next w:val="style4103"/>
    <w:uiPriority w:val="99"/>
    <w:rPr>
      <w:color w:val="605e5c"/>
      <w:shd w:val="clear" w:color="auto" w:fill="e1dfdd"/>
    </w:rPr>
  </w:style>
  <w:style w:type="character" w:styleId="style86">
    <w:name w:val="FollowedHyperlink"/>
    <w:basedOn w:val="style65"/>
    <w:next w:val="style86"/>
    <w:uiPriority w:val="99"/>
    <w:rPr>
      <w:color w:val="954f72"/>
      <w:u w:val="single"/>
    </w:rPr>
  </w:style>
  <w:style w:type="character" w:customStyle="1" w:styleId="style4104">
    <w:name w:val="Heading 4 Char_03b705b2-3b83-47c5-a42b-2aec6bda38d5"/>
    <w:basedOn w:val="style65"/>
    <w:next w:val="style4104"/>
    <w:link w:val="style4"/>
    <w:uiPriority w:val="9"/>
    <w:rPr>
      <w:rFonts w:ascii="Calibri Light" w:cs="宋体" w:eastAsia="宋体" w:hAnsi="Calibri Light"/>
      <w:i/>
      <w:iCs/>
      <w:color w:val="2e74b5"/>
      <w:sz w:val="24"/>
      <w:lang w:val="en-AU"/>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gif"/><Relationship Id="rId3" Type="http://schemas.openxmlformats.org/officeDocument/2006/relationships/header" Target="head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7F3A0-8F21-4BE0-9734-1C75AC696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3065</Words>
  <Pages>13</Pages>
  <Characters>18013</Characters>
  <Application>WPS Office</Application>
  <DocSecurity>0</DocSecurity>
  <Paragraphs>122</Paragraphs>
  <ScaleCrop>false</ScaleCrop>
  <LinksUpToDate>false</LinksUpToDate>
  <CharactersWithSpaces>20977</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2025-11-20T22:39:02Z</dcterms:created>
  <dc:creator>WPS Office</dc:creator>
  <lastModifiedBy>SM-A325F</lastModifiedBy>
  <dcterms:modified xsi:type="dcterms:W3CDTF">2025-11-20T22:39:02Z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244e7681b08146b1946a63564d73667e</vt:lpwstr>
  </property>
</Properties>
</file>