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sz w:val="46"/>
          <w:szCs w:val="46"/>
        </w:rPr>
      </w:pPr>
      <w:r w:rsidDel="00000000" w:rsidR="00000000" w:rsidRPr="00000000">
        <w:rPr>
          <w:rtl w:val="0"/>
        </w:rPr>
      </w:r>
    </w:p>
    <w:p w:rsidR="00000000" w:rsidDel="00000000" w:rsidP="00000000" w:rsidRDefault="00000000" w:rsidRPr="00000000" w14:paraId="00000002">
      <w:pPr>
        <w:pStyle w:val="Heading2"/>
        <w:keepNext w:val="0"/>
        <w:keepLines w:val="0"/>
        <w:spacing w:after="80" w:lineRule="auto"/>
        <w:rPr>
          <w:b w:val="1"/>
          <w:bCs w:val="1"/>
          <w:sz w:val="34"/>
          <w:szCs w:val="34"/>
        </w:rPr>
      </w:pPr>
      <w:bookmarkStart w:colFirst="0" w:colLast="0" w:name="_4hbnqy5j2t8i" w:id="0"/>
      <w:bookmarkEnd w:id="0"/>
      <w:r w:rsidDel="00000000" w:rsidR="00000000" w:rsidRPr="00000000">
        <w:rPr>
          <w:b w:val="1"/>
          <w:bCs w:val="1"/>
          <w:sz w:val="34"/>
          <w:szCs w:val="34"/>
          <w:rtl w:val="0"/>
        </w:rPr>
        <w:t xml:space="preserve">Introduction</w:t>
      </w:r>
    </w:p>
    <w:p w:rsidR="00000000" w:rsidDel="00000000" w:rsidP="00000000" w:rsidRDefault="00000000" w:rsidRPr="00000000" w14:paraId="00000003">
      <w:pPr>
        <w:spacing w:after="240" w:before="240" w:lineRule="auto"/>
        <w:rPr/>
      </w:pPr>
      <w:r w:rsidDel="00000000" w:rsidR="00000000" w:rsidRPr="00000000">
        <w:rPr>
          <w:rtl w:val="0"/>
        </w:rPr>
        <w:t xml:space="preserve">Type 1 diabetes is a chronic autoimmune disease where the immune system destroys the insulin-producing beta cells of the pancreas. As a result, the body produces little or no insulin, leading to increased blood glucose levels </w:t>
      </w:r>
      <w:r w:rsidDel="00000000" w:rsidR="00000000" w:rsidRPr="00000000">
        <w:rPr>
          <w:sz w:val="24"/>
          <w:szCs w:val="24"/>
          <w:rtl w:val="0"/>
        </w:rPr>
        <w:t xml:space="preserve">(Aamodt and Powers, 2025)</w:t>
      </w:r>
      <w:r w:rsidDel="00000000" w:rsidR="00000000" w:rsidRPr="00000000">
        <w:rPr>
          <w:rtl w:val="0"/>
        </w:rPr>
        <w:t xml:space="preserve">. Unlike Type 2 diabetes, Type 1 diabetes is not primarily associated with obesity or lifestyle factors and usually develops during childhood or adolescence, although it can occur at any age. Common signs and symptoms include excessive thirst (polydipsia), frequent urination (polyuria), unexplained weight loss, fatigue, blurred vision and increased hunger. Without treatment, individuals may develop diabetic ketoacidosis, a life-threatening medical emergency </w:t>
      </w:r>
      <w:r w:rsidDel="00000000" w:rsidR="00000000" w:rsidRPr="00000000">
        <w:rPr>
          <w:sz w:val="24"/>
          <w:szCs w:val="24"/>
          <w:rtl w:val="0"/>
        </w:rPr>
        <w:t xml:space="preserve">(DeVries et al., 2004</w:t>
      </w:r>
      <w:r w:rsidDel="00000000" w:rsidR="00000000" w:rsidRPr="00000000">
        <w:rPr>
          <w:rtl w:val="0"/>
        </w:rPr>
        <w:t xml:space="preserve">). Although the exact cause is yet to be determined, genetic susceptibility combined with environmental triggers such as viral infections are considered important risk factors. Worldwide, the incidence of Type 1 diabetes continues to rise, particularly among children under 15 years of age (IDF, 2025). In the United Kingdom, approximately 400,000 people live with Type 1 diabetes (Diabetes UK, 2025). The aim of this report is to examine how Type 1 diabetes is measured and monitored, discuss the impact on individuals, communities and the NHS, explain methods of disease control and management, and identify the health and social care services required to support affected individuals.</w:t>
      </w:r>
    </w:p>
    <w:p w:rsidR="00000000" w:rsidDel="00000000" w:rsidP="00000000" w:rsidRDefault="00000000" w:rsidRPr="00000000" w14:paraId="00000004">
      <w:pPr>
        <w:rPr>
          <w:b w:val="1"/>
          <w:bCs w:val="1"/>
          <w:sz w:val="34"/>
          <w:szCs w:val="34"/>
        </w:rPr>
      </w:pPr>
      <w:r w:rsidDel="00000000" w:rsidR="00000000" w:rsidRPr="00000000">
        <w:rPr>
          <w:b w:val="1"/>
          <w:bCs w:val="1"/>
          <w:sz w:val="34"/>
          <w:szCs w:val="34"/>
          <w:rtl w:val="0"/>
        </w:rPr>
        <w:t xml:space="preserve">Core Discussion</w:t>
      </w:r>
    </w:p>
    <w:p w:rsidR="00000000" w:rsidDel="00000000" w:rsidP="00000000" w:rsidRDefault="00000000" w:rsidRPr="00000000" w14:paraId="00000005">
      <w:pPr>
        <w:spacing w:after="240" w:before="240" w:lineRule="auto"/>
        <w:rPr/>
      </w:pPr>
      <w:r w:rsidDel="00000000" w:rsidR="00000000" w:rsidRPr="00000000">
        <w:rPr>
          <w:rtl w:val="0"/>
        </w:rPr>
        <w:t xml:space="preserve">Type 1 diabetes (T1D) is known as a major public health concern because it requires lifelong treatment, continuous monitoring and access to specialist healthcare systems. Public health professionals use many epidemiological measures and surveillance systems to understand the burden of the disease, monitor the trends over time and study the effectiveness of healthcare interventions. The two most commonly used epidemiological measures are incidence and prevalence. Incidence provides the number of new cases diagnosed within a population during a specified period of time, while prevalence means the total number of people living with the condition at a particular point in time (Friis and Sellers, 2021). Studying these factors allow researchers and healthcare organisations to examine changes in disease occurrence and utilise healthcare resources appropriately. Evidence suggests that the global incidence of Type 1 diabetes has increased over recent decades, with many countries reporting annual increases of approximately 3–4%, particularly among children and adolescents (Gregory et al., 2022). This rising incidence suggests that the disease is increasingly becoming a significant public health issue and reflects the need for ongoing monitoring and investment in services relating to diabetes.</w:t>
      </w:r>
    </w:p>
    <w:p w:rsidR="00000000" w:rsidDel="00000000" w:rsidP="00000000" w:rsidRDefault="00000000" w:rsidRPr="00000000" w14:paraId="00000006">
      <w:pPr>
        <w:spacing w:after="240" w:before="240" w:lineRule="auto"/>
        <w:rPr>
          <w:sz w:val="20"/>
          <w:szCs w:val="20"/>
        </w:rPr>
      </w:pPr>
      <w:r w:rsidDel="00000000" w:rsidR="00000000" w:rsidRPr="00000000">
        <w:rPr>
          <w:rtl w:val="0"/>
        </w:rPr>
        <w:t xml:space="preserve">Additionally, public health agencies measure the burden of Type 1 diabetes using Disability-Adjusted Life Years (DALYs). DALYs combine the years of life lost because of premature mortality with the years lived with disability, providing a whole measure of the impact of disease on populations (WHO, 2022). Although Type 1 diabetes consists of a small proportion of all diabetes cases globally, its lifelong nature means that individuals may often live for many decades with the condition, increasing the overall burden on healthcare systems and on society. Lack of glycaemic control significantly increases the likelihood of developing complications such as cardiovascular disease, chronic kidney disease, diabetic retinopathy and peripheral</w:t>
      </w:r>
      <w:r w:rsidDel="00000000" w:rsidR="00000000" w:rsidRPr="00000000">
        <w:rPr>
          <w:rtl w:val="0"/>
        </w:rPr>
        <w:t xml:space="preserve"> neuropathy, all of which contribute to expenses on disability and healthcare (</w:t>
      </w:r>
      <w:r w:rsidDel="00000000" w:rsidR="00000000" w:rsidRPr="00000000">
        <w:rPr>
          <w:rtl w:val="0"/>
        </w:rPr>
        <w:t xml:space="preserve">DeVries et al., 2004</w:t>
      </w:r>
      <w:r w:rsidDel="00000000" w:rsidR="00000000" w:rsidRPr="00000000">
        <w:rPr>
          <w:sz w:val="20"/>
          <w:szCs w:val="20"/>
          <w:rtl w:val="0"/>
        </w:rPr>
        <w:t xml:space="preserve">).</w:t>
      </w:r>
    </w:p>
    <w:p w:rsidR="00000000" w:rsidDel="00000000" w:rsidP="00000000" w:rsidRDefault="00000000" w:rsidRPr="00000000" w14:paraId="00000007">
      <w:pPr>
        <w:spacing w:after="240" w:before="240" w:lineRule="auto"/>
        <w:rPr/>
      </w:pPr>
      <w:r w:rsidDel="00000000" w:rsidR="00000000" w:rsidRPr="00000000">
        <w:rPr>
          <w:rtl w:val="0"/>
        </w:rPr>
        <w:t xml:space="preserve">In the United Kingdom, several surveillance systems have been designed to study the quality of diabetes care and improve patient outcomes. A significant system is the National Diabetes Audit (NDA), which collects information from general practices and hospital services throughout England. The audit examines whether patients receive the recommended standards of care, including regular HbA1c testing, blood pressure monitoring, kidney function assessment and retinal screening (NDA, 2024). The information gathered then allows healthcare providers to identify regional variations in care and tackle improvements where standards are not being met. Alongside the NDA, the National Paediatric Diabetes Audit (NPDA) focuses particularly on children and younger people with diabetes, monitoring indicators such as HbA1c levels, events of diabetic ketoacidosis and hospital admissions. These surveillance systems are important in improving clinical practice by identifying areas where patient care can be improved and strengthened.</w:t>
      </w:r>
    </w:p>
    <w:p w:rsidR="00000000" w:rsidDel="00000000" w:rsidP="00000000" w:rsidRDefault="00000000" w:rsidRPr="00000000" w14:paraId="00000008">
      <w:pPr>
        <w:spacing w:after="240" w:before="240" w:lineRule="auto"/>
        <w:rPr/>
      </w:pPr>
      <w:r w:rsidDel="00000000" w:rsidR="00000000" w:rsidRPr="00000000">
        <w:rPr>
          <w:rtl w:val="0"/>
        </w:rPr>
        <w:t xml:space="preserve">At an individual patient level, disease monitoring occurs through regular clinical assessment and advances in diabetes technology. Glycated haemoglobin (HbA1c) testing remains one of the most valuable measures because it reflects the average blood glucose concentration over approximately three months. Lower HbA1c levels are associated with a reduced risk of long-term complications, making this test an essential part of routine diabetes management (NICE, 2022). Continuous glucose monitoring (CGM) devices have also been developed so individuals can monitor glucose levels in real time. This technology enables earlier identification of hypoglycaemia and hyperglycaemia, improves glycaemic control and reduces emergency hospital admissions (NICE, 2022). Regular blood pressure measurement, kidney function tests, cholesterol monitoring, retinal screening and comprehensive foot examinations further support early detection of diabetes-related complications.</w:t>
      </w:r>
    </w:p>
    <w:p w:rsidR="00000000" w:rsidDel="00000000" w:rsidP="00000000" w:rsidRDefault="00000000" w:rsidRPr="00000000" w14:paraId="00000009">
      <w:pPr>
        <w:spacing w:after="240" w:before="240" w:lineRule="auto"/>
        <w:rPr/>
      </w:pPr>
      <w:r w:rsidDel="00000000" w:rsidR="00000000" w:rsidRPr="00000000">
        <w:rPr>
          <w:rtl w:val="0"/>
        </w:rPr>
        <w:t xml:space="preserve">The impact of Type 1 diabetes, beyond physical health, may affect nearly every aspect of an individual's daily life. People living with the condition must continuously balance insulin administration, dietary intake, physical activity and blood glucose monitoring </w:t>
      </w:r>
      <w:r w:rsidDel="00000000" w:rsidR="00000000" w:rsidRPr="00000000">
        <w:rPr>
          <w:sz w:val="24"/>
          <w:szCs w:val="24"/>
          <w:rtl w:val="0"/>
        </w:rPr>
        <w:t xml:space="preserve">(Aamodt and Powers, 2025)</w:t>
      </w:r>
      <w:r w:rsidDel="00000000" w:rsidR="00000000" w:rsidRPr="00000000">
        <w:rPr>
          <w:rtl w:val="0"/>
        </w:rPr>
        <w:t xml:space="preserve">. The constant need for self-management carries a significant mental and emotional burden on many individuals. Decision-making regarding insulin doses and carbohydrate intake requires considerable knowledge and attention, while the unpredictability of blood glucose fluctuations can cause continuous stress and anxiety (Young-Hyman et al., 2016). Children and adolescents also may require additional support from parents, teachers and healthcare professionals to safely manage their condition within educational settings, while adults may experience challenges maintaining employment due to the demands of frequent glucose monitoring and insulin administration.</w:t>
      </w:r>
    </w:p>
    <w:p w:rsidR="00000000" w:rsidDel="00000000" w:rsidP="00000000" w:rsidRDefault="00000000" w:rsidRPr="00000000" w14:paraId="0000000A">
      <w:pPr>
        <w:spacing w:after="240" w:before="240" w:lineRule="auto"/>
        <w:rPr/>
      </w:pPr>
      <w:r w:rsidDel="00000000" w:rsidR="00000000" w:rsidRPr="00000000">
        <w:rPr>
          <w:rtl w:val="0"/>
        </w:rPr>
        <w:t xml:space="preserve">Poorly managed Type 1 diabetes can lead to serious complications, including hypoglycaemia, hyperglycaemia and diabetic ketoacidosis. Hypoglycaemia occurs when blood glucose levels become dangerously low and may cause confusion, seizures or loss of consciousness if left untreated. Hyperglycaemia develops when blood glucose levels remain excessive, increasing the risk of dehydration and long-term organ damage. Diabetic ketoacidosis is a life-threatening emergency that develops when insulin deficiency causes the body to break down fat for energy, producing excessive ketones that lead to metabolic acidosis. Diabetic ketoacidosis remains one of the most common causes of emergency hospital admission among individuals with Type 1 diabetes and requires immediate medical intervention </w:t>
      </w:r>
      <w:r w:rsidDel="00000000" w:rsidR="00000000" w:rsidRPr="00000000">
        <w:rPr>
          <w:rtl w:val="0"/>
        </w:rPr>
        <w:t xml:space="preserve">(Elendu et al., 2023)</w:t>
      </w:r>
      <w:r w:rsidDel="00000000" w:rsidR="00000000" w:rsidRPr="00000000">
        <w:rPr>
          <w:rtl w:val="0"/>
        </w:rPr>
        <w:t xml:space="preserve">.</w:t>
      </w:r>
    </w:p>
    <w:p w:rsidR="00000000" w:rsidDel="00000000" w:rsidP="00000000" w:rsidRDefault="00000000" w:rsidRPr="00000000" w14:paraId="0000000B">
      <w:pPr>
        <w:spacing w:after="240" w:before="240" w:lineRule="auto"/>
        <w:rPr/>
      </w:pPr>
      <w:r w:rsidDel="00000000" w:rsidR="00000000" w:rsidRPr="00000000">
        <w:rPr>
          <w:rtl w:val="0"/>
        </w:rPr>
        <w:t xml:space="preserve">The consequences of Type 1 diabetes are also experienced by families and wider communities. For example, parents of young children with diabetes often assume responsibility for administering insulin, monitoring blood glucose levels and recognising signs of hypoglycaemia, which may contribute to emotional, practical and financial pressures within the household. Schools must ensure that staff are trained appropriately to support children with diabetes during the school day and respond effectively to emergencies. Similarly, employers may be required to provide reasonable workplace adjustments, including allowing employees time for glucose monitoring, insulin administration and meal breaks. Consequently, the impact of Type 1 diabetes extends beyond healthcare, influencing education, employment and social participation across communities.</w:t>
      </w:r>
    </w:p>
    <w:p w:rsidR="00000000" w:rsidDel="00000000" w:rsidP="00000000" w:rsidRDefault="00000000" w:rsidRPr="00000000" w14:paraId="0000000C">
      <w:pPr>
        <w:spacing w:after="240" w:before="240" w:lineRule="auto"/>
        <w:rPr/>
      </w:pPr>
      <w:r w:rsidDel="00000000" w:rsidR="00000000" w:rsidRPr="00000000">
        <w:rPr>
          <w:rtl w:val="0"/>
        </w:rPr>
        <w:t xml:space="preserve">From a public health perspective, Type 1 diabetes places a substantial financial burden on the National Health Service (NHS). Lifelong insulin therapy, continuous glucose monitoring systems, insulin pumps, outpatient appointments and routine screening programmes all require significant healthcare investment. Additional costs may also come up from emergency admissions due to diabetic ketoacidosis or severe hypoglycaemia and from the treatment of long-term complications such as dialysis for kidney failure, laser therapy for diabetic retinopathy and lower limb amputations resulting from diabetic foot disease (NDA, 2024). Although modern diabetes technologies involve significant upfront expenses, evidence suggests they are cost-effective because they improve glycaemic control, reduce complications and decrease hospital admissions over a long term period (NICE, 2022).</w:t>
      </w:r>
    </w:p>
    <w:p w:rsidR="00000000" w:rsidDel="00000000" w:rsidP="00000000" w:rsidRDefault="00000000" w:rsidRPr="00000000" w14:paraId="0000000D">
      <w:pPr>
        <w:spacing w:after="240" w:before="240" w:lineRule="auto"/>
        <w:rPr/>
      </w:pPr>
      <w:r w:rsidDel="00000000" w:rsidR="00000000" w:rsidRPr="00000000">
        <w:rPr>
          <w:rtl w:val="0"/>
        </w:rPr>
        <w:t xml:space="preserve">Unlike many communicable diseases, Type 1 diabetes is not currently preventable because its precise cause remains unknown. Current evidence indicates that genetic susceptibility interacts with environmental factors, including viral infections, to trigger autoimmune destruction of pancreatic beta cells; however, no established intervention can prevent this process (</w:t>
      </w:r>
      <w:r w:rsidDel="00000000" w:rsidR="00000000" w:rsidRPr="00000000">
        <w:rPr>
          <w:sz w:val="24"/>
          <w:szCs w:val="24"/>
          <w:rtl w:val="0"/>
        </w:rPr>
        <w:t xml:space="preserve">Aamodt and Powers, 2025</w:t>
      </w:r>
      <w:r w:rsidDel="00000000" w:rsidR="00000000" w:rsidRPr="00000000">
        <w:rPr>
          <w:rtl w:val="0"/>
        </w:rPr>
        <w:t xml:space="preserve">). Consequently, public health efforts focus on optimising disease management, preventing complications and improving quality of life rather than primary prevention.</w:t>
      </w:r>
    </w:p>
    <w:p w:rsidR="00000000" w:rsidDel="00000000" w:rsidP="00000000" w:rsidRDefault="00000000" w:rsidRPr="00000000" w14:paraId="0000000E">
      <w:pPr>
        <w:spacing w:after="240" w:before="240" w:lineRule="auto"/>
        <w:rPr/>
      </w:pPr>
      <w:r w:rsidDel="00000000" w:rsidR="00000000" w:rsidRPr="00000000">
        <w:rPr>
          <w:rtl w:val="0"/>
        </w:rPr>
        <w:t xml:space="preserve">Insulin replacement therapy remains the standard of Type 1 diabetes management. All individuals require lifelong insulin administration through either multiple daily injections or continuous subcutaneous insulin infusion using insulin pumps. Advances in insulin pump technology have allowed treatment to more closely replicate normal insulin secretion, leading to improved glycaemic control and more flexibility in everyday life (NICE, 2022). Alongside insulin therapy, continuous glucose monitoring systems have become increasingly important because they provide real-time glucose readings and signals when blood glucose levels move outside safe ranges. This technology allows individuals to make better decisions regarding insulin doses, food intake and physical activity, therefore reducing the frequency of severe hypoglycaemia and improving overall management of the condition.</w:t>
      </w:r>
    </w:p>
    <w:p w:rsidR="00000000" w:rsidDel="00000000" w:rsidP="00000000" w:rsidRDefault="00000000" w:rsidRPr="00000000" w14:paraId="0000000F">
      <w:pPr>
        <w:spacing w:after="240" w:before="240" w:lineRule="auto"/>
        <w:rPr/>
      </w:pPr>
      <w:r w:rsidDel="00000000" w:rsidR="00000000" w:rsidRPr="00000000">
        <w:rPr>
          <w:rtl w:val="0"/>
        </w:rPr>
        <w:t xml:space="preserve">Patient education also plays an important role in managing Type 1 diabetes. Educational programmes teach patients how to adjust insulin doses according to carbohydrate intake, recognise and manage hypoglycaemia and reduce the risk of complications. Research consistently demonstrates that structured education improves self-management skills, enhances glycaemic control and reduces emergency hospital admissions (NICE, 2022). Healthcare professionals also encourage healthy lifestyle behaviours, including regular physical activity, balanced nutrition and maintaining a healthy body weight. Although these measures do not prevent the onset of Type 1 diabetes, they can help significantly to improve cardiovascular health and long-term disease outcomes.</w:t>
      </w:r>
    </w:p>
    <w:p w:rsidR="00000000" w:rsidDel="00000000" w:rsidP="00000000" w:rsidRDefault="00000000" w:rsidRPr="00000000" w14:paraId="00000010">
      <w:pPr>
        <w:spacing w:after="240" w:before="240" w:lineRule="auto"/>
        <w:rPr/>
      </w:pPr>
      <w:r w:rsidDel="00000000" w:rsidR="00000000" w:rsidRPr="00000000">
        <w:rPr>
          <w:rtl w:val="0"/>
        </w:rPr>
        <w:t xml:space="preserve">Meeting the needs of individuals living with Type 1 diabetes requires coordination from health and social care services. Primary care teams, including general practitioners and practice nurses, provide routine monitoring, medication reviews and referrals to specialist services when necessary. Multidisciplinary diabetes teams, consisting of consultant diabetologists, diabetes specialist nurses, dietitians, podiatrists, pharmacists and psychologists, deliver comprehensive care specified for the individual's needs (NICE, 2022). Dietitians provide education on carbohydrate counting and healthy eating, while podiatrists help prevent diabetic foot complications through regular assessment and treatment. Clinical psychologists play an important role by supporting individuals experiencing diabetes distress, anxiety and depression, recognising that psychological wellbeing is closely linked to successful diabetes self-management (Young-Hyman et al., 2016).</w:t>
      </w:r>
    </w:p>
    <w:p w:rsidR="00000000" w:rsidDel="00000000" w:rsidP="00000000" w:rsidRDefault="00000000" w:rsidRPr="00000000" w14:paraId="00000011">
      <w:pPr>
        <w:spacing w:after="240" w:before="240" w:lineRule="auto"/>
        <w:rPr/>
      </w:pPr>
      <w:r w:rsidDel="00000000" w:rsidR="00000000" w:rsidRPr="00000000">
        <w:rPr>
          <w:rtl w:val="0"/>
        </w:rPr>
        <w:t xml:space="preserve">Community-based support further strengthens diabetes care by helping individuals manage their condition outside the hospital setting. Community nurses assist patients with complex healthcare needs, while school nurses work closely with families and educational staff to ensure children with diabetes can participate safely in school activities. Voluntary organisations, particularly Diabetes UK, complement statutory healthcare services by providing educational resources, peer support groups, advocacy and helplines (Diabetes UK, 2025). These services reduce social isolation, increase confidence in self-management and promote greater independence among people living with Type 1 diabetes. Overall, having a diverse approach involving healthcare professionals, social care providers, educational institutions and voluntary organisations is essential to minimise complications, improve quality of life and reduce the long-term burden of Type 1 diabetes on individuals, communities and the NHS.</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pStyle w:val="Heading1"/>
        <w:keepNext w:val="0"/>
        <w:keepLines w:val="0"/>
        <w:spacing w:before="480" w:lineRule="auto"/>
        <w:rPr>
          <w:b w:val="1"/>
          <w:bCs w:val="1"/>
          <w:sz w:val="34"/>
          <w:szCs w:val="34"/>
        </w:rPr>
      </w:pPr>
      <w:bookmarkStart w:colFirst="0" w:colLast="0" w:name="_uw7pon7k6jye" w:id="1"/>
      <w:bookmarkEnd w:id="1"/>
      <w:r w:rsidDel="00000000" w:rsidR="00000000" w:rsidRPr="00000000">
        <w:rPr>
          <w:b w:val="1"/>
          <w:bCs w:val="1"/>
          <w:sz w:val="34"/>
          <w:szCs w:val="34"/>
          <w:rtl w:val="0"/>
        </w:rPr>
        <w:t xml:space="preserve">Conclusion</w:t>
      </w:r>
    </w:p>
    <w:p w:rsidR="00000000" w:rsidDel="00000000" w:rsidP="00000000" w:rsidRDefault="00000000" w:rsidRPr="00000000" w14:paraId="00000014">
      <w:pPr>
        <w:spacing w:after="240" w:before="240" w:lineRule="auto"/>
        <w:rPr/>
      </w:pPr>
      <w:r w:rsidDel="00000000" w:rsidR="00000000" w:rsidRPr="00000000">
        <w:rPr>
          <w:rtl w:val="0"/>
        </w:rPr>
        <w:t xml:space="preserve">Type 1 diabetes is a lifelong autoimmune condition requiring continuous insulin therapy and careful blood glucose management. Although it cannot currently be prevented, advances in insulin treatment, continuous glucose monitoring and structured education have significantly improved health outcomes and quality of life. Monitoring through epidemiological measures such as incidence, prevalence and DALYs, alongside surveillance systems including the National Diabetes Audit and National Paediatric Diabetes Audit, enables healthcare services to evaluate disease burden and improve standards of care. Type 1 diabetes has substantial consequences for individuals, families, communities and the NHS due to its physical, psychological and financial impacts. Effective multidisciplinary healthcare, early screening for complications and access to specialist support services are essential for disease management. Investment in diabetes technology, patient education and integrated health and social care services will be vital in reducing complications and improving long-term outcomes for people living with Type 1 diabetes.</w:t>
      </w:r>
    </w:p>
    <w:p w:rsidR="00000000" w:rsidDel="00000000" w:rsidP="00000000" w:rsidRDefault="00000000" w:rsidRPr="00000000" w14:paraId="00000015">
      <w:pPr>
        <w:rPr>
          <w:b w:val="1"/>
          <w:bCs w:val="1"/>
          <w:sz w:val="34"/>
          <w:szCs w:val="34"/>
        </w:rPr>
      </w:pPr>
      <w:r w:rsidDel="00000000" w:rsidR="00000000" w:rsidRPr="00000000">
        <w:rPr>
          <w:b w:val="1"/>
          <w:bCs w:val="1"/>
          <w:sz w:val="34"/>
          <w:szCs w:val="34"/>
          <w:rtl w:val="0"/>
        </w:rPr>
        <w:t xml:space="preserve">Reference List </w:t>
      </w:r>
    </w:p>
    <w:p w:rsidR="00000000" w:rsidDel="00000000" w:rsidP="00000000" w:rsidRDefault="00000000" w:rsidRPr="00000000" w14:paraId="00000016">
      <w:pPr>
        <w:rPr>
          <w:b w:val="1"/>
          <w:bCs w:val="1"/>
          <w:sz w:val="34"/>
          <w:szCs w:val="34"/>
        </w:rPr>
      </w:pPr>
      <w:r w:rsidDel="00000000" w:rsidR="00000000" w:rsidRPr="00000000">
        <w:rPr>
          <w:rtl w:val="0"/>
        </w:rPr>
      </w:r>
    </w:p>
    <w:p w:rsidR="00000000" w:rsidDel="00000000" w:rsidP="00000000" w:rsidRDefault="00000000" w:rsidRPr="00000000" w14:paraId="00000017">
      <w:pPr>
        <w:spacing w:after="240" w:line="360" w:lineRule="auto"/>
        <w:rPr/>
      </w:pPr>
      <w:r w:rsidDel="00000000" w:rsidR="00000000" w:rsidRPr="00000000">
        <w:rPr>
          <w:rtl w:val="0"/>
        </w:rPr>
        <w:t xml:space="preserve">Aamodt, K.I. and Powers, A.C. (2025). The pathophysiology, presentation and classification of Type 1 diabetes. </w:t>
      </w:r>
      <w:r w:rsidDel="00000000" w:rsidR="00000000" w:rsidRPr="00000000">
        <w:rPr>
          <w:i w:val="1"/>
          <w:iCs w:val="1"/>
          <w:rtl w:val="0"/>
        </w:rPr>
        <w:t xml:space="preserve">Diabetes, Obesity and Metabolism</w:t>
      </w:r>
      <w:r w:rsidDel="00000000" w:rsidR="00000000" w:rsidRPr="00000000">
        <w:rPr>
          <w:rtl w:val="0"/>
        </w:rPr>
        <w:t xml:space="preserve">, 27(S6), pp.15–27. doi:10.1111/dom.16628.</w:t>
      </w:r>
    </w:p>
    <w:p w:rsidR="00000000" w:rsidDel="00000000" w:rsidP="00000000" w:rsidRDefault="00000000" w:rsidRPr="00000000" w14:paraId="00000018">
      <w:pPr>
        <w:spacing w:after="240" w:line="360" w:lineRule="auto"/>
        <w:rPr/>
      </w:pPr>
      <w:r w:rsidDel="00000000" w:rsidR="00000000" w:rsidRPr="00000000">
        <w:rPr>
          <w:rtl w:val="0"/>
        </w:rPr>
        <w:t xml:space="preserve">DeVries, J.H., Snoek, F.J. and Heine, R.J. (2004). Persistent poor glycaemic control in adult Type 1 diabetes. A closer look at the problem. </w:t>
      </w:r>
      <w:r w:rsidDel="00000000" w:rsidR="00000000" w:rsidRPr="00000000">
        <w:rPr>
          <w:i w:val="1"/>
          <w:iCs w:val="1"/>
          <w:rtl w:val="0"/>
        </w:rPr>
        <w:t xml:space="preserve">Diabetic Medicine</w:t>
      </w:r>
      <w:r w:rsidDel="00000000" w:rsidR="00000000" w:rsidRPr="00000000">
        <w:rPr>
          <w:rtl w:val="0"/>
        </w:rPr>
        <w:t xml:space="preserve">, 21(12), pp.1263–1268. doi:10.1111/j.1464-5491.2004.01386.x.</w:t>
      </w:r>
    </w:p>
    <w:p w:rsidR="00000000" w:rsidDel="00000000" w:rsidP="00000000" w:rsidRDefault="00000000" w:rsidRPr="00000000" w14:paraId="00000019">
      <w:pPr>
        <w:spacing w:after="240" w:line="360" w:lineRule="auto"/>
        <w:rPr/>
      </w:pPr>
      <w:r w:rsidDel="00000000" w:rsidR="00000000" w:rsidRPr="00000000">
        <w:rPr>
          <w:rtl w:val="0"/>
        </w:rPr>
        <w:t xml:space="preserve">Elendu, C., David, J.A., Udoyen, A.-O., Egbunu, E.O., Ogbuiyi-Chima, I.C., Unakalamba, L.O., Temitope, A.I., Ibhiedu, J.O., Ibhiedu, A.O., Nwosu, P.U., Koroyin, M.O., Eze, C., Boluwatife, A.I., Alabi, O., Okabekwa, O.S., Fatoye, J.O. and Ramon-Yusuf, H.I. (2023). Comprehensive review of diabetic ketoacidosis: An update. </w:t>
      </w:r>
      <w:r w:rsidDel="00000000" w:rsidR="00000000" w:rsidRPr="00000000">
        <w:rPr>
          <w:i w:val="1"/>
          <w:iCs w:val="1"/>
          <w:rtl w:val="0"/>
        </w:rPr>
        <w:t xml:space="preserve">Annals of Medicine and Surgery</w:t>
      </w:r>
      <w:r w:rsidDel="00000000" w:rsidR="00000000" w:rsidRPr="00000000">
        <w:rPr>
          <w:rtl w:val="0"/>
        </w:rPr>
        <w:t xml:space="preserve">, [online] 85(6), pp.2802–2807. doi:10.1097/ms9.0000000000000894.</w:t>
      </w:r>
    </w:p>
    <w:p w:rsidR="00000000" w:rsidDel="00000000" w:rsidP="00000000" w:rsidRDefault="00000000" w:rsidRPr="00000000" w14:paraId="0000001A">
      <w:pPr>
        <w:spacing w:after="240" w:line="360" w:lineRule="auto"/>
        <w:rPr/>
      </w:pPr>
      <w:r w:rsidDel="00000000" w:rsidR="00000000" w:rsidRPr="00000000">
        <w:rPr>
          <w:rtl w:val="0"/>
        </w:rPr>
        <w:t xml:space="preserve">Friis, R. and Sellers, T. (2021). </w:t>
      </w:r>
      <w:r w:rsidDel="00000000" w:rsidR="00000000" w:rsidRPr="00000000">
        <w:rPr>
          <w:i w:val="1"/>
          <w:iCs w:val="1"/>
          <w:rtl w:val="0"/>
        </w:rPr>
        <w:t xml:space="preserve">Epidemiology for public health practice SIXTH EDITION</w:t>
      </w:r>
      <w:r w:rsidDel="00000000" w:rsidR="00000000" w:rsidRPr="00000000">
        <w:rPr>
          <w:rtl w:val="0"/>
        </w:rPr>
        <w:t xml:space="preserve">. Available at: https://samples.jblearning.com/9781284175431/9781284191127_FMxx_Friis_Secured.pdf [Accessed 9 July 2026].</w:t>
      </w:r>
    </w:p>
    <w:p w:rsidR="00000000" w:rsidDel="00000000" w:rsidP="00000000" w:rsidRDefault="00000000" w:rsidRPr="00000000" w14:paraId="0000001B">
      <w:pPr>
        <w:spacing w:after="240" w:line="360" w:lineRule="auto"/>
        <w:rPr/>
      </w:pPr>
      <w:r w:rsidDel="00000000" w:rsidR="00000000" w:rsidRPr="00000000">
        <w:rPr>
          <w:rtl w:val="0"/>
        </w:rPr>
        <w:t xml:space="preserve">Gregory, G.A., Robinson, T.I.G., Linklater, S.E., Wang, F., Colagiuri, S., Beaufort, C. de, Donaghue, K.C., Magliano, D.J., Maniam, J., Orchard, T.J., Rai, P. and Ogle, G.D. (2022). Global incidence, prevalence, and Mortality of Type 1 Diabetes in 2021 with Projection to 2040: A Modelling Study. </w:t>
      </w:r>
      <w:r w:rsidDel="00000000" w:rsidR="00000000" w:rsidRPr="00000000">
        <w:rPr>
          <w:i w:val="1"/>
          <w:iCs w:val="1"/>
          <w:rtl w:val="0"/>
        </w:rPr>
        <w:t xml:space="preserve">The Lancet Diabetes &amp; Endocrinology</w:t>
      </w:r>
      <w:r w:rsidDel="00000000" w:rsidR="00000000" w:rsidRPr="00000000">
        <w:rPr>
          <w:rtl w:val="0"/>
        </w:rPr>
        <w:t xml:space="preserve">, 10(10), pp.741–760. doi:10.1016/S2213-8587(22)00218-2.</w:t>
      </w:r>
    </w:p>
    <w:p w:rsidR="00000000" w:rsidDel="00000000" w:rsidP="00000000" w:rsidRDefault="00000000" w:rsidRPr="00000000" w14:paraId="0000001C">
      <w:pPr>
        <w:spacing w:after="240" w:line="360" w:lineRule="auto"/>
        <w:rPr/>
      </w:pPr>
      <w:r w:rsidDel="00000000" w:rsidR="00000000" w:rsidRPr="00000000">
        <w:rPr>
          <w:rtl w:val="0"/>
        </w:rPr>
        <w:t xml:space="preserve">NICE (2022). </w:t>
      </w:r>
      <w:r w:rsidDel="00000000" w:rsidR="00000000" w:rsidRPr="00000000">
        <w:rPr>
          <w:i w:val="1"/>
          <w:iCs w:val="1"/>
          <w:rtl w:val="0"/>
        </w:rPr>
        <w:t xml:space="preserve">Overview | Type 1 Diabetes in adults: Diagnosis and Management | Guidance | NICE</w:t>
      </w:r>
      <w:r w:rsidDel="00000000" w:rsidR="00000000" w:rsidRPr="00000000">
        <w:rPr>
          <w:rtl w:val="0"/>
        </w:rPr>
        <w:t xml:space="preserve">. Nice.org.uk. Available at: https://www.nice.org.uk/guidance/ng17 [Accessed 9 July 2026].</w:t>
      </w:r>
    </w:p>
    <w:p w:rsidR="00000000" w:rsidDel="00000000" w:rsidP="00000000" w:rsidRDefault="00000000" w:rsidRPr="00000000" w14:paraId="0000001D">
      <w:pPr>
        <w:spacing w:after="240" w:line="360" w:lineRule="auto"/>
        <w:rPr/>
      </w:pPr>
      <w:r w:rsidDel="00000000" w:rsidR="00000000" w:rsidRPr="00000000">
        <w:rPr>
          <w:rtl w:val="0"/>
        </w:rPr>
        <w:t xml:space="preserve">NDA (2024). </w:t>
      </w:r>
      <w:r w:rsidDel="00000000" w:rsidR="00000000" w:rsidRPr="00000000">
        <w:rPr>
          <w:i w:val="1"/>
          <w:iCs w:val="1"/>
          <w:rtl w:val="0"/>
        </w:rPr>
        <w:t xml:space="preserve">National Diabetes Audit - NHS Digital</w:t>
      </w:r>
      <w:r w:rsidDel="00000000" w:rsidR="00000000" w:rsidRPr="00000000">
        <w:rPr>
          <w:rtl w:val="0"/>
        </w:rPr>
        <w:t xml:space="preserve">. NHS Digital. Available at: https://digital.nhs.uk/data-and-information/publications/statistical/national-diabetes-audit [Accessed 9 July 2026].</w:t>
      </w:r>
    </w:p>
    <w:p w:rsidR="00000000" w:rsidDel="00000000" w:rsidP="00000000" w:rsidRDefault="00000000" w:rsidRPr="00000000" w14:paraId="0000001E">
      <w:pPr>
        <w:spacing w:after="240" w:line="360" w:lineRule="auto"/>
        <w:rPr/>
      </w:pPr>
      <w:r w:rsidDel="00000000" w:rsidR="00000000" w:rsidRPr="00000000">
        <w:rPr>
          <w:rtl w:val="0"/>
        </w:rPr>
        <w:t xml:space="preserve">WHO (2022). </w:t>
      </w:r>
      <w:r w:rsidDel="00000000" w:rsidR="00000000" w:rsidRPr="00000000">
        <w:rPr>
          <w:i w:val="1"/>
          <w:iCs w:val="1"/>
          <w:rtl w:val="0"/>
        </w:rPr>
        <w:t xml:space="preserve">Global health estimates: Leading causes of DALYs</w:t>
      </w:r>
      <w:r w:rsidDel="00000000" w:rsidR="00000000" w:rsidRPr="00000000">
        <w:rPr>
          <w:rtl w:val="0"/>
        </w:rPr>
        <w:t xml:space="preserve">. [online] World Health Organization. Available at: https://www.who.int/data/gho/data/themes/mortality-and-global-health-estimates/global-health-estimates-leading-causes-of-dalys [Accessed 9 July 2026].</w:t>
      </w:r>
    </w:p>
    <w:p w:rsidR="00000000" w:rsidDel="00000000" w:rsidP="00000000" w:rsidRDefault="00000000" w:rsidRPr="00000000" w14:paraId="0000001F">
      <w:pPr>
        <w:spacing w:after="240" w:line="360" w:lineRule="auto"/>
        <w:rPr/>
      </w:pPr>
      <w:r w:rsidDel="00000000" w:rsidR="00000000" w:rsidRPr="00000000">
        <w:rPr>
          <w:rtl w:val="0"/>
        </w:rPr>
        <w:t xml:space="preserve">Young-Hyman, D., de Groot, M., Hill-Briggs, F., Gonzalez, J.S., Hood, K. and Peyrot, M. (2016). Psychosocial Care for People With Diabetes: A Position Statement of the American Diabetes Association. </w:t>
      </w:r>
      <w:r w:rsidDel="00000000" w:rsidR="00000000" w:rsidRPr="00000000">
        <w:rPr>
          <w:i w:val="1"/>
          <w:iCs w:val="1"/>
          <w:rtl w:val="0"/>
        </w:rPr>
        <w:t xml:space="preserve">Diabetes Care</w:t>
      </w:r>
      <w:r w:rsidDel="00000000" w:rsidR="00000000" w:rsidRPr="00000000">
        <w:rPr>
          <w:rtl w:val="0"/>
        </w:rPr>
        <w:t xml:space="preserve">, 39(12), pp.2126–2140. doi:10.2337/dc16-2053.</w:t>
      </w:r>
    </w:p>
    <w:p w:rsidR="00000000" w:rsidDel="00000000" w:rsidP="00000000" w:rsidRDefault="00000000" w:rsidRPr="00000000" w14:paraId="00000020">
      <w:pPr>
        <w:spacing w:after="240" w:line="360" w:lineRule="auto"/>
        <w:rPr/>
      </w:pPr>
      <w:r w:rsidDel="00000000" w:rsidR="00000000" w:rsidRPr="00000000">
        <w:rPr>
          <w:rtl w:val="0"/>
        </w:rPr>
        <w:t xml:space="preserve">Diabetes UK (2025). </w:t>
      </w:r>
      <w:r w:rsidDel="00000000" w:rsidR="00000000" w:rsidRPr="00000000">
        <w:rPr>
          <w:i w:val="1"/>
          <w:iCs w:val="1"/>
          <w:rtl w:val="0"/>
        </w:rPr>
        <w:t xml:space="preserve">Diabetes UK.</w:t>
      </w:r>
      <w:r w:rsidDel="00000000" w:rsidR="00000000" w:rsidRPr="00000000">
        <w:rPr>
          <w:rtl w:val="0"/>
        </w:rPr>
        <w:t xml:space="preserve"> Available at: https://www.diabetes.org.uk/support-for-you/membership?gad_campaignid=13074352736&amp;gad_source=1&amp;gbraid=0aaaaacre7ljqzbiyahcii9w11cakv7gu- [Accessed 12 July 2026].</w:t>
      </w:r>
    </w:p>
    <w:p w:rsidR="00000000" w:rsidDel="00000000" w:rsidP="00000000" w:rsidRDefault="00000000" w:rsidRPr="00000000" w14:paraId="00000021">
      <w:pPr>
        <w:rPr/>
      </w:pPr>
      <w:r w:rsidDel="00000000" w:rsidR="00000000" w:rsidRPr="00000000">
        <w:rPr>
          <w:rtl w:val="0"/>
        </w:rPr>
      </w:r>
    </w:p>
    <w:sectPr>
      <w:footerReference r:id="rId6"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2">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