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1A8758B" w14:textId="77777777" w:rsidR="00B322E0" w:rsidRDefault="00B322E0">
      <w:pPr>
        <w:jc w:val="center"/>
        <w:rPr>
          <w:b/>
          <w:i/>
          <w:color w:val="auto"/>
          <w:sz w:val="88"/>
          <w:szCs w:val="88"/>
        </w:rPr>
      </w:pPr>
    </w:p>
    <w:p w14:paraId="36B2151C" w14:textId="77777777" w:rsidR="00410CBD" w:rsidRPr="00752C57" w:rsidRDefault="00410CBD">
      <w:pPr>
        <w:jc w:val="center"/>
        <w:rPr>
          <w:b/>
          <w:i/>
          <w:color w:val="auto"/>
          <w:sz w:val="88"/>
          <w:szCs w:val="8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3"/>
        <w:gridCol w:w="8817"/>
      </w:tblGrid>
      <w:tr w:rsidR="00656B94" w:rsidRPr="00C23109" w14:paraId="27E77D87" w14:textId="77777777" w:rsidTr="00410CBD">
        <w:trPr>
          <w:trHeight w:val="692"/>
        </w:trPr>
        <w:tc>
          <w:tcPr>
            <w:tcW w:w="2048" w:type="dxa"/>
          </w:tcPr>
          <w:p w14:paraId="68E0B52D" w14:textId="77777777" w:rsidR="00656B94" w:rsidRPr="00C23109" w:rsidRDefault="00656B94" w:rsidP="00F80D70">
            <w:pPr>
              <w:rPr>
                <w:b/>
                <w:i/>
              </w:rPr>
            </w:pPr>
            <w:r w:rsidRPr="00C23109">
              <w:rPr>
                <w:b/>
                <w:i/>
              </w:rPr>
              <w:t>Module</w:t>
            </w:r>
          </w:p>
        </w:tc>
        <w:tc>
          <w:tcPr>
            <w:tcW w:w="7347" w:type="dxa"/>
          </w:tcPr>
          <w:p w14:paraId="0F937B22" w14:textId="77777777" w:rsidR="00656B94" w:rsidRPr="00C23109" w:rsidRDefault="00B33DAC" w:rsidP="00F80D70">
            <w:r w:rsidRPr="00B33DAC">
              <w:t>Introduction to Physiology</w:t>
            </w:r>
          </w:p>
        </w:tc>
      </w:tr>
      <w:tr w:rsidR="00656B94" w:rsidRPr="00C23109" w14:paraId="191F891E" w14:textId="77777777" w:rsidTr="00410CBD">
        <w:trPr>
          <w:trHeight w:val="717"/>
        </w:trPr>
        <w:tc>
          <w:tcPr>
            <w:tcW w:w="2048" w:type="dxa"/>
          </w:tcPr>
          <w:p w14:paraId="76C76407" w14:textId="77777777" w:rsidR="00656B94" w:rsidRPr="00C23109" w:rsidRDefault="00656B94" w:rsidP="00F80D70">
            <w:pPr>
              <w:rPr>
                <w:b/>
                <w:i/>
              </w:rPr>
            </w:pPr>
            <w:r w:rsidRPr="00C23109">
              <w:rPr>
                <w:b/>
                <w:i/>
              </w:rPr>
              <w:t>Module Code</w:t>
            </w:r>
          </w:p>
        </w:tc>
        <w:tc>
          <w:tcPr>
            <w:tcW w:w="7347" w:type="dxa"/>
          </w:tcPr>
          <w:p w14:paraId="7CD24973" w14:textId="77777777" w:rsidR="00656B94" w:rsidRDefault="00B33DAC" w:rsidP="00B33DAC">
            <w:r w:rsidRPr="00B33DAC">
              <w:t xml:space="preserve">BMHP5023 </w:t>
            </w:r>
          </w:p>
          <w:p w14:paraId="5A556564" w14:textId="4E9CA3AA" w:rsidR="0091789F" w:rsidRPr="00C23109" w:rsidRDefault="004B56FC" w:rsidP="00B33DAC">
            <w:r>
              <w:t>Component 1</w:t>
            </w:r>
          </w:p>
        </w:tc>
      </w:tr>
      <w:tr w:rsidR="00656B94" w:rsidRPr="00C23109" w14:paraId="37959CB6" w14:textId="77777777" w:rsidTr="00410CBD">
        <w:trPr>
          <w:trHeight w:val="692"/>
        </w:trPr>
        <w:tc>
          <w:tcPr>
            <w:tcW w:w="2048" w:type="dxa"/>
          </w:tcPr>
          <w:p w14:paraId="69DC0AEE" w14:textId="77777777" w:rsidR="00656B94" w:rsidRPr="00C23109" w:rsidRDefault="00656B94" w:rsidP="00F80D70">
            <w:pPr>
              <w:rPr>
                <w:b/>
                <w:i/>
              </w:rPr>
            </w:pPr>
            <w:r w:rsidRPr="00C23109">
              <w:rPr>
                <w:b/>
                <w:i/>
              </w:rPr>
              <w:t xml:space="preserve">Student Name/ ID </w:t>
            </w:r>
          </w:p>
        </w:tc>
        <w:tc>
          <w:tcPr>
            <w:tcW w:w="7347" w:type="dxa"/>
          </w:tcPr>
          <w:p w14:paraId="2FB5E652" w14:textId="77777777" w:rsidR="00656B94" w:rsidRDefault="00466687" w:rsidP="00F80D70">
            <w:proofErr w:type="spellStart"/>
            <w:r>
              <w:t>Rabina</w:t>
            </w:r>
            <w:proofErr w:type="spellEnd"/>
            <w:r>
              <w:t xml:space="preserve"> Akhtar </w:t>
            </w:r>
          </w:p>
          <w:p w14:paraId="399C2DCB" w14:textId="70738E0F" w:rsidR="00466687" w:rsidRPr="00C23109" w:rsidRDefault="00466687" w:rsidP="00F80D70">
            <w:r>
              <w:t>2421435</w:t>
            </w:r>
          </w:p>
        </w:tc>
      </w:tr>
      <w:tr w:rsidR="00656B94" w:rsidRPr="00C23109" w14:paraId="3B2CAF76" w14:textId="77777777" w:rsidTr="00410CBD">
        <w:trPr>
          <w:trHeight w:val="692"/>
        </w:trPr>
        <w:tc>
          <w:tcPr>
            <w:tcW w:w="2048" w:type="dxa"/>
          </w:tcPr>
          <w:p w14:paraId="01A9D567" w14:textId="77777777" w:rsidR="00656B94" w:rsidRPr="00C23109" w:rsidRDefault="00656B94" w:rsidP="00F80D70">
            <w:pPr>
              <w:rPr>
                <w:b/>
                <w:i/>
              </w:rPr>
            </w:pPr>
            <w:r w:rsidRPr="00C23109">
              <w:rPr>
                <w:b/>
                <w:i/>
              </w:rPr>
              <w:t>Assignment Title</w:t>
            </w:r>
          </w:p>
        </w:tc>
        <w:tc>
          <w:tcPr>
            <w:tcW w:w="7347" w:type="dxa"/>
          </w:tcPr>
          <w:p w14:paraId="6B6C7761" w14:textId="77777777" w:rsidR="00656B94" w:rsidRPr="00C23109" w:rsidRDefault="00004EB7" w:rsidP="00F80D70">
            <w:r w:rsidRPr="00004EB7">
              <w:t>Glucose Homeostasis, Cellular Metabolism, Monitoring and Evidence-Based Lifestyle Management</w:t>
            </w:r>
          </w:p>
        </w:tc>
      </w:tr>
      <w:tr w:rsidR="00656B94" w:rsidRPr="00C23109" w14:paraId="7945EA4D" w14:textId="77777777" w:rsidTr="00410CBD">
        <w:trPr>
          <w:trHeight w:val="692"/>
        </w:trPr>
        <w:tc>
          <w:tcPr>
            <w:tcW w:w="2048" w:type="dxa"/>
          </w:tcPr>
          <w:p w14:paraId="3C542466" w14:textId="77777777" w:rsidR="00656B94" w:rsidRPr="00C23109" w:rsidRDefault="00656B94" w:rsidP="00F80D70">
            <w:pPr>
              <w:rPr>
                <w:b/>
                <w:i/>
              </w:rPr>
            </w:pPr>
            <w:r w:rsidRPr="00C23109">
              <w:rPr>
                <w:b/>
                <w:i/>
              </w:rPr>
              <w:t>Submission Date</w:t>
            </w:r>
          </w:p>
        </w:tc>
        <w:tc>
          <w:tcPr>
            <w:tcW w:w="7347" w:type="dxa"/>
          </w:tcPr>
          <w:p w14:paraId="0305316E" w14:textId="21EDFB0B" w:rsidR="00656B94" w:rsidRPr="00C23109" w:rsidRDefault="004B56FC" w:rsidP="00F80D70">
            <w:r>
              <w:t>21</w:t>
            </w:r>
            <w:r w:rsidR="005658E3">
              <w:t xml:space="preserve"> October 2026</w:t>
            </w:r>
          </w:p>
        </w:tc>
      </w:tr>
    </w:tbl>
    <w:p w14:paraId="0A3A85AA" w14:textId="77777777" w:rsidR="00793373" w:rsidRPr="00752C57" w:rsidRDefault="009C2D59">
      <w:pPr>
        <w:jc w:val="center"/>
        <w:rPr>
          <w:b/>
          <w:i/>
          <w:color w:val="auto"/>
          <w:sz w:val="72"/>
          <w:szCs w:val="72"/>
        </w:rPr>
      </w:pPr>
      <w:r w:rsidRPr="00752C57">
        <w:rPr>
          <w:b/>
          <w:bCs/>
          <w:i/>
          <w:color w:val="auto"/>
          <w:sz w:val="72"/>
          <w:szCs w:val="72"/>
        </w:rPr>
        <w:t> </w:t>
      </w:r>
      <w:r w:rsidR="00B57A65" w:rsidRPr="00752C57">
        <w:rPr>
          <w:b/>
          <w:i/>
          <w:color w:val="auto"/>
          <w:sz w:val="72"/>
          <w:szCs w:val="72"/>
        </w:rPr>
        <w:t xml:space="preserve"> </w:t>
      </w:r>
    </w:p>
    <w:p w14:paraId="02266E34" w14:textId="77777777" w:rsidR="00793373" w:rsidRPr="00752C57" w:rsidRDefault="00793373">
      <w:pPr>
        <w:pStyle w:val="ContentsHeading"/>
        <w:pageBreakBefore/>
        <w:rPr>
          <w:color w:val="auto"/>
        </w:rPr>
      </w:pPr>
      <w:r w:rsidRPr="00752C57">
        <w:rPr>
          <w:color w:val="auto"/>
        </w:rPr>
        <w:t>Table of Contents</w:t>
      </w:r>
    </w:p>
    <w:p w14:paraId="175E7126" w14:textId="77777777" w:rsidR="008D68C1" w:rsidRDefault="00793373">
      <w:pPr>
        <w:pStyle w:val="TOC1"/>
        <w:rPr>
          <w:rFonts w:asciiTheme="minorHAnsi" w:eastAsiaTheme="minorEastAsia" w:hAnsiTheme="minorHAnsi" w:cstheme="minorBidi"/>
          <w:noProof/>
          <w:color w:val="auto"/>
          <w:sz w:val="22"/>
          <w:lang w:eastAsia="en-GB"/>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8D68C1">
        <w:rPr>
          <w:noProof/>
        </w:rPr>
        <w:t>Introduction</w:t>
      </w:r>
      <w:r w:rsidR="008D68C1">
        <w:rPr>
          <w:noProof/>
        </w:rPr>
        <w:tab/>
      </w:r>
      <w:r w:rsidR="008D68C1">
        <w:rPr>
          <w:noProof/>
        </w:rPr>
        <w:fldChar w:fldCharType="begin"/>
      </w:r>
      <w:r w:rsidR="008D68C1">
        <w:rPr>
          <w:noProof/>
        </w:rPr>
        <w:instrText xml:space="preserve"> PAGEREF _Toc242805471 \h </w:instrText>
      </w:r>
      <w:r w:rsidR="008D68C1">
        <w:rPr>
          <w:noProof/>
        </w:rPr>
      </w:r>
      <w:r w:rsidR="008D68C1">
        <w:rPr>
          <w:noProof/>
        </w:rPr>
        <w:fldChar w:fldCharType="separate"/>
      </w:r>
      <w:r w:rsidR="008D68C1">
        <w:rPr>
          <w:noProof/>
        </w:rPr>
        <w:t>3</w:t>
      </w:r>
      <w:r w:rsidR="008D68C1">
        <w:rPr>
          <w:noProof/>
        </w:rPr>
        <w:fldChar w:fldCharType="end"/>
      </w:r>
    </w:p>
    <w:p w14:paraId="1D277163" w14:textId="77777777" w:rsidR="008D68C1" w:rsidRDefault="008D68C1">
      <w:pPr>
        <w:pStyle w:val="TOC1"/>
        <w:rPr>
          <w:rFonts w:asciiTheme="minorHAnsi" w:eastAsiaTheme="minorEastAsia" w:hAnsiTheme="minorHAnsi" w:cstheme="minorBidi"/>
          <w:noProof/>
          <w:color w:val="auto"/>
          <w:sz w:val="22"/>
          <w:lang w:eastAsia="en-GB"/>
        </w:rPr>
      </w:pPr>
      <w:r>
        <w:rPr>
          <w:noProof/>
        </w:rPr>
        <w:t>Normal Blood-Glucose Regulation</w:t>
      </w:r>
      <w:r>
        <w:rPr>
          <w:noProof/>
        </w:rPr>
        <w:tab/>
      </w:r>
      <w:r>
        <w:rPr>
          <w:noProof/>
        </w:rPr>
        <w:fldChar w:fldCharType="begin"/>
      </w:r>
      <w:r>
        <w:rPr>
          <w:noProof/>
        </w:rPr>
        <w:instrText xml:space="preserve"> PAGEREF _Toc242805472 \h </w:instrText>
      </w:r>
      <w:r>
        <w:rPr>
          <w:noProof/>
        </w:rPr>
      </w:r>
      <w:r>
        <w:rPr>
          <w:noProof/>
        </w:rPr>
        <w:fldChar w:fldCharType="separate"/>
      </w:r>
      <w:r>
        <w:rPr>
          <w:noProof/>
        </w:rPr>
        <w:t>3</w:t>
      </w:r>
      <w:r>
        <w:rPr>
          <w:noProof/>
        </w:rPr>
        <w:fldChar w:fldCharType="end"/>
      </w:r>
    </w:p>
    <w:p w14:paraId="0D359E63" w14:textId="77777777" w:rsidR="008D68C1" w:rsidRDefault="008D68C1">
      <w:pPr>
        <w:pStyle w:val="TOC1"/>
        <w:rPr>
          <w:rFonts w:asciiTheme="minorHAnsi" w:eastAsiaTheme="minorEastAsia" w:hAnsiTheme="minorHAnsi" w:cstheme="minorBidi"/>
          <w:noProof/>
          <w:color w:val="auto"/>
          <w:sz w:val="22"/>
          <w:lang w:eastAsia="en-GB"/>
        </w:rPr>
      </w:pPr>
      <w:r>
        <w:rPr>
          <w:noProof/>
        </w:rPr>
        <w:t>Glucose, Oxygen and Cellular Energy Production</w:t>
      </w:r>
      <w:r>
        <w:rPr>
          <w:noProof/>
        </w:rPr>
        <w:tab/>
      </w:r>
      <w:r>
        <w:rPr>
          <w:noProof/>
        </w:rPr>
        <w:fldChar w:fldCharType="begin"/>
      </w:r>
      <w:r>
        <w:rPr>
          <w:noProof/>
        </w:rPr>
        <w:instrText xml:space="preserve"> PAGEREF _Toc242805473 \h </w:instrText>
      </w:r>
      <w:r>
        <w:rPr>
          <w:noProof/>
        </w:rPr>
      </w:r>
      <w:r>
        <w:rPr>
          <w:noProof/>
        </w:rPr>
        <w:fldChar w:fldCharType="separate"/>
      </w:r>
      <w:r>
        <w:rPr>
          <w:noProof/>
        </w:rPr>
        <w:t>4</w:t>
      </w:r>
      <w:r>
        <w:rPr>
          <w:noProof/>
        </w:rPr>
        <w:fldChar w:fldCharType="end"/>
      </w:r>
    </w:p>
    <w:p w14:paraId="5D09F103" w14:textId="77777777" w:rsidR="008D68C1" w:rsidRDefault="008D68C1">
      <w:pPr>
        <w:pStyle w:val="TOC1"/>
        <w:rPr>
          <w:rFonts w:asciiTheme="minorHAnsi" w:eastAsiaTheme="minorEastAsia" w:hAnsiTheme="minorHAnsi" w:cstheme="minorBidi"/>
          <w:noProof/>
          <w:color w:val="auto"/>
          <w:sz w:val="22"/>
          <w:lang w:eastAsia="en-GB"/>
        </w:rPr>
      </w:pPr>
      <w:r>
        <w:rPr>
          <w:noProof/>
        </w:rPr>
        <w:t>Type 2 Diabetes: Disruption of Normal Physiology</w:t>
      </w:r>
      <w:r>
        <w:rPr>
          <w:noProof/>
        </w:rPr>
        <w:tab/>
      </w:r>
      <w:r>
        <w:rPr>
          <w:noProof/>
        </w:rPr>
        <w:fldChar w:fldCharType="begin"/>
      </w:r>
      <w:r>
        <w:rPr>
          <w:noProof/>
        </w:rPr>
        <w:instrText xml:space="preserve"> PAGEREF _Toc242805474 \h </w:instrText>
      </w:r>
      <w:r>
        <w:rPr>
          <w:noProof/>
        </w:rPr>
      </w:r>
      <w:r>
        <w:rPr>
          <w:noProof/>
        </w:rPr>
        <w:fldChar w:fldCharType="separate"/>
      </w:r>
      <w:r>
        <w:rPr>
          <w:noProof/>
        </w:rPr>
        <w:t>5</w:t>
      </w:r>
      <w:r>
        <w:rPr>
          <w:noProof/>
        </w:rPr>
        <w:fldChar w:fldCharType="end"/>
      </w:r>
    </w:p>
    <w:p w14:paraId="616FF101" w14:textId="77777777" w:rsidR="008D68C1" w:rsidRDefault="008D68C1">
      <w:pPr>
        <w:pStyle w:val="TOC1"/>
        <w:rPr>
          <w:rFonts w:asciiTheme="minorHAnsi" w:eastAsiaTheme="minorEastAsia" w:hAnsiTheme="minorHAnsi" w:cstheme="minorBidi"/>
          <w:noProof/>
          <w:color w:val="auto"/>
          <w:sz w:val="22"/>
          <w:lang w:eastAsia="en-GB"/>
        </w:rPr>
      </w:pPr>
      <w:r w:rsidRPr="00572E1D">
        <w:rPr>
          <w:noProof/>
          <w:color w:val="auto"/>
        </w:rPr>
        <w:t>Blood-Glucose Monitoring and Routine Data</w:t>
      </w:r>
      <w:r>
        <w:rPr>
          <w:noProof/>
        </w:rPr>
        <w:tab/>
      </w:r>
      <w:r>
        <w:rPr>
          <w:noProof/>
        </w:rPr>
        <w:fldChar w:fldCharType="begin"/>
      </w:r>
      <w:r>
        <w:rPr>
          <w:noProof/>
        </w:rPr>
        <w:instrText xml:space="preserve"> PAGEREF _Toc242805475 \h </w:instrText>
      </w:r>
      <w:r>
        <w:rPr>
          <w:noProof/>
        </w:rPr>
      </w:r>
      <w:r>
        <w:rPr>
          <w:noProof/>
        </w:rPr>
        <w:fldChar w:fldCharType="separate"/>
      </w:r>
      <w:r>
        <w:rPr>
          <w:noProof/>
        </w:rPr>
        <w:t>6</w:t>
      </w:r>
      <w:r>
        <w:rPr>
          <w:noProof/>
        </w:rPr>
        <w:fldChar w:fldCharType="end"/>
      </w:r>
    </w:p>
    <w:p w14:paraId="1E7DA94E" w14:textId="77777777" w:rsidR="008D68C1" w:rsidRDefault="008D68C1">
      <w:pPr>
        <w:pStyle w:val="TOC1"/>
        <w:rPr>
          <w:rFonts w:asciiTheme="minorHAnsi" w:eastAsiaTheme="minorEastAsia" w:hAnsiTheme="minorHAnsi" w:cstheme="minorBidi"/>
          <w:noProof/>
          <w:color w:val="auto"/>
          <w:sz w:val="22"/>
          <w:lang w:eastAsia="en-GB"/>
        </w:rPr>
      </w:pPr>
      <w:r w:rsidRPr="00572E1D">
        <w:rPr>
          <w:noProof/>
          <w:color w:val="auto"/>
        </w:rPr>
        <w:t>Evidence-Based Lifestyle Management</w:t>
      </w:r>
      <w:r>
        <w:rPr>
          <w:noProof/>
        </w:rPr>
        <w:tab/>
      </w:r>
      <w:r>
        <w:rPr>
          <w:noProof/>
        </w:rPr>
        <w:fldChar w:fldCharType="begin"/>
      </w:r>
      <w:r>
        <w:rPr>
          <w:noProof/>
        </w:rPr>
        <w:instrText xml:space="preserve"> PAGEREF _Toc242805476 \h </w:instrText>
      </w:r>
      <w:r>
        <w:rPr>
          <w:noProof/>
        </w:rPr>
      </w:r>
      <w:r>
        <w:rPr>
          <w:noProof/>
        </w:rPr>
        <w:fldChar w:fldCharType="separate"/>
      </w:r>
      <w:r>
        <w:rPr>
          <w:noProof/>
        </w:rPr>
        <w:t>7</w:t>
      </w:r>
      <w:r>
        <w:rPr>
          <w:noProof/>
        </w:rPr>
        <w:fldChar w:fldCharType="end"/>
      </w:r>
    </w:p>
    <w:p w14:paraId="55D4C510" w14:textId="77777777" w:rsidR="008D68C1" w:rsidRDefault="008D68C1">
      <w:pPr>
        <w:pStyle w:val="TOC2"/>
        <w:rPr>
          <w:rFonts w:asciiTheme="minorHAnsi" w:eastAsiaTheme="minorEastAsia" w:hAnsiTheme="minorHAnsi" w:cstheme="minorBidi"/>
          <w:noProof/>
          <w:color w:val="auto"/>
          <w:sz w:val="22"/>
          <w:lang w:eastAsia="en-GB"/>
        </w:rPr>
      </w:pPr>
      <w:r w:rsidRPr="00572E1D">
        <w:rPr>
          <w:noProof/>
          <w:color w:val="auto"/>
        </w:rPr>
        <w:t>Diet</w:t>
      </w:r>
      <w:r>
        <w:rPr>
          <w:noProof/>
        </w:rPr>
        <w:tab/>
      </w:r>
      <w:r>
        <w:rPr>
          <w:noProof/>
        </w:rPr>
        <w:fldChar w:fldCharType="begin"/>
      </w:r>
      <w:r>
        <w:rPr>
          <w:noProof/>
        </w:rPr>
        <w:instrText xml:space="preserve"> PAGEREF _Toc242805477 \h </w:instrText>
      </w:r>
      <w:r>
        <w:rPr>
          <w:noProof/>
        </w:rPr>
      </w:r>
      <w:r>
        <w:rPr>
          <w:noProof/>
        </w:rPr>
        <w:fldChar w:fldCharType="separate"/>
      </w:r>
      <w:r>
        <w:rPr>
          <w:noProof/>
        </w:rPr>
        <w:t>7</w:t>
      </w:r>
      <w:r>
        <w:rPr>
          <w:noProof/>
        </w:rPr>
        <w:fldChar w:fldCharType="end"/>
      </w:r>
    </w:p>
    <w:p w14:paraId="5E98EBB3" w14:textId="77777777" w:rsidR="008D68C1" w:rsidRDefault="008D68C1">
      <w:pPr>
        <w:pStyle w:val="TOC2"/>
        <w:rPr>
          <w:rFonts w:asciiTheme="minorHAnsi" w:eastAsiaTheme="minorEastAsia" w:hAnsiTheme="minorHAnsi" w:cstheme="minorBidi"/>
          <w:noProof/>
          <w:color w:val="auto"/>
          <w:sz w:val="22"/>
          <w:lang w:eastAsia="en-GB"/>
        </w:rPr>
      </w:pPr>
      <w:r w:rsidRPr="00572E1D">
        <w:rPr>
          <w:noProof/>
          <w:color w:val="auto"/>
          <w:lang w:val="en-US"/>
        </w:rPr>
        <w:t>Physical activity</w:t>
      </w:r>
      <w:r>
        <w:rPr>
          <w:noProof/>
        </w:rPr>
        <w:tab/>
      </w:r>
      <w:r>
        <w:rPr>
          <w:noProof/>
        </w:rPr>
        <w:fldChar w:fldCharType="begin"/>
      </w:r>
      <w:r>
        <w:rPr>
          <w:noProof/>
        </w:rPr>
        <w:instrText xml:space="preserve"> PAGEREF _Toc242805478 \h </w:instrText>
      </w:r>
      <w:r>
        <w:rPr>
          <w:noProof/>
        </w:rPr>
      </w:r>
      <w:r>
        <w:rPr>
          <w:noProof/>
        </w:rPr>
        <w:fldChar w:fldCharType="separate"/>
      </w:r>
      <w:r>
        <w:rPr>
          <w:noProof/>
        </w:rPr>
        <w:t>7</w:t>
      </w:r>
      <w:r>
        <w:rPr>
          <w:noProof/>
        </w:rPr>
        <w:fldChar w:fldCharType="end"/>
      </w:r>
    </w:p>
    <w:p w14:paraId="2B9719A8" w14:textId="77777777" w:rsidR="008D68C1" w:rsidRDefault="008D68C1">
      <w:pPr>
        <w:pStyle w:val="TOC2"/>
        <w:rPr>
          <w:rFonts w:asciiTheme="minorHAnsi" w:eastAsiaTheme="minorEastAsia" w:hAnsiTheme="minorHAnsi" w:cstheme="minorBidi"/>
          <w:noProof/>
          <w:color w:val="auto"/>
          <w:sz w:val="22"/>
          <w:lang w:eastAsia="en-GB"/>
        </w:rPr>
      </w:pPr>
      <w:r w:rsidRPr="00572E1D">
        <w:rPr>
          <w:noProof/>
          <w:color w:val="auto"/>
          <w:lang w:val="en-US"/>
        </w:rPr>
        <w:t>Smoking cessation</w:t>
      </w:r>
      <w:r>
        <w:rPr>
          <w:noProof/>
        </w:rPr>
        <w:tab/>
      </w:r>
      <w:r>
        <w:rPr>
          <w:noProof/>
        </w:rPr>
        <w:fldChar w:fldCharType="begin"/>
      </w:r>
      <w:r>
        <w:rPr>
          <w:noProof/>
        </w:rPr>
        <w:instrText xml:space="preserve"> PAGEREF _Toc242805479 \h </w:instrText>
      </w:r>
      <w:r>
        <w:rPr>
          <w:noProof/>
        </w:rPr>
      </w:r>
      <w:r>
        <w:rPr>
          <w:noProof/>
        </w:rPr>
        <w:fldChar w:fldCharType="separate"/>
      </w:r>
      <w:r>
        <w:rPr>
          <w:noProof/>
        </w:rPr>
        <w:t>8</w:t>
      </w:r>
      <w:r>
        <w:rPr>
          <w:noProof/>
        </w:rPr>
        <w:fldChar w:fldCharType="end"/>
      </w:r>
    </w:p>
    <w:p w14:paraId="5EBFFD86" w14:textId="77777777" w:rsidR="008D68C1" w:rsidRDefault="008D68C1">
      <w:pPr>
        <w:pStyle w:val="TOC1"/>
        <w:rPr>
          <w:rFonts w:asciiTheme="minorHAnsi" w:eastAsiaTheme="minorEastAsia" w:hAnsiTheme="minorHAnsi" w:cstheme="minorBidi"/>
          <w:noProof/>
          <w:color w:val="auto"/>
          <w:sz w:val="22"/>
          <w:lang w:eastAsia="en-GB"/>
        </w:rPr>
      </w:pPr>
      <w:r w:rsidRPr="00572E1D">
        <w:rPr>
          <w:noProof/>
          <w:color w:val="auto"/>
        </w:rPr>
        <w:t>Conclusion</w:t>
      </w:r>
      <w:r>
        <w:rPr>
          <w:noProof/>
        </w:rPr>
        <w:tab/>
      </w:r>
      <w:r>
        <w:rPr>
          <w:noProof/>
        </w:rPr>
        <w:fldChar w:fldCharType="begin"/>
      </w:r>
      <w:r>
        <w:rPr>
          <w:noProof/>
        </w:rPr>
        <w:instrText xml:space="preserve"> PAGEREF _Toc242805480 \h </w:instrText>
      </w:r>
      <w:r>
        <w:rPr>
          <w:noProof/>
        </w:rPr>
      </w:r>
      <w:r>
        <w:rPr>
          <w:noProof/>
        </w:rPr>
        <w:fldChar w:fldCharType="separate"/>
      </w:r>
      <w:r>
        <w:rPr>
          <w:noProof/>
        </w:rPr>
        <w:t>8</w:t>
      </w:r>
      <w:r>
        <w:rPr>
          <w:noProof/>
        </w:rPr>
        <w:fldChar w:fldCharType="end"/>
      </w:r>
    </w:p>
    <w:p w14:paraId="066DE010" w14:textId="77777777" w:rsidR="008D68C1" w:rsidRDefault="008D68C1">
      <w:pPr>
        <w:pStyle w:val="TOC1"/>
        <w:rPr>
          <w:rFonts w:asciiTheme="minorHAnsi" w:eastAsiaTheme="minorEastAsia" w:hAnsiTheme="minorHAnsi" w:cstheme="minorBidi"/>
          <w:noProof/>
          <w:color w:val="auto"/>
          <w:sz w:val="22"/>
          <w:lang w:eastAsia="en-GB"/>
        </w:rPr>
      </w:pPr>
      <w:r>
        <w:rPr>
          <w:noProof/>
        </w:rPr>
        <w:t>References</w:t>
      </w:r>
      <w:r>
        <w:rPr>
          <w:noProof/>
        </w:rPr>
        <w:tab/>
      </w:r>
      <w:r>
        <w:rPr>
          <w:noProof/>
        </w:rPr>
        <w:fldChar w:fldCharType="begin"/>
      </w:r>
      <w:r>
        <w:rPr>
          <w:noProof/>
        </w:rPr>
        <w:instrText xml:space="preserve"> PAGEREF _Toc242805481 \h </w:instrText>
      </w:r>
      <w:r>
        <w:rPr>
          <w:noProof/>
        </w:rPr>
      </w:r>
      <w:r>
        <w:rPr>
          <w:noProof/>
        </w:rPr>
        <w:fldChar w:fldCharType="separate"/>
      </w:r>
      <w:r>
        <w:rPr>
          <w:noProof/>
        </w:rPr>
        <w:t>9</w:t>
      </w:r>
      <w:r>
        <w:rPr>
          <w:noProof/>
        </w:rPr>
        <w:fldChar w:fldCharType="end"/>
      </w:r>
    </w:p>
    <w:p w14:paraId="40398C3F" w14:textId="77777777" w:rsidR="005901D0" w:rsidRDefault="00793373" w:rsidP="005901D0">
      <w:pPr>
        <w:pStyle w:val="TOC1"/>
        <w:rPr>
          <w:rFonts w:cs="Times New Roman"/>
          <w:color w:val="auto"/>
        </w:rPr>
      </w:pPr>
      <w:r w:rsidRPr="00752C57">
        <w:rPr>
          <w:rFonts w:cs="Times New Roman"/>
          <w:color w:val="auto"/>
        </w:rPr>
        <w:fldChar w:fldCharType="end"/>
      </w:r>
    </w:p>
    <w:p w14:paraId="7AC61CD5" w14:textId="77777777" w:rsidR="008D68C1" w:rsidRPr="008D68C1" w:rsidRDefault="008D68C1" w:rsidP="008D68C1">
      <w:pPr>
        <w:pStyle w:val="TOC1"/>
        <w:jc w:val="center"/>
        <w:rPr>
          <w:rFonts w:cs="Times New Roman"/>
          <w:b/>
          <w:color w:val="auto"/>
          <w:sz w:val="28"/>
        </w:rPr>
      </w:pPr>
      <w:r w:rsidRPr="008D68C1">
        <w:rPr>
          <w:rFonts w:cs="Times New Roman"/>
          <w:b/>
          <w:color w:val="auto"/>
          <w:sz w:val="28"/>
        </w:rPr>
        <w:t>List of Tables</w:t>
      </w:r>
    </w:p>
    <w:p w14:paraId="1D4D1051" w14:textId="77777777" w:rsidR="008D68C1" w:rsidRDefault="008D68C1">
      <w:pPr>
        <w:pStyle w:val="TableofFigures"/>
        <w:tabs>
          <w:tab w:val="right" w:leader="dot" w:pos="9350"/>
        </w:tabs>
        <w:rPr>
          <w:rFonts w:asciiTheme="minorHAnsi" w:eastAsiaTheme="minorEastAsia" w:hAnsiTheme="minorHAnsi" w:cstheme="minorBidi"/>
          <w:noProof/>
          <w:color w:val="auto"/>
          <w:sz w:val="22"/>
          <w:lang w:eastAsia="en-GB"/>
        </w:rPr>
      </w:pPr>
      <w:r>
        <w:rPr>
          <w:color w:val="auto"/>
          <w:szCs w:val="24"/>
        </w:rPr>
        <w:fldChar w:fldCharType="begin"/>
      </w:r>
      <w:r>
        <w:rPr>
          <w:color w:val="auto"/>
          <w:szCs w:val="24"/>
        </w:rPr>
        <w:instrText xml:space="preserve"> TOC \h \z \c "Table" </w:instrText>
      </w:r>
      <w:r>
        <w:rPr>
          <w:color w:val="auto"/>
          <w:szCs w:val="24"/>
        </w:rPr>
        <w:fldChar w:fldCharType="separate"/>
      </w:r>
      <w:hyperlink w:anchor="_Toc242805486" w:history="1">
        <w:r w:rsidRPr="00F62BC8">
          <w:rPr>
            <w:rStyle w:val="Hyperlink"/>
            <w:noProof/>
          </w:rPr>
          <w:t>Table 1: Physiological sequence involved in maintaining blood-glucose homeostasis</w:t>
        </w:r>
        <w:r>
          <w:rPr>
            <w:noProof/>
            <w:webHidden/>
          </w:rPr>
          <w:tab/>
        </w:r>
        <w:r>
          <w:rPr>
            <w:noProof/>
            <w:webHidden/>
          </w:rPr>
          <w:fldChar w:fldCharType="begin"/>
        </w:r>
        <w:r>
          <w:rPr>
            <w:noProof/>
            <w:webHidden/>
          </w:rPr>
          <w:instrText xml:space="preserve"> PAGEREF _Toc242805486 \h </w:instrText>
        </w:r>
        <w:r>
          <w:rPr>
            <w:noProof/>
            <w:webHidden/>
          </w:rPr>
        </w:r>
        <w:r>
          <w:rPr>
            <w:noProof/>
            <w:webHidden/>
          </w:rPr>
          <w:fldChar w:fldCharType="separate"/>
        </w:r>
        <w:r>
          <w:rPr>
            <w:noProof/>
            <w:webHidden/>
          </w:rPr>
          <w:t>4</w:t>
        </w:r>
        <w:r>
          <w:rPr>
            <w:noProof/>
            <w:webHidden/>
          </w:rPr>
          <w:fldChar w:fldCharType="end"/>
        </w:r>
      </w:hyperlink>
    </w:p>
    <w:p w14:paraId="3077AD59" w14:textId="77777777" w:rsidR="008D68C1" w:rsidRDefault="008D68C1">
      <w:pPr>
        <w:pStyle w:val="TableofFigures"/>
        <w:tabs>
          <w:tab w:val="right" w:leader="dot" w:pos="9350"/>
        </w:tabs>
        <w:rPr>
          <w:rFonts w:asciiTheme="minorHAnsi" w:eastAsiaTheme="minorEastAsia" w:hAnsiTheme="minorHAnsi" w:cstheme="minorBidi"/>
          <w:noProof/>
          <w:color w:val="auto"/>
          <w:sz w:val="22"/>
          <w:lang w:eastAsia="en-GB"/>
        </w:rPr>
      </w:pPr>
      <w:hyperlink w:anchor="_Toc242805487" w:history="1">
        <w:r w:rsidRPr="00F62BC8">
          <w:rPr>
            <w:rStyle w:val="Hyperlink"/>
            <w:noProof/>
          </w:rPr>
          <w:t>Table 2: Translating routine diabetes data into clinical and self-management action</w:t>
        </w:r>
        <w:r>
          <w:rPr>
            <w:noProof/>
            <w:webHidden/>
          </w:rPr>
          <w:tab/>
        </w:r>
        <w:r>
          <w:rPr>
            <w:noProof/>
            <w:webHidden/>
          </w:rPr>
          <w:fldChar w:fldCharType="begin"/>
        </w:r>
        <w:r>
          <w:rPr>
            <w:noProof/>
            <w:webHidden/>
          </w:rPr>
          <w:instrText xml:space="preserve"> PAGEREF _Toc242805487 \h </w:instrText>
        </w:r>
        <w:r>
          <w:rPr>
            <w:noProof/>
            <w:webHidden/>
          </w:rPr>
        </w:r>
        <w:r>
          <w:rPr>
            <w:noProof/>
            <w:webHidden/>
          </w:rPr>
          <w:fldChar w:fldCharType="separate"/>
        </w:r>
        <w:r>
          <w:rPr>
            <w:noProof/>
            <w:webHidden/>
          </w:rPr>
          <w:t>6</w:t>
        </w:r>
        <w:r>
          <w:rPr>
            <w:noProof/>
            <w:webHidden/>
          </w:rPr>
          <w:fldChar w:fldCharType="end"/>
        </w:r>
      </w:hyperlink>
    </w:p>
    <w:p w14:paraId="7A41F277" w14:textId="77777777" w:rsidR="008D68C1" w:rsidRPr="00752C57" w:rsidRDefault="008D68C1" w:rsidP="005901D0">
      <w:pPr>
        <w:pStyle w:val="TOC1"/>
        <w:rPr>
          <w:rFonts w:cs="Times New Roman"/>
          <w:color w:val="auto"/>
          <w:szCs w:val="24"/>
        </w:rPr>
      </w:pPr>
      <w:r>
        <w:rPr>
          <w:rFonts w:cs="Times New Roman"/>
          <w:color w:val="auto"/>
          <w:szCs w:val="24"/>
        </w:rPr>
        <w:fldChar w:fldCharType="end"/>
      </w:r>
    </w:p>
    <w:p w14:paraId="4EFFB5D7" w14:textId="77777777" w:rsidR="00793373" w:rsidRPr="00752C57" w:rsidRDefault="00793373">
      <w:pPr>
        <w:rPr>
          <w:color w:val="auto"/>
          <w:szCs w:val="24"/>
        </w:rPr>
      </w:pPr>
    </w:p>
    <w:p w14:paraId="42EFE7A0" w14:textId="77777777" w:rsidR="00FA3835" w:rsidRPr="00752C57" w:rsidRDefault="00FA3835">
      <w:pPr>
        <w:rPr>
          <w:color w:val="auto"/>
          <w:szCs w:val="24"/>
        </w:rPr>
      </w:pPr>
    </w:p>
    <w:p w14:paraId="0895BBE5" w14:textId="77777777" w:rsidR="00FA3835" w:rsidRPr="00752C57" w:rsidRDefault="00FA3835">
      <w:pPr>
        <w:rPr>
          <w:color w:val="auto"/>
          <w:szCs w:val="24"/>
        </w:rPr>
      </w:pPr>
    </w:p>
    <w:p w14:paraId="735600B4" w14:textId="77777777" w:rsidR="0093725C" w:rsidRDefault="006407FE" w:rsidP="00F623A0">
      <w:pPr>
        <w:pStyle w:val="Heading1"/>
        <w:ind w:left="0" w:firstLine="0"/>
      </w:pPr>
      <w:r w:rsidRPr="00752C57">
        <w:br w:type="page"/>
      </w:r>
      <w:bookmarkStart w:id="0" w:name="_Toc242805471"/>
      <w:r w:rsidR="00607926" w:rsidRPr="00752C57">
        <w:t>Introduction</w:t>
      </w:r>
      <w:bookmarkEnd w:id="0"/>
    </w:p>
    <w:p w14:paraId="4565E24A" w14:textId="77777777" w:rsidR="00833092" w:rsidRPr="00062FE8" w:rsidRDefault="008E11FF" w:rsidP="00833092">
      <w:pPr>
        <w:spacing w:after="120"/>
        <w:rPr>
          <w:sz w:val="28"/>
        </w:rPr>
      </w:pPr>
      <w:r w:rsidRPr="00062FE8">
        <w:rPr>
          <w:rFonts w:eastAsia="Times New Roman"/>
        </w:rPr>
        <w:t xml:space="preserve">Diabetes mellitus type 2 (T2DM) is a disease characterised by the persistent dysfunction of glucose metabolism due to insufficient function of insulin relative to the needs of the body. It denotes a failure of the system that is tightly controlled and involves such components as secretion of insulin by pancreas, glucose production in the liver and utilisation in the periphery. In England, prevalence of T2DM among adults aged 16 and older was estimated at 7.8% in 2021, corresponding to approximately 3.6 million people, and 30% of the people with T2DM in population-based studies were undiagnosed </w:t>
      </w:r>
      <w:r w:rsidR="00853797" w:rsidRPr="00853797">
        <w:rPr>
          <w:rFonts w:eastAsia="Times New Roman"/>
        </w:rPr>
        <w:t>(Office for Health Improvement &amp; Disparities, 2025)</w:t>
      </w:r>
      <w:r w:rsidRPr="00062FE8">
        <w:rPr>
          <w:rFonts w:eastAsia="Times New Roman"/>
        </w:rPr>
        <w:t xml:space="preserve">. Risk of T2DM is connected to a combination of biological and </w:t>
      </w:r>
      <w:r w:rsidR="00226E6E" w:rsidRPr="00062FE8">
        <w:rPr>
          <w:rFonts w:eastAsia="Times New Roman"/>
        </w:rPr>
        <w:t>behavioural</w:t>
      </w:r>
      <w:r w:rsidRPr="00062FE8">
        <w:rPr>
          <w:rFonts w:eastAsia="Times New Roman"/>
        </w:rPr>
        <w:t xml:space="preserve"> risk factors, rather than a single factor. High body mass index, high waist circumference, inactivity, smoking, family history and age can be the causes of the development of T2DM, but the impact of those varies across the patients </w:t>
      </w:r>
      <w:r w:rsidR="007B7349" w:rsidRPr="007B7349">
        <w:rPr>
          <w:rFonts w:eastAsia="Times New Roman"/>
        </w:rPr>
        <w:t>(Office for national statistics, 2024)</w:t>
      </w:r>
      <w:r w:rsidR="007B7349">
        <w:rPr>
          <w:rFonts w:eastAsia="Times New Roman"/>
        </w:rPr>
        <w:t>.</w:t>
      </w:r>
    </w:p>
    <w:p w14:paraId="70A7161C" w14:textId="77777777" w:rsidR="00833092" w:rsidRPr="00062FE8" w:rsidRDefault="00833092" w:rsidP="00833092">
      <w:pPr>
        <w:spacing w:after="120"/>
        <w:rPr>
          <w:rFonts w:eastAsia="Times New Roman"/>
        </w:rPr>
      </w:pPr>
      <w:r w:rsidRPr="00062FE8">
        <w:rPr>
          <w:rFonts w:eastAsia="Times New Roman"/>
        </w:rPr>
        <w:tab/>
      </w:r>
      <w:r w:rsidR="008E11FF" w:rsidRPr="00062FE8">
        <w:rPr>
          <w:rFonts w:eastAsia="Times New Roman"/>
        </w:rPr>
        <w:t>This report details the concept of blood-glucose homeostasis, elaborates on the function of glucose and oxygen in providing cellular energy, identifies the disturbance in the above processes in T2DM, assesses the importance of regular monitoring of glucose data, and critically reviews diet, exercise and smoking cessation.</w:t>
      </w:r>
    </w:p>
    <w:p w14:paraId="55081938" w14:textId="77777777" w:rsidR="00833092" w:rsidRDefault="00833092" w:rsidP="00833092">
      <w:pPr>
        <w:pStyle w:val="Heading1"/>
        <w:spacing w:before="200" w:after="100"/>
      </w:pPr>
      <w:bookmarkStart w:id="1" w:name="_Toc242805472"/>
      <w:r>
        <w:t>Normal Blood-Glucose Regulation</w:t>
      </w:r>
      <w:bookmarkEnd w:id="1"/>
    </w:p>
    <w:p w14:paraId="32BC6C82" w14:textId="77777777" w:rsidR="00062FE8" w:rsidRPr="00062FE8" w:rsidRDefault="00062FE8" w:rsidP="00062FE8">
      <w:pPr>
        <w:spacing w:after="120"/>
        <w:rPr>
          <w:rFonts w:eastAsia="Times New Roman"/>
        </w:rPr>
      </w:pPr>
      <w:r w:rsidRPr="00062FE8">
        <w:rPr>
          <w:rFonts w:eastAsia="Times New Roman"/>
        </w:rPr>
        <w:t>Homeostasis of blood glucose relies mainly on the coordinated actions of the pancreas, liver, skeletal muscles and adipose tissue. Glucose is released into the bloodstream following the breakdown of carbohydrates, which causes an elevation in the level of glucose in plasma, which is sensed by pancreatic beta cells located in the islets. Increased insulin secretion is stimulated by this phenomenon, allowing for glucose disposal and storage. Insulin stimulates glucose uptake in particular in skeletal muscle and adipose tissues, aids in glycogen synthesis, inhibits glucose release from the liver.</w:t>
      </w:r>
    </w:p>
    <w:p w14:paraId="019B980A" w14:textId="77777777" w:rsidR="00833092" w:rsidRPr="00062FE8" w:rsidRDefault="00062FE8" w:rsidP="00062FE8">
      <w:pPr>
        <w:spacing w:after="120"/>
        <w:rPr>
          <w:sz w:val="28"/>
        </w:rPr>
      </w:pPr>
      <w:r w:rsidRPr="00062FE8">
        <w:rPr>
          <w:rFonts w:eastAsia="Times New Roman"/>
        </w:rPr>
        <w:tab/>
        <w:t xml:space="preserve">The link between insulin sensitivity and β-cell secretion is especially crucial. In </w:t>
      </w:r>
      <w:proofErr w:type="spellStart"/>
      <w:r w:rsidRPr="00062FE8">
        <w:rPr>
          <w:rFonts w:eastAsia="Times New Roman"/>
        </w:rPr>
        <w:t>dysglycaemia</w:t>
      </w:r>
      <w:proofErr w:type="spellEnd"/>
      <w:r w:rsidRPr="00062FE8">
        <w:rPr>
          <w:rFonts w:eastAsia="Times New Roman"/>
        </w:rPr>
        <w:t>, when insulin secretion increases in response to decreased sensitivity of tissues, there is some compensation; however, it comes with limitations. For instance, among 743 participants without treatment and with normal glucose tolerance, impaired glucose tolerance and T2DM, it was noted that insulin sensitivity was greatly reduced at an early stage of glucose intolerance, and secretory capacity of beta-cells gradually decreased when fasting and postprandial glucose levels increased. As can be seen, T2DM cannot be explained only by insulin resistance: this condition combines the impairment of insulin action and β-cell dy</w:t>
      </w:r>
      <w:r w:rsidR="00853797">
        <w:rPr>
          <w:rFonts w:eastAsia="Times New Roman"/>
        </w:rPr>
        <w:t>sfunction (</w:t>
      </w:r>
      <w:proofErr w:type="spellStart"/>
      <w:r w:rsidR="00853797">
        <w:rPr>
          <w:rFonts w:eastAsia="Times New Roman"/>
        </w:rPr>
        <w:t>Dunseath</w:t>
      </w:r>
      <w:proofErr w:type="spellEnd"/>
      <w:r w:rsidR="00853797">
        <w:rPr>
          <w:rFonts w:eastAsia="Times New Roman"/>
        </w:rPr>
        <w:t xml:space="preserve"> et al., 2021</w:t>
      </w:r>
      <w:r w:rsidRPr="00062FE8">
        <w:rPr>
          <w:rFonts w:eastAsia="Times New Roman"/>
        </w:rPr>
        <w:t>).</w:t>
      </w:r>
    </w:p>
    <w:p w14:paraId="49245ED2" w14:textId="77777777" w:rsidR="00833092" w:rsidRDefault="00833092" w:rsidP="0016320D">
      <w:pPr>
        <w:pStyle w:val="Caption"/>
        <w:keepNext/>
        <w:jc w:val="center"/>
      </w:pPr>
      <w:bookmarkStart w:id="2" w:name="_Toc242805486"/>
      <w:r>
        <w:t xml:space="preserve">Table </w:t>
      </w:r>
      <w:r w:rsidR="00BF3B28">
        <w:fldChar w:fldCharType="begin"/>
      </w:r>
      <w:r w:rsidR="00BF3B28">
        <w:instrText xml:space="preserve"> SEQ Table \* ARABIC </w:instrText>
      </w:r>
      <w:r w:rsidR="00BF3B28">
        <w:fldChar w:fldCharType="separate"/>
      </w:r>
      <w:r w:rsidR="00447A8B">
        <w:rPr>
          <w:noProof/>
        </w:rPr>
        <w:t>1</w:t>
      </w:r>
      <w:r w:rsidR="00BF3B28">
        <w:rPr>
          <w:noProof/>
        </w:rPr>
        <w:fldChar w:fldCharType="end"/>
      </w:r>
      <w:r>
        <w:t xml:space="preserve">: </w:t>
      </w:r>
      <w:r w:rsidRPr="00384F0F">
        <w:t>Physiological sequence involved in maintaining blood-glucose homeostasis</w:t>
      </w:r>
      <w:bookmarkEnd w:id="2"/>
    </w:p>
    <w:tbl>
      <w:tblPr>
        <w:tblStyle w:val="GridTable6Colorful-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1"/>
        <w:gridCol w:w="3112"/>
        <w:gridCol w:w="3112"/>
      </w:tblGrid>
      <w:tr w:rsidR="00833092" w:rsidRPr="00833092" w14:paraId="38B35564" w14:textId="77777777" w:rsidTr="00D640E7">
        <w:trPr>
          <w:cnfStyle w:val="100000000000" w:firstRow="1" w:lastRow="0" w:firstColumn="0" w:lastColumn="0" w:oddVBand="0" w:evenVBand="0" w:oddHBand="0"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3111" w:type="dxa"/>
            <w:tcBorders>
              <w:bottom w:val="none" w:sz="0" w:space="0" w:color="auto"/>
            </w:tcBorders>
          </w:tcPr>
          <w:p w14:paraId="1356780F" w14:textId="77777777" w:rsidR="00833092" w:rsidRPr="00833092" w:rsidRDefault="00833092" w:rsidP="00DB5A7A">
            <w:pPr>
              <w:spacing w:line="276" w:lineRule="auto"/>
            </w:pPr>
            <w:r w:rsidRPr="00833092">
              <w:rPr>
                <w:rFonts w:eastAsia="Times New Roman"/>
              </w:rPr>
              <w:t>Physiological stage</w:t>
            </w:r>
          </w:p>
        </w:tc>
        <w:tc>
          <w:tcPr>
            <w:tcW w:w="3112" w:type="dxa"/>
            <w:tcBorders>
              <w:bottom w:val="none" w:sz="0" w:space="0" w:color="auto"/>
            </w:tcBorders>
          </w:tcPr>
          <w:p w14:paraId="77488740" w14:textId="77777777" w:rsidR="00833092" w:rsidRPr="00833092" w:rsidRDefault="00833092" w:rsidP="00DB5A7A">
            <w:pPr>
              <w:spacing w:line="276" w:lineRule="auto"/>
              <w:cnfStyle w:val="100000000000" w:firstRow="1" w:lastRow="0" w:firstColumn="0" w:lastColumn="0" w:oddVBand="0" w:evenVBand="0" w:oddHBand="0" w:evenHBand="0" w:firstRowFirstColumn="0" w:firstRowLastColumn="0" w:lastRowFirstColumn="0" w:lastRowLastColumn="0"/>
            </w:pPr>
            <w:r w:rsidRPr="00833092">
              <w:rPr>
                <w:rFonts w:eastAsia="Times New Roman"/>
              </w:rPr>
              <w:t>Main process</w:t>
            </w:r>
          </w:p>
        </w:tc>
        <w:tc>
          <w:tcPr>
            <w:tcW w:w="3112" w:type="dxa"/>
            <w:tcBorders>
              <w:bottom w:val="none" w:sz="0" w:space="0" w:color="auto"/>
            </w:tcBorders>
          </w:tcPr>
          <w:p w14:paraId="34799E1C" w14:textId="77777777" w:rsidR="00833092" w:rsidRPr="00833092" w:rsidRDefault="00833092" w:rsidP="00DB5A7A">
            <w:pPr>
              <w:spacing w:line="276" w:lineRule="auto"/>
              <w:cnfStyle w:val="100000000000" w:firstRow="1" w:lastRow="0" w:firstColumn="0" w:lastColumn="0" w:oddVBand="0" w:evenVBand="0" w:oddHBand="0" w:evenHBand="0" w:firstRowFirstColumn="0" w:firstRowLastColumn="0" w:lastRowFirstColumn="0" w:lastRowLastColumn="0"/>
            </w:pPr>
            <w:r w:rsidRPr="00833092">
              <w:rPr>
                <w:rFonts w:eastAsia="Times New Roman"/>
              </w:rPr>
              <w:t>Significance for homeostasis</w:t>
            </w:r>
          </w:p>
        </w:tc>
      </w:tr>
      <w:tr w:rsidR="00833092" w:rsidRPr="00833092" w14:paraId="43923931" w14:textId="77777777" w:rsidTr="00D640E7">
        <w:trPr>
          <w:cnfStyle w:val="000000100000" w:firstRow="0" w:lastRow="0" w:firstColumn="0" w:lastColumn="0" w:oddVBand="0" w:evenVBand="0" w:oddHBand="1" w:evenHBand="0" w:firstRowFirstColumn="0" w:firstRowLastColumn="0" w:lastRowFirstColumn="0" w:lastRowLastColumn="0"/>
          <w:trHeight w:val="814"/>
        </w:trPr>
        <w:tc>
          <w:tcPr>
            <w:cnfStyle w:val="001000000000" w:firstRow="0" w:lastRow="0" w:firstColumn="1" w:lastColumn="0" w:oddVBand="0" w:evenVBand="0" w:oddHBand="0" w:evenHBand="0" w:firstRowFirstColumn="0" w:firstRowLastColumn="0" w:lastRowFirstColumn="0" w:lastRowLastColumn="0"/>
            <w:tcW w:w="3111" w:type="dxa"/>
          </w:tcPr>
          <w:p w14:paraId="52DFA02A" w14:textId="77777777" w:rsidR="00833092" w:rsidRPr="00833092" w:rsidRDefault="00833092" w:rsidP="00DB5A7A">
            <w:pPr>
              <w:spacing w:line="276" w:lineRule="auto"/>
            </w:pPr>
            <w:r w:rsidRPr="00833092">
              <w:rPr>
                <w:rFonts w:eastAsia="Times New Roman"/>
              </w:rPr>
              <w:t>Nutrient absorption</w:t>
            </w:r>
          </w:p>
        </w:tc>
        <w:tc>
          <w:tcPr>
            <w:tcW w:w="3112" w:type="dxa"/>
          </w:tcPr>
          <w:p w14:paraId="681045FE" w14:textId="77777777" w:rsidR="00833092" w:rsidRPr="00833092" w:rsidRDefault="00833092" w:rsidP="00DB5A7A">
            <w:pPr>
              <w:spacing w:line="276" w:lineRule="auto"/>
              <w:cnfStyle w:val="000000100000" w:firstRow="0" w:lastRow="0" w:firstColumn="0" w:lastColumn="0" w:oddVBand="0" w:evenVBand="0" w:oddHBand="1" w:evenHBand="0" w:firstRowFirstColumn="0" w:firstRowLastColumn="0" w:lastRowFirstColumn="0" w:lastRowLastColumn="0"/>
            </w:pPr>
            <w:r w:rsidRPr="00833092">
              <w:rPr>
                <w:rFonts w:eastAsia="Times New Roman"/>
              </w:rPr>
              <w:t>Digested carbohydrate increases circulating glucose</w:t>
            </w:r>
          </w:p>
        </w:tc>
        <w:tc>
          <w:tcPr>
            <w:tcW w:w="3112" w:type="dxa"/>
          </w:tcPr>
          <w:p w14:paraId="535A2033" w14:textId="77777777" w:rsidR="00833092" w:rsidRPr="00833092" w:rsidRDefault="00833092" w:rsidP="00DB5A7A">
            <w:pPr>
              <w:spacing w:line="276" w:lineRule="auto"/>
              <w:cnfStyle w:val="000000100000" w:firstRow="0" w:lastRow="0" w:firstColumn="0" w:lastColumn="0" w:oddVBand="0" w:evenVBand="0" w:oddHBand="1" w:evenHBand="0" w:firstRowFirstColumn="0" w:firstRowLastColumn="0" w:lastRowFirstColumn="0" w:lastRowLastColumn="0"/>
            </w:pPr>
            <w:r w:rsidRPr="00833092">
              <w:rPr>
                <w:rFonts w:eastAsia="Times New Roman"/>
              </w:rPr>
              <w:t>Provides substrate for cellular metabolism</w:t>
            </w:r>
          </w:p>
        </w:tc>
      </w:tr>
      <w:tr w:rsidR="00833092" w:rsidRPr="00833092" w14:paraId="2484198B" w14:textId="77777777" w:rsidTr="00D640E7">
        <w:trPr>
          <w:trHeight w:val="814"/>
        </w:trPr>
        <w:tc>
          <w:tcPr>
            <w:cnfStyle w:val="001000000000" w:firstRow="0" w:lastRow="0" w:firstColumn="1" w:lastColumn="0" w:oddVBand="0" w:evenVBand="0" w:oddHBand="0" w:evenHBand="0" w:firstRowFirstColumn="0" w:firstRowLastColumn="0" w:lastRowFirstColumn="0" w:lastRowLastColumn="0"/>
            <w:tcW w:w="3111" w:type="dxa"/>
          </w:tcPr>
          <w:p w14:paraId="5BA8DF85" w14:textId="77777777" w:rsidR="00833092" w:rsidRPr="00833092" w:rsidRDefault="00833092" w:rsidP="00DB5A7A">
            <w:pPr>
              <w:spacing w:line="276" w:lineRule="auto"/>
            </w:pPr>
            <w:r w:rsidRPr="00833092">
              <w:rPr>
                <w:rFonts w:eastAsia="Times New Roman"/>
              </w:rPr>
              <w:t>Glucose sensing</w:t>
            </w:r>
          </w:p>
        </w:tc>
        <w:tc>
          <w:tcPr>
            <w:tcW w:w="3112" w:type="dxa"/>
          </w:tcPr>
          <w:p w14:paraId="7893DF88" w14:textId="77777777" w:rsidR="00833092" w:rsidRPr="00833092" w:rsidRDefault="00833092" w:rsidP="00DB5A7A">
            <w:pPr>
              <w:spacing w:line="276" w:lineRule="auto"/>
              <w:cnfStyle w:val="000000000000" w:firstRow="0" w:lastRow="0" w:firstColumn="0" w:lastColumn="0" w:oddVBand="0" w:evenVBand="0" w:oddHBand="0" w:evenHBand="0" w:firstRowFirstColumn="0" w:firstRowLastColumn="0" w:lastRowFirstColumn="0" w:lastRowLastColumn="0"/>
            </w:pPr>
            <w:r w:rsidRPr="00833092">
              <w:rPr>
                <w:rFonts w:eastAsia="Times New Roman"/>
              </w:rPr>
              <w:t>Pancreatic β-cells respond to increased plasma glucose</w:t>
            </w:r>
          </w:p>
        </w:tc>
        <w:tc>
          <w:tcPr>
            <w:tcW w:w="3112" w:type="dxa"/>
          </w:tcPr>
          <w:p w14:paraId="5BF36C06" w14:textId="77777777" w:rsidR="00833092" w:rsidRPr="00833092" w:rsidRDefault="00833092" w:rsidP="00DB5A7A">
            <w:pPr>
              <w:spacing w:line="276" w:lineRule="auto"/>
              <w:cnfStyle w:val="000000000000" w:firstRow="0" w:lastRow="0" w:firstColumn="0" w:lastColumn="0" w:oddVBand="0" w:evenVBand="0" w:oddHBand="0" w:evenHBand="0" w:firstRowFirstColumn="0" w:firstRowLastColumn="0" w:lastRowFirstColumn="0" w:lastRowLastColumn="0"/>
            </w:pPr>
            <w:r w:rsidRPr="00833092">
              <w:rPr>
                <w:rFonts w:eastAsia="Times New Roman"/>
              </w:rPr>
              <w:t>Initiates an insulin response</w:t>
            </w:r>
          </w:p>
        </w:tc>
      </w:tr>
      <w:tr w:rsidR="00833092" w:rsidRPr="00833092" w14:paraId="39296909" w14:textId="77777777" w:rsidTr="00D640E7">
        <w:trPr>
          <w:cnfStyle w:val="000000100000" w:firstRow="0" w:lastRow="0" w:firstColumn="0" w:lastColumn="0" w:oddVBand="0" w:evenVBand="0" w:oddHBand="1" w:evenHBand="0" w:firstRowFirstColumn="0" w:firstRowLastColumn="0" w:lastRowFirstColumn="0" w:lastRowLastColumn="0"/>
          <w:trHeight w:val="814"/>
        </w:trPr>
        <w:tc>
          <w:tcPr>
            <w:cnfStyle w:val="001000000000" w:firstRow="0" w:lastRow="0" w:firstColumn="1" w:lastColumn="0" w:oddVBand="0" w:evenVBand="0" w:oddHBand="0" w:evenHBand="0" w:firstRowFirstColumn="0" w:firstRowLastColumn="0" w:lastRowFirstColumn="0" w:lastRowLastColumn="0"/>
            <w:tcW w:w="3111" w:type="dxa"/>
          </w:tcPr>
          <w:p w14:paraId="7AD4AA88" w14:textId="77777777" w:rsidR="00833092" w:rsidRPr="00833092" w:rsidRDefault="00833092" w:rsidP="00DB5A7A">
            <w:pPr>
              <w:spacing w:line="276" w:lineRule="auto"/>
            </w:pPr>
            <w:r w:rsidRPr="00833092">
              <w:rPr>
                <w:rFonts w:eastAsia="Times New Roman"/>
              </w:rPr>
              <w:t>Insulin action</w:t>
            </w:r>
          </w:p>
        </w:tc>
        <w:tc>
          <w:tcPr>
            <w:tcW w:w="3112" w:type="dxa"/>
          </w:tcPr>
          <w:p w14:paraId="4B9F16B8" w14:textId="77777777" w:rsidR="00833092" w:rsidRPr="00833092" w:rsidRDefault="00833092" w:rsidP="00DB5A7A">
            <w:pPr>
              <w:spacing w:line="276" w:lineRule="auto"/>
              <w:cnfStyle w:val="000000100000" w:firstRow="0" w:lastRow="0" w:firstColumn="0" w:lastColumn="0" w:oddVBand="0" w:evenVBand="0" w:oddHBand="1" w:evenHBand="0" w:firstRowFirstColumn="0" w:firstRowLastColumn="0" w:lastRowFirstColumn="0" w:lastRowLastColumn="0"/>
            </w:pPr>
            <w:r w:rsidRPr="00833092">
              <w:rPr>
                <w:rFonts w:eastAsia="Times New Roman"/>
              </w:rPr>
              <w:t>Insulin promotes tissue glucose uptake and storage</w:t>
            </w:r>
          </w:p>
        </w:tc>
        <w:tc>
          <w:tcPr>
            <w:tcW w:w="3112" w:type="dxa"/>
          </w:tcPr>
          <w:p w14:paraId="31377FAA" w14:textId="77777777" w:rsidR="00833092" w:rsidRPr="00833092" w:rsidRDefault="00833092" w:rsidP="00DB5A7A">
            <w:pPr>
              <w:spacing w:line="276" w:lineRule="auto"/>
              <w:cnfStyle w:val="000000100000" w:firstRow="0" w:lastRow="0" w:firstColumn="0" w:lastColumn="0" w:oddVBand="0" w:evenVBand="0" w:oddHBand="1" w:evenHBand="0" w:firstRowFirstColumn="0" w:firstRowLastColumn="0" w:lastRowFirstColumn="0" w:lastRowLastColumn="0"/>
            </w:pPr>
            <w:r w:rsidRPr="00833092">
              <w:rPr>
                <w:rFonts w:eastAsia="Times New Roman"/>
              </w:rPr>
              <w:t>Limits excessive circulating glucose</w:t>
            </w:r>
          </w:p>
        </w:tc>
      </w:tr>
      <w:tr w:rsidR="00833092" w:rsidRPr="00833092" w14:paraId="41CD6AD2" w14:textId="77777777" w:rsidTr="00D640E7">
        <w:trPr>
          <w:trHeight w:val="1629"/>
        </w:trPr>
        <w:tc>
          <w:tcPr>
            <w:cnfStyle w:val="001000000000" w:firstRow="0" w:lastRow="0" w:firstColumn="1" w:lastColumn="0" w:oddVBand="0" w:evenVBand="0" w:oddHBand="0" w:evenHBand="0" w:firstRowFirstColumn="0" w:firstRowLastColumn="0" w:lastRowFirstColumn="0" w:lastRowLastColumn="0"/>
            <w:tcW w:w="3111" w:type="dxa"/>
          </w:tcPr>
          <w:p w14:paraId="04AF54AA" w14:textId="77777777" w:rsidR="00833092" w:rsidRPr="00833092" w:rsidRDefault="00833092" w:rsidP="00DB5A7A">
            <w:pPr>
              <w:spacing w:line="276" w:lineRule="auto"/>
            </w:pPr>
            <w:r w:rsidRPr="00833092">
              <w:rPr>
                <w:rFonts w:eastAsia="Times New Roman"/>
              </w:rPr>
              <w:t>Hepatic regulation</w:t>
            </w:r>
          </w:p>
        </w:tc>
        <w:tc>
          <w:tcPr>
            <w:tcW w:w="3112" w:type="dxa"/>
          </w:tcPr>
          <w:p w14:paraId="554FC1CB" w14:textId="77777777" w:rsidR="00833092" w:rsidRPr="00833092" w:rsidRDefault="00833092" w:rsidP="00DB5A7A">
            <w:pPr>
              <w:spacing w:line="276" w:lineRule="auto"/>
              <w:cnfStyle w:val="000000000000" w:firstRow="0" w:lastRow="0" w:firstColumn="0" w:lastColumn="0" w:oddVBand="0" w:evenVBand="0" w:oddHBand="0" w:evenHBand="0" w:firstRowFirstColumn="0" w:firstRowLastColumn="0" w:lastRowFirstColumn="0" w:lastRowLastColumn="0"/>
            </w:pPr>
            <w:r w:rsidRPr="00833092">
              <w:rPr>
                <w:rFonts w:eastAsia="Times New Roman"/>
              </w:rPr>
              <w:t>Insulin suppresses hepatic glucose output; lower insulin permits mobilisation between meals</w:t>
            </w:r>
          </w:p>
        </w:tc>
        <w:tc>
          <w:tcPr>
            <w:tcW w:w="3112" w:type="dxa"/>
          </w:tcPr>
          <w:p w14:paraId="6FCA5FE3" w14:textId="77777777" w:rsidR="00833092" w:rsidRPr="00833092" w:rsidRDefault="00833092" w:rsidP="00DB5A7A">
            <w:pPr>
              <w:spacing w:line="276" w:lineRule="auto"/>
              <w:cnfStyle w:val="000000000000" w:firstRow="0" w:lastRow="0" w:firstColumn="0" w:lastColumn="0" w:oddVBand="0" w:evenVBand="0" w:oddHBand="0" w:evenHBand="0" w:firstRowFirstColumn="0" w:firstRowLastColumn="0" w:lastRowFirstColumn="0" w:lastRowLastColumn="0"/>
            </w:pPr>
            <w:r w:rsidRPr="00833092">
              <w:rPr>
                <w:rFonts w:eastAsia="Times New Roman"/>
              </w:rPr>
              <w:t>Prevents both excessive accumulation and inadequate availability</w:t>
            </w:r>
          </w:p>
        </w:tc>
      </w:tr>
      <w:tr w:rsidR="00833092" w:rsidRPr="00833092" w14:paraId="65B204B4" w14:textId="77777777" w:rsidTr="00D640E7">
        <w:trPr>
          <w:cnfStyle w:val="000000100000" w:firstRow="0" w:lastRow="0" w:firstColumn="0" w:lastColumn="0" w:oddVBand="0" w:evenVBand="0" w:oddHBand="1" w:evenHBand="0" w:firstRowFirstColumn="0" w:firstRowLastColumn="0" w:lastRowFirstColumn="0" w:lastRowLastColumn="0"/>
          <w:trHeight w:val="1222"/>
        </w:trPr>
        <w:tc>
          <w:tcPr>
            <w:cnfStyle w:val="001000000000" w:firstRow="0" w:lastRow="0" w:firstColumn="1" w:lastColumn="0" w:oddVBand="0" w:evenVBand="0" w:oddHBand="0" w:evenHBand="0" w:firstRowFirstColumn="0" w:firstRowLastColumn="0" w:lastRowFirstColumn="0" w:lastRowLastColumn="0"/>
            <w:tcW w:w="3111" w:type="dxa"/>
          </w:tcPr>
          <w:p w14:paraId="0087CE96" w14:textId="77777777" w:rsidR="00833092" w:rsidRPr="00833092" w:rsidRDefault="00833092" w:rsidP="00DB5A7A">
            <w:pPr>
              <w:spacing w:line="276" w:lineRule="auto"/>
            </w:pPr>
            <w:r w:rsidRPr="00833092">
              <w:rPr>
                <w:rFonts w:eastAsia="Times New Roman"/>
              </w:rPr>
              <w:t>Tissue utilisation</w:t>
            </w:r>
          </w:p>
        </w:tc>
        <w:tc>
          <w:tcPr>
            <w:tcW w:w="3112" w:type="dxa"/>
          </w:tcPr>
          <w:p w14:paraId="750D113A" w14:textId="77777777" w:rsidR="00833092" w:rsidRPr="00833092" w:rsidRDefault="00833092" w:rsidP="00DB5A7A">
            <w:pPr>
              <w:spacing w:line="276" w:lineRule="auto"/>
              <w:cnfStyle w:val="000000100000" w:firstRow="0" w:lastRow="0" w:firstColumn="0" w:lastColumn="0" w:oddVBand="0" w:evenVBand="0" w:oddHBand="1" w:evenHBand="0" w:firstRowFirstColumn="0" w:firstRowLastColumn="0" w:lastRowFirstColumn="0" w:lastRowLastColumn="0"/>
            </w:pPr>
            <w:r w:rsidRPr="00833092">
              <w:rPr>
                <w:rFonts w:eastAsia="Times New Roman"/>
              </w:rPr>
              <w:t>Skeletal muscle and other tissues use glucose for metabolic activity</w:t>
            </w:r>
          </w:p>
        </w:tc>
        <w:tc>
          <w:tcPr>
            <w:tcW w:w="3112" w:type="dxa"/>
          </w:tcPr>
          <w:p w14:paraId="115ADBE1" w14:textId="77777777" w:rsidR="00833092" w:rsidRPr="00833092" w:rsidRDefault="00833092" w:rsidP="00DB5A7A">
            <w:pPr>
              <w:spacing w:line="276" w:lineRule="auto"/>
              <w:cnfStyle w:val="000000100000" w:firstRow="0" w:lastRow="0" w:firstColumn="0" w:lastColumn="0" w:oddVBand="0" w:evenVBand="0" w:oddHBand="1" w:evenHBand="0" w:firstRowFirstColumn="0" w:firstRowLastColumn="0" w:lastRowFirstColumn="0" w:lastRowLastColumn="0"/>
            </w:pPr>
            <w:r w:rsidRPr="00833092">
              <w:rPr>
                <w:rFonts w:eastAsia="Times New Roman"/>
              </w:rPr>
              <w:t>Converts available substrate into usable cellular energy</w:t>
            </w:r>
          </w:p>
        </w:tc>
      </w:tr>
    </w:tbl>
    <w:p w14:paraId="796B4F8B" w14:textId="77777777" w:rsidR="00833092" w:rsidRPr="00062FE8" w:rsidRDefault="0016320D" w:rsidP="00833092">
      <w:pPr>
        <w:spacing w:after="120"/>
        <w:rPr>
          <w:rFonts w:eastAsia="Times New Roman"/>
        </w:rPr>
      </w:pPr>
      <w:r w:rsidRPr="0016320D">
        <w:rPr>
          <w:rFonts w:eastAsia="Times New Roman"/>
        </w:rPr>
        <w:t>The underlying principle here is that of dynamic negative feedback. An increase in glucose will lead to actions that decrease glucose, whereas low amounts will activate actions that will help maintain a sufficient amount. This mechanism depends on more than just the release of insulin; it also depends on the reaction of the tissues.</w:t>
      </w:r>
    </w:p>
    <w:p w14:paraId="24D785C1" w14:textId="77777777" w:rsidR="00833092" w:rsidRDefault="00833092" w:rsidP="00833092">
      <w:pPr>
        <w:pStyle w:val="Heading1"/>
        <w:spacing w:before="200" w:after="100"/>
      </w:pPr>
      <w:bookmarkStart w:id="3" w:name="_Toc242805473"/>
      <w:r>
        <w:t>Glucose, Oxygen and Cellular Energy Production</w:t>
      </w:r>
      <w:bookmarkEnd w:id="3"/>
    </w:p>
    <w:p w14:paraId="7B32F322" w14:textId="77777777" w:rsidR="00833092" w:rsidRPr="00062FE8" w:rsidRDefault="00033FA2" w:rsidP="00833092">
      <w:pPr>
        <w:spacing w:after="120"/>
        <w:rPr>
          <w:sz w:val="28"/>
        </w:rPr>
      </w:pPr>
      <w:r w:rsidRPr="00033FA2">
        <w:rPr>
          <w:rFonts w:eastAsia="Times New Roman"/>
        </w:rPr>
        <w:t>Glucose is physiologically important since it is a regulated circulating nutrient and a source of energy for the body. The chemical energy is derived from glucose via cellular respiration in which oxygen plays an important role by facilitating aerobic metabolism. The equation is as follows:</w:t>
      </w:r>
    </w:p>
    <w:p w14:paraId="6CA65E21" w14:textId="77777777" w:rsidR="00833092" w:rsidRPr="00062FE8" w:rsidRDefault="00833092" w:rsidP="00833092">
      <w:pPr>
        <w:jc w:val="center"/>
        <w:rPr>
          <w:sz w:val="28"/>
        </w:rPr>
      </w:pPr>
      <w:r w:rsidRPr="00062FE8">
        <w:rPr>
          <w:b/>
        </w:rPr>
        <w:t>Glucose + oxygen → carbon dioxide + water + ATP</w:t>
      </w:r>
    </w:p>
    <w:p w14:paraId="4575FEB7" w14:textId="77777777" w:rsidR="00033FA2" w:rsidRPr="00033FA2" w:rsidRDefault="00033FA2" w:rsidP="00033FA2">
      <w:pPr>
        <w:spacing w:after="120"/>
        <w:rPr>
          <w:rFonts w:eastAsia="Times New Roman"/>
        </w:rPr>
      </w:pPr>
      <w:r w:rsidRPr="00033FA2">
        <w:rPr>
          <w:rFonts w:eastAsia="Times New Roman"/>
        </w:rPr>
        <w:t>The ATP acts as energy available instantly for functions like active transport, biosynthesis, maintenance, and muscle contraction. In this regard, the regulation of glucose has a biological role in ensuring that the body is provided with the correct form of energy substrate without causing excessive amounts of glucose in the bloodstream.</w:t>
      </w:r>
    </w:p>
    <w:p w14:paraId="5AB98D84" w14:textId="77777777" w:rsidR="00833092" w:rsidRPr="00062FE8" w:rsidRDefault="007D7CC9" w:rsidP="00033FA2">
      <w:pPr>
        <w:spacing w:after="120"/>
        <w:rPr>
          <w:sz w:val="28"/>
        </w:rPr>
      </w:pPr>
      <w:r>
        <w:rPr>
          <w:rFonts w:eastAsia="Times New Roman"/>
        </w:rPr>
        <w:tab/>
      </w:r>
      <w:r w:rsidR="00033FA2" w:rsidRPr="00033FA2">
        <w:rPr>
          <w:rFonts w:eastAsia="Times New Roman"/>
        </w:rPr>
        <w:t xml:space="preserve">This is relevant when considering the case of T2DM. </w:t>
      </w:r>
      <w:r w:rsidR="00226E6E" w:rsidRPr="00033FA2">
        <w:rPr>
          <w:rFonts w:eastAsia="Times New Roman"/>
        </w:rPr>
        <w:t>Hyperglycaemia</w:t>
      </w:r>
      <w:r w:rsidR="00033FA2" w:rsidRPr="00033FA2">
        <w:rPr>
          <w:rFonts w:eastAsia="Times New Roman"/>
        </w:rPr>
        <w:t xml:space="preserve"> does not mean that there are “cells full of energy.” The insulin resistance affects how the tissues will react to the presence of insulin, thus affecting the movement and utili</w:t>
      </w:r>
      <w:r w:rsidR="008B7109">
        <w:rPr>
          <w:rFonts w:eastAsia="Times New Roman"/>
        </w:rPr>
        <w:t>s</w:t>
      </w:r>
      <w:r w:rsidR="00033FA2" w:rsidRPr="00033FA2">
        <w:rPr>
          <w:rFonts w:eastAsia="Times New Roman"/>
        </w:rPr>
        <w:t>ation of the glucose even though there are plenty available outside the cell. On the other hand, the tissue continues to function and uses other fuel sources. Thus, the biological issue here is more related to the regulation of the nutrients.</w:t>
      </w:r>
    </w:p>
    <w:p w14:paraId="1B76F565" w14:textId="77777777" w:rsidR="00833092" w:rsidRDefault="00833092" w:rsidP="00833092">
      <w:pPr>
        <w:pStyle w:val="Heading1"/>
        <w:spacing w:before="200" w:after="100"/>
      </w:pPr>
      <w:bookmarkStart w:id="4" w:name="_Toc242805474"/>
      <w:r>
        <w:t>Type 2 Diabetes: Disruption of Normal Physiology</w:t>
      </w:r>
      <w:bookmarkEnd w:id="4"/>
    </w:p>
    <w:p w14:paraId="3DB0E182" w14:textId="77777777" w:rsidR="007D7CC9" w:rsidRPr="005E12BE" w:rsidRDefault="007D7CC9" w:rsidP="007D7CC9">
      <w:pPr>
        <w:spacing w:after="120"/>
        <w:rPr>
          <w:rFonts w:eastAsia="Times New Roman"/>
          <w:color w:val="auto"/>
        </w:rPr>
      </w:pPr>
      <w:r w:rsidRPr="005E12BE">
        <w:rPr>
          <w:rFonts w:eastAsia="Times New Roman"/>
          <w:color w:val="auto"/>
        </w:rPr>
        <w:t>Insulin resistance is a key factor in the development of T2DM and reflects decreased sensitivity of tissues that participate in the metabolism of glucose and lipids to the effects of insulin. The impaired ability of tissues to utilise glucose results in enhanced production of insulin from the pancreas at first, but eventually leads to insufficient insulin secretion compared to the insulin resistance level. This results in worsening glucose homeostasis. Modern data also highlight the heterogeneity of the processes involved: insulin resistance occurs via different mechanisms in each case, and the role of liver, muscles, adipose tissue, and β-cells varies in patients (</w:t>
      </w:r>
      <w:proofErr w:type="spellStart"/>
      <w:r w:rsidRPr="005E12BE">
        <w:rPr>
          <w:rFonts w:eastAsia="Times New Roman"/>
          <w:color w:val="auto"/>
        </w:rPr>
        <w:t>Accili</w:t>
      </w:r>
      <w:proofErr w:type="spellEnd"/>
      <w:r w:rsidRPr="005E12BE">
        <w:rPr>
          <w:rFonts w:eastAsia="Times New Roman"/>
          <w:color w:val="auto"/>
        </w:rPr>
        <w:t>, Deng and Liu, 2025).</w:t>
      </w:r>
    </w:p>
    <w:p w14:paraId="45C80C72" w14:textId="77777777" w:rsidR="00833092" w:rsidRPr="005E12BE" w:rsidRDefault="007D7CC9" w:rsidP="007D7CC9">
      <w:pPr>
        <w:spacing w:after="120"/>
        <w:rPr>
          <w:color w:val="auto"/>
          <w:sz w:val="28"/>
        </w:rPr>
      </w:pPr>
      <w:r w:rsidRPr="005E12BE">
        <w:rPr>
          <w:rFonts w:eastAsia="Times New Roman"/>
          <w:color w:val="auto"/>
        </w:rPr>
        <w:tab/>
        <w:t>In other words, hyperglycaemia is not the consequence of a single disorder but of an insufficient compensatory system. Insulin resistance causes problems with glucose disposal by tissues, while β-cell insufficiency allows elevated glucose production by the liver and glucose concentration in the blood. Such hyperglycaemia adds to metabolic stress.</w:t>
      </w:r>
    </w:p>
    <w:p w14:paraId="2692518D" w14:textId="77777777" w:rsidR="00BA2FCE" w:rsidRPr="005E12BE" w:rsidRDefault="007D7CC9" w:rsidP="00BA2FCE">
      <w:pPr>
        <w:spacing w:after="120"/>
        <w:rPr>
          <w:rFonts w:eastAsia="Times New Roman"/>
          <w:color w:val="auto"/>
        </w:rPr>
      </w:pPr>
      <w:r w:rsidRPr="005E12BE">
        <w:rPr>
          <w:rFonts w:eastAsia="Times New Roman"/>
          <w:color w:val="auto"/>
        </w:rPr>
        <w:tab/>
      </w:r>
      <w:r w:rsidR="00BA2FCE" w:rsidRPr="005E12BE">
        <w:rPr>
          <w:rFonts w:eastAsia="Times New Roman"/>
          <w:color w:val="auto"/>
        </w:rPr>
        <w:t>These physiological mechanisms are affected by lifestyle influences that should not be considered the only explanations for these diseases. Obesity can affect the physiology of adipose tissues and lead to the development of insulin resistance. Inactivity affects glucose consumption by muscles while smoking leads to poor metabolic processes and other negative cardiovascular effects. It is important to understand that these physiological influences are determined by genetic and social factors, as well as aging.</w:t>
      </w:r>
    </w:p>
    <w:p w14:paraId="564F436C" w14:textId="77777777" w:rsidR="00833092" w:rsidRPr="005E12BE" w:rsidRDefault="00BA2FCE" w:rsidP="00BA2FCE">
      <w:pPr>
        <w:spacing w:after="120"/>
        <w:rPr>
          <w:rFonts w:eastAsia="Times New Roman"/>
          <w:color w:val="auto"/>
        </w:rPr>
      </w:pPr>
      <w:r w:rsidRPr="005E12BE">
        <w:rPr>
          <w:rFonts w:eastAsia="Times New Roman"/>
          <w:color w:val="auto"/>
        </w:rPr>
        <w:tab/>
        <w:t>Consequently, in a case-study scenario, it is important for the practice nurse to describe the physiology in an understandable way for a person and make him/her reali</w:t>
      </w:r>
      <w:r w:rsidR="008B7109" w:rsidRPr="005E12BE">
        <w:rPr>
          <w:rFonts w:eastAsia="Times New Roman"/>
          <w:color w:val="auto"/>
        </w:rPr>
        <w:t>s</w:t>
      </w:r>
      <w:r w:rsidRPr="005E12BE">
        <w:rPr>
          <w:rFonts w:eastAsia="Times New Roman"/>
          <w:color w:val="auto"/>
        </w:rPr>
        <w:t>e that changes in lifestyle will have significant physiological effects.</w:t>
      </w:r>
    </w:p>
    <w:p w14:paraId="39DA5EBA" w14:textId="77777777" w:rsidR="008E11FF" w:rsidRPr="005E12BE" w:rsidRDefault="008E11FF" w:rsidP="008E11FF">
      <w:pPr>
        <w:pStyle w:val="Heading1"/>
        <w:rPr>
          <w:color w:val="auto"/>
        </w:rPr>
      </w:pPr>
      <w:bookmarkStart w:id="5" w:name="_Toc242805475"/>
      <w:r w:rsidRPr="005E12BE">
        <w:rPr>
          <w:color w:val="auto"/>
        </w:rPr>
        <w:t>Blood-Glucose Monitoring and Routine Data</w:t>
      </w:r>
      <w:bookmarkEnd w:id="5"/>
    </w:p>
    <w:p w14:paraId="0970CCE8" w14:textId="77777777" w:rsidR="005E12BE" w:rsidRPr="005E12BE" w:rsidRDefault="005E12BE" w:rsidP="005E12BE">
      <w:pPr>
        <w:rPr>
          <w:color w:val="auto"/>
          <w:lang w:val="en-US"/>
        </w:rPr>
      </w:pPr>
      <w:r w:rsidRPr="005E12BE">
        <w:rPr>
          <w:color w:val="auto"/>
          <w:lang w:val="en-US"/>
        </w:rPr>
        <w:t>Transforming physiological functions into informational data is inherent in routine data. Glycated hemoglobin (HbA1c), capillary blood glucose levels measurement, if necessary, and continuous glucose monitoring (CGM) in a selected patient group are relevant data. While HbA1c gives an integrated reflection of glycaemia over about two to three months, capillary data give more immediate information on glucose variability.</w:t>
      </w:r>
    </w:p>
    <w:p w14:paraId="477190C2" w14:textId="77777777" w:rsidR="00CB437E" w:rsidRPr="005E12BE" w:rsidRDefault="005E12BE" w:rsidP="005E12BE">
      <w:pPr>
        <w:rPr>
          <w:color w:val="auto"/>
          <w:lang w:val="en-US"/>
        </w:rPr>
      </w:pPr>
      <w:r w:rsidRPr="005E12BE">
        <w:rPr>
          <w:color w:val="auto"/>
          <w:lang w:val="en-US"/>
        </w:rPr>
        <w:tab/>
        <w:t>Research shows that structured monitoring may be helpful, but it cannot be identified with random tests. In a meta-analysis of 22 clinical trials with 6,204 patients with non-insulin-dependent type 2 diabetes mellitus (T2DM), self-monitoring was shown to lower HbA1c by 0.30 percentage point relative to non-self-monitoring; structured monitoring yielded additional benefits, and results were more effective when readings were connected to changes in lifestyle (Zou et al., 202</w:t>
      </w:r>
      <w:r w:rsidR="007B7349">
        <w:rPr>
          <w:color w:val="auto"/>
          <w:lang w:val="en-US"/>
        </w:rPr>
        <w:t>2</w:t>
      </w:r>
      <w:r w:rsidRPr="005E12BE">
        <w:rPr>
          <w:color w:val="auto"/>
          <w:lang w:val="en-US"/>
        </w:rPr>
        <w:t>).</w:t>
      </w:r>
    </w:p>
    <w:p w14:paraId="6ACB5052" w14:textId="77777777" w:rsidR="00CB437E" w:rsidRPr="005E12BE" w:rsidRDefault="00447A8B" w:rsidP="00CB437E">
      <w:pPr>
        <w:rPr>
          <w:color w:val="auto"/>
          <w:lang w:val="en-US"/>
        </w:rPr>
      </w:pPr>
      <w:r w:rsidRPr="005E12BE">
        <w:rPr>
          <w:color w:val="auto"/>
          <w:lang w:val="en-US"/>
        </w:rPr>
        <w:tab/>
      </w:r>
      <w:r w:rsidR="005E12BE" w:rsidRPr="005E12BE">
        <w:rPr>
          <w:color w:val="auto"/>
          <w:lang w:val="en-US"/>
        </w:rPr>
        <w:t xml:space="preserve">CGM gives more insights into variability in glucose levels. According to </w:t>
      </w:r>
      <w:proofErr w:type="spellStart"/>
      <w:r w:rsidR="005E12BE" w:rsidRPr="005E12BE">
        <w:rPr>
          <w:color w:val="auto"/>
          <w:lang w:val="en-US"/>
        </w:rPr>
        <w:t>Jancev</w:t>
      </w:r>
      <w:proofErr w:type="spellEnd"/>
      <w:r w:rsidR="005E12BE" w:rsidRPr="005E12BE">
        <w:rPr>
          <w:color w:val="auto"/>
          <w:lang w:val="en-US"/>
        </w:rPr>
        <w:t xml:space="preserve"> et al.'s 2024 meta-analysis of 12 </w:t>
      </w:r>
      <w:proofErr w:type="spellStart"/>
      <w:r w:rsidR="005E12BE" w:rsidRPr="005E12BE">
        <w:rPr>
          <w:color w:val="auto"/>
          <w:lang w:val="en-US"/>
        </w:rPr>
        <w:t>randomised</w:t>
      </w:r>
      <w:proofErr w:type="spellEnd"/>
      <w:r w:rsidR="005E12BE" w:rsidRPr="005E12BE">
        <w:rPr>
          <w:color w:val="auto"/>
          <w:lang w:val="en-US"/>
        </w:rPr>
        <w:t xml:space="preserve"> studies of 1,248 adults with T2DM, CGM lowers HbA1c levels by 0.31% and time in range by 6.36% when compared to self-monitoring. Nevertheless, these studies were open-label and there was limited evidence on both microvascular and </w:t>
      </w:r>
      <w:proofErr w:type="spellStart"/>
      <w:r w:rsidR="005E12BE" w:rsidRPr="005E12BE">
        <w:rPr>
          <w:color w:val="auto"/>
          <w:lang w:val="en-US"/>
        </w:rPr>
        <w:t>macrovascular</w:t>
      </w:r>
      <w:proofErr w:type="spellEnd"/>
      <w:r w:rsidR="005E12BE" w:rsidRPr="005E12BE">
        <w:rPr>
          <w:color w:val="auto"/>
          <w:lang w:val="en-US"/>
        </w:rPr>
        <w:t xml:space="preserve"> outcomes in the long run (</w:t>
      </w:r>
      <w:proofErr w:type="spellStart"/>
      <w:r w:rsidR="005E12BE" w:rsidRPr="005E12BE">
        <w:rPr>
          <w:color w:val="auto"/>
          <w:lang w:val="en-US"/>
        </w:rPr>
        <w:t>Jancev</w:t>
      </w:r>
      <w:proofErr w:type="spellEnd"/>
      <w:r w:rsidR="005E12BE" w:rsidRPr="005E12BE">
        <w:rPr>
          <w:color w:val="auto"/>
          <w:lang w:val="en-US"/>
        </w:rPr>
        <w:t xml:space="preserve"> et al., 2024). The data should be correct, understandable for the patient, interpreted by specialists if needed, and linked to action.</w:t>
      </w:r>
    </w:p>
    <w:p w14:paraId="14D53E92" w14:textId="77777777" w:rsidR="00447A8B" w:rsidRPr="005E12BE" w:rsidRDefault="00447A8B" w:rsidP="00447A8B">
      <w:pPr>
        <w:pStyle w:val="Caption"/>
        <w:keepNext/>
        <w:rPr>
          <w:color w:val="auto"/>
        </w:rPr>
      </w:pPr>
      <w:bookmarkStart w:id="6" w:name="_Toc242805487"/>
      <w:r w:rsidRPr="005E12BE">
        <w:rPr>
          <w:color w:val="auto"/>
        </w:rPr>
        <w:t xml:space="preserve">Table </w:t>
      </w:r>
      <w:r w:rsidRPr="005E12BE">
        <w:rPr>
          <w:color w:val="auto"/>
        </w:rPr>
        <w:fldChar w:fldCharType="begin"/>
      </w:r>
      <w:r w:rsidRPr="005E12BE">
        <w:rPr>
          <w:color w:val="auto"/>
        </w:rPr>
        <w:instrText xml:space="preserve"> SEQ Table \* ARABIC </w:instrText>
      </w:r>
      <w:r w:rsidRPr="005E12BE">
        <w:rPr>
          <w:color w:val="auto"/>
        </w:rPr>
        <w:fldChar w:fldCharType="separate"/>
      </w:r>
      <w:r w:rsidRPr="005E12BE">
        <w:rPr>
          <w:noProof/>
          <w:color w:val="auto"/>
        </w:rPr>
        <w:t>2</w:t>
      </w:r>
      <w:r w:rsidRPr="005E12BE">
        <w:rPr>
          <w:color w:val="auto"/>
        </w:rPr>
        <w:fldChar w:fldCharType="end"/>
      </w:r>
      <w:r w:rsidRPr="005E12BE">
        <w:rPr>
          <w:color w:val="auto"/>
        </w:rPr>
        <w:t>: Translating routine diabetes data into clinical and self-management action</w:t>
      </w:r>
      <w:bookmarkEnd w:id="6"/>
    </w:p>
    <w:tbl>
      <w:tblPr>
        <w:tblStyle w:val="TableGrid"/>
        <w:tblW w:w="0" w:type="auto"/>
        <w:jc w:val="center"/>
        <w:tblLook w:val="04A0" w:firstRow="1" w:lastRow="0" w:firstColumn="1" w:lastColumn="0" w:noHBand="0" w:noVBand="1"/>
      </w:tblPr>
      <w:tblGrid>
        <w:gridCol w:w="3116"/>
        <w:gridCol w:w="3117"/>
        <w:gridCol w:w="3117"/>
      </w:tblGrid>
      <w:tr w:rsidR="005E12BE" w:rsidRPr="005E12BE" w14:paraId="11D06038" w14:textId="77777777" w:rsidTr="00447A8B">
        <w:trPr>
          <w:jc w:val="center"/>
        </w:trPr>
        <w:tc>
          <w:tcPr>
            <w:tcW w:w="3116" w:type="dxa"/>
            <w:vAlign w:val="center"/>
          </w:tcPr>
          <w:p w14:paraId="53CE265A" w14:textId="77777777" w:rsidR="00CB437E" w:rsidRPr="005E12BE" w:rsidRDefault="00CB437E" w:rsidP="00CB437E">
            <w:pPr>
              <w:rPr>
                <w:color w:val="auto"/>
                <w:lang w:val="en-US"/>
              </w:rPr>
            </w:pPr>
            <w:r w:rsidRPr="005E12BE">
              <w:rPr>
                <w:b/>
                <w:color w:val="auto"/>
                <w:lang w:val="en-US"/>
              </w:rPr>
              <w:t>Data</w:t>
            </w:r>
          </w:p>
        </w:tc>
        <w:tc>
          <w:tcPr>
            <w:tcW w:w="3117" w:type="dxa"/>
            <w:vAlign w:val="center"/>
          </w:tcPr>
          <w:p w14:paraId="26A23731" w14:textId="77777777" w:rsidR="00CB437E" w:rsidRPr="005E12BE" w:rsidRDefault="00CB437E" w:rsidP="00CB437E">
            <w:pPr>
              <w:rPr>
                <w:color w:val="auto"/>
                <w:lang w:val="en-US"/>
              </w:rPr>
            </w:pPr>
            <w:r w:rsidRPr="005E12BE">
              <w:rPr>
                <w:b/>
                <w:color w:val="auto"/>
                <w:lang w:val="en-US"/>
              </w:rPr>
              <w:t>What it can indicate</w:t>
            </w:r>
          </w:p>
        </w:tc>
        <w:tc>
          <w:tcPr>
            <w:tcW w:w="3117" w:type="dxa"/>
            <w:vAlign w:val="center"/>
          </w:tcPr>
          <w:p w14:paraId="382C2D3D" w14:textId="77777777" w:rsidR="00CB437E" w:rsidRPr="005E12BE" w:rsidRDefault="00CB437E" w:rsidP="00CB437E">
            <w:pPr>
              <w:rPr>
                <w:color w:val="auto"/>
                <w:lang w:val="en-US"/>
              </w:rPr>
            </w:pPr>
            <w:r w:rsidRPr="005E12BE">
              <w:rPr>
                <w:b/>
                <w:color w:val="auto"/>
                <w:lang w:val="en-US"/>
              </w:rPr>
              <w:t>Potential action</w:t>
            </w:r>
          </w:p>
        </w:tc>
      </w:tr>
      <w:tr w:rsidR="005E12BE" w:rsidRPr="005E12BE" w14:paraId="0DB3E715" w14:textId="77777777" w:rsidTr="00447A8B">
        <w:trPr>
          <w:jc w:val="center"/>
        </w:trPr>
        <w:tc>
          <w:tcPr>
            <w:tcW w:w="3116" w:type="dxa"/>
            <w:vAlign w:val="center"/>
          </w:tcPr>
          <w:p w14:paraId="0207FCC5" w14:textId="77777777" w:rsidR="00CB437E" w:rsidRPr="005E12BE" w:rsidRDefault="00CB437E" w:rsidP="00CB437E">
            <w:pPr>
              <w:rPr>
                <w:color w:val="auto"/>
                <w:lang w:val="en-US"/>
              </w:rPr>
            </w:pPr>
            <w:r w:rsidRPr="005E12BE">
              <w:rPr>
                <w:color w:val="auto"/>
                <w:lang w:val="en-US"/>
              </w:rPr>
              <w:t>HbA1c trend</w:t>
            </w:r>
          </w:p>
        </w:tc>
        <w:tc>
          <w:tcPr>
            <w:tcW w:w="3117" w:type="dxa"/>
            <w:vAlign w:val="center"/>
          </w:tcPr>
          <w:p w14:paraId="0778BC6E" w14:textId="77777777" w:rsidR="00CB437E" w:rsidRPr="005E12BE" w:rsidRDefault="00CB437E" w:rsidP="00CB437E">
            <w:pPr>
              <w:rPr>
                <w:color w:val="auto"/>
                <w:lang w:val="en-US"/>
              </w:rPr>
            </w:pPr>
            <w:r w:rsidRPr="005E12BE">
              <w:rPr>
                <w:color w:val="auto"/>
                <w:lang w:val="en-US"/>
              </w:rPr>
              <w:t xml:space="preserve">Longer-term </w:t>
            </w:r>
            <w:proofErr w:type="spellStart"/>
            <w:r w:rsidRPr="005E12BE">
              <w:rPr>
                <w:color w:val="auto"/>
                <w:lang w:val="en-US"/>
              </w:rPr>
              <w:t>glycaemic</w:t>
            </w:r>
            <w:proofErr w:type="spellEnd"/>
            <w:r w:rsidRPr="005E12BE">
              <w:rPr>
                <w:color w:val="auto"/>
                <w:lang w:val="en-US"/>
              </w:rPr>
              <w:t xml:space="preserve"> exposure</w:t>
            </w:r>
          </w:p>
        </w:tc>
        <w:tc>
          <w:tcPr>
            <w:tcW w:w="3117" w:type="dxa"/>
            <w:vAlign w:val="center"/>
          </w:tcPr>
          <w:p w14:paraId="3DE1778B" w14:textId="77777777" w:rsidR="00CB437E" w:rsidRPr="005E12BE" w:rsidRDefault="00CB437E" w:rsidP="00CB437E">
            <w:pPr>
              <w:rPr>
                <w:color w:val="auto"/>
                <w:lang w:val="en-US"/>
              </w:rPr>
            </w:pPr>
            <w:r w:rsidRPr="005E12BE">
              <w:rPr>
                <w:color w:val="auto"/>
                <w:lang w:val="en-US"/>
              </w:rPr>
              <w:t>Review overall management and agreed targets</w:t>
            </w:r>
          </w:p>
        </w:tc>
      </w:tr>
      <w:tr w:rsidR="005E12BE" w:rsidRPr="005E12BE" w14:paraId="7FED71D7" w14:textId="77777777" w:rsidTr="00447A8B">
        <w:trPr>
          <w:jc w:val="center"/>
        </w:trPr>
        <w:tc>
          <w:tcPr>
            <w:tcW w:w="3116" w:type="dxa"/>
            <w:vAlign w:val="center"/>
          </w:tcPr>
          <w:p w14:paraId="49B4C1C8" w14:textId="77777777" w:rsidR="00CB437E" w:rsidRPr="005E12BE" w:rsidRDefault="00CB437E" w:rsidP="00CB437E">
            <w:pPr>
              <w:rPr>
                <w:color w:val="auto"/>
                <w:lang w:val="en-US"/>
              </w:rPr>
            </w:pPr>
            <w:r w:rsidRPr="005E12BE">
              <w:rPr>
                <w:color w:val="auto"/>
                <w:lang w:val="en-US"/>
              </w:rPr>
              <w:t>Capillary glucose pattern</w:t>
            </w:r>
          </w:p>
        </w:tc>
        <w:tc>
          <w:tcPr>
            <w:tcW w:w="3117" w:type="dxa"/>
            <w:vAlign w:val="center"/>
          </w:tcPr>
          <w:p w14:paraId="367AF57E" w14:textId="77777777" w:rsidR="00CB437E" w:rsidRPr="005E12BE" w:rsidRDefault="00CB437E" w:rsidP="00CB437E">
            <w:pPr>
              <w:rPr>
                <w:color w:val="auto"/>
                <w:lang w:val="en-US"/>
              </w:rPr>
            </w:pPr>
            <w:r w:rsidRPr="005E12BE">
              <w:rPr>
                <w:color w:val="auto"/>
                <w:lang w:val="en-US"/>
              </w:rPr>
              <w:t>Short-term variation linked to meals, activity or treatment</w:t>
            </w:r>
          </w:p>
        </w:tc>
        <w:tc>
          <w:tcPr>
            <w:tcW w:w="3117" w:type="dxa"/>
            <w:vAlign w:val="center"/>
          </w:tcPr>
          <w:p w14:paraId="2628A277" w14:textId="77777777" w:rsidR="00CB437E" w:rsidRPr="005E12BE" w:rsidRDefault="00CB437E" w:rsidP="00CB437E">
            <w:pPr>
              <w:rPr>
                <w:color w:val="auto"/>
                <w:lang w:val="en-US"/>
              </w:rPr>
            </w:pPr>
            <w:r w:rsidRPr="005E12BE">
              <w:rPr>
                <w:color w:val="auto"/>
                <w:lang w:val="en-US"/>
              </w:rPr>
              <w:t>Identify modifiable patterns and review management</w:t>
            </w:r>
          </w:p>
        </w:tc>
      </w:tr>
      <w:tr w:rsidR="005E12BE" w:rsidRPr="005E12BE" w14:paraId="77E2A800" w14:textId="77777777" w:rsidTr="00447A8B">
        <w:trPr>
          <w:jc w:val="center"/>
        </w:trPr>
        <w:tc>
          <w:tcPr>
            <w:tcW w:w="3116" w:type="dxa"/>
            <w:vAlign w:val="center"/>
          </w:tcPr>
          <w:p w14:paraId="5335314D" w14:textId="77777777" w:rsidR="00CB437E" w:rsidRPr="005E12BE" w:rsidRDefault="00CB437E" w:rsidP="00CB437E">
            <w:pPr>
              <w:rPr>
                <w:color w:val="auto"/>
                <w:lang w:val="en-US"/>
              </w:rPr>
            </w:pPr>
            <w:r w:rsidRPr="005E12BE">
              <w:rPr>
                <w:color w:val="auto"/>
                <w:lang w:val="en-US"/>
              </w:rPr>
              <w:t>CGM time in range</w:t>
            </w:r>
          </w:p>
        </w:tc>
        <w:tc>
          <w:tcPr>
            <w:tcW w:w="3117" w:type="dxa"/>
            <w:vAlign w:val="center"/>
          </w:tcPr>
          <w:p w14:paraId="3AB13BE7" w14:textId="77777777" w:rsidR="00CB437E" w:rsidRPr="005E12BE" w:rsidRDefault="00CB437E" w:rsidP="00CB437E">
            <w:pPr>
              <w:rPr>
                <w:color w:val="auto"/>
                <w:lang w:val="en-US"/>
              </w:rPr>
            </w:pPr>
            <w:r w:rsidRPr="005E12BE">
              <w:rPr>
                <w:color w:val="auto"/>
                <w:lang w:val="en-US"/>
              </w:rPr>
              <w:t>Distribution of glucose values across time</w:t>
            </w:r>
          </w:p>
        </w:tc>
        <w:tc>
          <w:tcPr>
            <w:tcW w:w="3117" w:type="dxa"/>
            <w:vAlign w:val="center"/>
          </w:tcPr>
          <w:p w14:paraId="3C53DA18" w14:textId="77777777" w:rsidR="00CB437E" w:rsidRPr="005E12BE" w:rsidRDefault="00CB437E" w:rsidP="00CB437E">
            <w:pPr>
              <w:rPr>
                <w:color w:val="auto"/>
                <w:lang w:val="en-US"/>
              </w:rPr>
            </w:pPr>
            <w:r w:rsidRPr="005E12BE">
              <w:rPr>
                <w:color w:val="auto"/>
                <w:lang w:val="en-US"/>
              </w:rPr>
              <w:t>Identify patterns that may be missed by isolated readings</w:t>
            </w:r>
          </w:p>
        </w:tc>
      </w:tr>
      <w:tr w:rsidR="005E12BE" w:rsidRPr="005E12BE" w14:paraId="22D8E36B" w14:textId="77777777" w:rsidTr="00447A8B">
        <w:trPr>
          <w:jc w:val="center"/>
        </w:trPr>
        <w:tc>
          <w:tcPr>
            <w:tcW w:w="3116" w:type="dxa"/>
            <w:vAlign w:val="center"/>
          </w:tcPr>
          <w:p w14:paraId="4D540DAC" w14:textId="77777777" w:rsidR="00CB437E" w:rsidRPr="005E12BE" w:rsidRDefault="00CB437E" w:rsidP="00CB437E">
            <w:pPr>
              <w:rPr>
                <w:color w:val="auto"/>
                <w:lang w:val="en-US"/>
              </w:rPr>
            </w:pPr>
            <w:proofErr w:type="spellStart"/>
            <w:r w:rsidRPr="005E12BE">
              <w:rPr>
                <w:color w:val="auto"/>
                <w:lang w:val="en-US"/>
              </w:rPr>
              <w:t>Glycaemic</w:t>
            </w:r>
            <w:proofErr w:type="spellEnd"/>
            <w:r w:rsidRPr="005E12BE">
              <w:rPr>
                <w:color w:val="auto"/>
                <w:lang w:val="en-US"/>
              </w:rPr>
              <w:t xml:space="preserve"> variability</w:t>
            </w:r>
          </w:p>
        </w:tc>
        <w:tc>
          <w:tcPr>
            <w:tcW w:w="3117" w:type="dxa"/>
            <w:vAlign w:val="center"/>
          </w:tcPr>
          <w:p w14:paraId="2C9D5B20" w14:textId="77777777" w:rsidR="00CB437E" w:rsidRPr="005E12BE" w:rsidRDefault="00CB437E" w:rsidP="00CB437E">
            <w:pPr>
              <w:rPr>
                <w:color w:val="auto"/>
                <w:lang w:val="en-US"/>
              </w:rPr>
            </w:pPr>
            <w:r w:rsidRPr="005E12BE">
              <w:rPr>
                <w:color w:val="auto"/>
                <w:lang w:val="en-US"/>
              </w:rPr>
              <w:t>Fluctuation rather than only average glucose</w:t>
            </w:r>
          </w:p>
        </w:tc>
        <w:tc>
          <w:tcPr>
            <w:tcW w:w="3117" w:type="dxa"/>
            <w:vAlign w:val="center"/>
          </w:tcPr>
          <w:p w14:paraId="2BBD93B9" w14:textId="77777777" w:rsidR="00CB437E" w:rsidRPr="005E12BE" w:rsidRDefault="00CB437E" w:rsidP="00CB437E">
            <w:pPr>
              <w:rPr>
                <w:color w:val="auto"/>
                <w:lang w:val="en-US"/>
              </w:rPr>
            </w:pPr>
            <w:r w:rsidRPr="005E12BE">
              <w:rPr>
                <w:color w:val="auto"/>
                <w:lang w:val="en-US"/>
              </w:rPr>
              <w:t>Consider timing of food, activity and treatment</w:t>
            </w:r>
          </w:p>
        </w:tc>
      </w:tr>
      <w:tr w:rsidR="005E12BE" w:rsidRPr="005E12BE" w14:paraId="75D814ED" w14:textId="77777777" w:rsidTr="00447A8B">
        <w:trPr>
          <w:jc w:val="center"/>
        </w:trPr>
        <w:tc>
          <w:tcPr>
            <w:tcW w:w="3116" w:type="dxa"/>
            <w:vAlign w:val="center"/>
          </w:tcPr>
          <w:p w14:paraId="75995716" w14:textId="77777777" w:rsidR="00CB437E" w:rsidRPr="005E12BE" w:rsidRDefault="00CB437E" w:rsidP="00CB437E">
            <w:pPr>
              <w:rPr>
                <w:color w:val="auto"/>
                <w:lang w:val="en-US"/>
              </w:rPr>
            </w:pPr>
            <w:r w:rsidRPr="005E12BE">
              <w:rPr>
                <w:color w:val="auto"/>
                <w:lang w:val="en-US"/>
              </w:rPr>
              <w:t>Patient-reported context</w:t>
            </w:r>
          </w:p>
        </w:tc>
        <w:tc>
          <w:tcPr>
            <w:tcW w:w="3117" w:type="dxa"/>
            <w:vAlign w:val="center"/>
          </w:tcPr>
          <w:p w14:paraId="16AED151" w14:textId="77777777" w:rsidR="00CB437E" w:rsidRPr="005E12BE" w:rsidRDefault="00CB437E" w:rsidP="00CB437E">
            <w:pPr>
              <w:rPr>
                <w:color w:val="auto"/>
                <w:lang w:val="en-US"/>
              </w:rPr>
            </w:pPr>
            <w:r w:rsidRPr="005E12BE">
              <w:rPr>
                <w:color w:val="auto"/>
                <w:lang w:val="en-US"/>
              </w:rPr>
              <w:t xml:space="preserve">Symptoms, adherence, barriers and </w:t>
            </w:r>
            <w:proofErr w:type="spellStart"/>
            <w:r w:rsidRPr="005E12BE">
              <w:rPr>
                <w:color w:val="auto"/>
                <w:lang w:val="en-US"/>
              </w:rPr>
              <w:t>behaviour</w:t>
            </w:r>
            <w:proofErr w:type="spellEnd"/>
          </w:p>
        </w:tc>
        <w:tc>
          <w:tcPr>
            <w:tcW w:w="3117" w:type="dxa"/>
            <w:vAlign w:val="center"/>
          </w:tcPr>
          <w:p w14:paraId="4BA0E0AC" w14:textId="77777777" w:rsidR="00CB437E" w:rsidRPr="005E12BE" w:rsidRDefault="00CB437E" w:rsidP="00CB437E">
            <w:pPr>
              <w:rPr>
                <w:color w:val="auto"/>
                <w:lang w:val="en-US"/>
              </w:rPr>
            </w:pPr>
            <w:r w:rsidRPr="005E12BE">
              <w:rPr>
                <w:color w:val="auto"/>
                <w:lang w:val="en-US"/>
              </w:rPr>
              <w:t>Interpret numerical data within the person’s circumstances</w:t>
            </w:r>
          </w:p>
        </w:tc>
      </w:tr>
    </w:tbl>
    <w:p w14:paraId="7DA7BE42" w14:textId="77777777" w:rsidR="008E11FF" w:rsidRPr="005E12BE" w:rsidRDefault="008E11FF" w:rsidP="008E11FF">
      <w:pPr>
        <w:pStyle w:val="Heading1"/>
        <w:rPr>
          <w:color w:val="auto"/>
        </w:rPr>
      </w:pPr>
      <w:bookmarkStart w:id="7" w:name="_Toc242805476"/>
      <w:r w:rsidRPr="005E12BE">
        <w:rPr>
          <w:color w:val="auto"/>
        </w:rPr>
        <w:t>Evidence-Based Lifestyle Management</w:t>
      </w:r>
      <w:bookmarkEnd w:id="7"/>
    </w:p>
    <w:p w14:paraId="273AD50D" w14:textId="77777777" w:rsidR="00447A8B" w:rsidRPr="005E12BE" w:rsidRDefault="00447A8B" w:rsidP="00447A8B">
      <w:pPr>
        <w:pStyle w:val="Heading2"/>
        <w:rPr>
          <w:color w:val="auto"/>
        </w:rPr>
      </w:pPr>
      <w:bookmarkStart w:id="8" w:name="_Toc242805477"/>
      <w:r w:rsidRPr="005E12BE">
        <w:rPr>
          <w:color w:val="auto"/>
        </w:rPr>
        <w:t>Diet</w:t>
      </w:r>
      <w:bookmarkEnd w:id="8"/>
    </w:p>
    <w:p w14:paraId="170C1CEE" w14:textId="77777777" w:rsidR="00447A8B" w:rsidRPr="005E12BE" w:rsidRDefault="005E12BE" w:rsidP="00CB437E">
      <w:pPr>
        <w:rPr>
          <w:color w:val="auto"/>
          <w:lang w:val="en-US"/>
        </w:rPr>
      </w:pPr>
      <w:r w:rsidRPr="005E12BE">
        <w:rPr>
          <w:color w:val="auto"/>
          <w:lang w:val="en-US"/>
        </w:rPr>
        <w:t xml:space="preserve">Dietary therapy should aim at sustainable improvements in food quality, energy balance and metabolism rather than recommending a universal diet for all patients. The findings of a network meta-analysis of 42 randomized controlled trials with 4,809 participants with type 2 diabetes mellitus have shown that a number of diets have been successful in terms of improving </w:t>
      </w:r>
      <w:proofErr w:type="spellStart"/>
      <w:r w:rsidRPr="005E12BE">
        <w:rPr>
          <w:color w:val="auto"/>
          <w:lang w:val="en-US"/>
        </w:rPr>
        <w:t>glycated</w:t>
      </w:r>
      <w:proofErr w:type="spellEnd"/>
      <w:r w:rsidRPr="005E12BE">
        <w:rPr>
          <w:color w:val="auto"/>
          <w:lang w:val="en-US"/>
        </w:rPr>
        <w:t xml:space="preserve"> </w:t>
      </w:r>
      <w:proofErr w:type="spellStart"/>
      <w:r w:rsidRPr="005E12BE">
        <w:rPr>
          <w:color w:val="auto"/>
          <w:lang w:val="en-US"/>
        </w:rPr>
        <w:t>haemoglobin</w:t>
      </w:r>
      <w:proofErr w:type="spellEnd"/>
      <w:r w:rsidRPr="005E12BE">
        <w:rPr>
          <w:color w:val="auto"/>
          <w:lang w:val="en-US"/>
        </w:rPr>
        <w:t xml:space="preserve"> levels or fasting glucose levels, such as low-carbohydrate, low-glycemic index and Mediterranean diets, and importantly, changes in </w:t>
      </w:r>
      <w:proofErr w:type="spellStart"/>
      <w:r w:rsidRPr="005E12BE">
        <w:rPr>
          <w:color w:val="auto"/>
          <w:lang w:val="en-US"/>
        </w:rPr>
        <w:t>glycated</w:t>
      </w:r>
      <w:proofErr w:type="spellEnd"/>
      <w:r w:rsidRPr="005E12BE">
        <w:rPr>
          <w:color w:val="auto"/>
          <w:lang w:val="en-US"/>
        </w:rPr>
        <w:t xml:space="preserve"> </w:t>
      </w:r>
      <w:proofErr w:type="spellStart"/>
      <w:r w:rsidRPr="005E12BE">
        <w:rPr>
          <w:color w:val="auto"/>
          <w:lang w:val="en-US"/>
        </w:rPr>
        <w:t>haemoglobin</w:t>
      </w:r>
      <w:proofErr w:type="spellEnd"/>
      <w:r w:rsidRPr="005E12BE">
        <w:rPr>
          <w:color w:val="auto"/>
          <w:lang w:val="en-US"/>
        </w:rPr>
        <w:t xml:space="preserve"> levels are associated with changes in weight; thus, the metabolic impact of diets is inseparable from energy balance (Jing et al., 2023). In addition, there is evidence for primary care nutrition interventions based on a systematic review and meta-analysis of 39 studies (</w:t>
      </w:r>
      <w:proofErr w:type="spellStart"/>
      <w:r w:rsidRPr="005E12BE">
        <w:rPr>
          <w:color w:val="auto"/>
          <w:lang w:val="en-US"/>
        </w:rPr>
        <w:t>Galendi</w:t>
      </w:r>
      <w:proofErr w:type="spellEnd"/>
      <w:r w:rsidRPr="005E12BE">
        <w:rPr>
          <w:color w:val="auto"/>
          <w:lang w:val="en-US"/>
        </w:rPr>
        <w:t xml:space="preserve"> et al., 2022).</w:t>
      </w:r>
    </w:p>
    <w:p w14:paraId="46BE9BB2" w14:textId="77777777" w:rsidR="00447A8B" w:rsidRPr="005E12BE" w:rsidRDefault="00447A8B" w:rsidP="00CB437E">
      <w:pPr>
        <w:rPr>
          <w:color w:val="auto"/>
          <w:lang w:val="en-US"/>
        </w:rPr>
      </w:pPr>
      <w:r w:rsidRPr="005E12BE">
        <w:rPr>
          <w:color w:val="auto"/>
          <w:lang w:val="en-US"/>
        </w:rPr>
        <w:tab/>
      </w:r>
      <w:r w:rsidR="005E12BE" w:rsidRPr="005E12BE">
        <w:rPr>
          <w:color w:val="auto"/>
          <w:lang w:val="en-US"/>
        </w:rPr>
        <w:t xml:space="preserve">The evidence thus suggests </w:t>
      </w:r>
      <w:proofErr w:type="spellStart"/>
      <w:r w:rsidR="005E12BE" w:rsidRPr="005E12BE">
        <w:rPr>
          <w:color w:val="auto"/>
          <w:lang w:val="en-US"/>
        </w:rPr>
        <w:t>individualised</w:t>
      </w:r>
      <w:proofErr w:type="spellEnd"/>
      <w:r w:rsidR="005E12BE" w:rsidRPr="005E12BE">
        <w:rPr>
          <w:color w:val="auto"/>
          <w:lang w:val="en-US"/>
        </w:rPr>
        <w:t xml:space="preserve"> dietary education: controlled portions, high-</w:t>
      </w:r>
      <w:proofErr w:type="spellStart"/>
      <w:r w:rsidR="005E12BE" w:rsidRPr="005E12BE">
        <w:rPr>
          <w:color w:val="auto"/>
          <w:lang w:val="en-US"/>
        </w:rPr>
        <w:t>fibre</w:t>
      </w:r>
      <w:proofErr w:type="spellEnd"/>
      <w:r w:rsidR="005E12BE" w:rsidRPr="005E12BE">
        <w:rPr>
          <w:color w:val="auto"/>
          <w:lang w:val="en-US"/>
        </w:rPr>
        <w:t xml:space="preserve"> foods, improved diet quality, and reduced excess energy intake needs to be tailored according to culture, affordability, </w:t>
      </w:r>
      <w:r w:rsidR="00880C61">
        <w:rPr>
          <w:color w:val="auto"/>
          <w:lang w:val="en-US"/>
        </w:rPr>
        <w:t>preferences and sustainability.</w:t>
      </w:r>
      <w:r w:rsidR="005E12BE" w:rsidRPr="005E12BE">
        <w:rPr>
          <w:color w:val="auto"/>
          <w:lang w:val="en-US"/>
        </w:rPr>
        <w:t xml:space="preserve"> In a </w:t>
      </w:r>
      <w:proofErr w:type="spellStart"/>
      <w:r w:rsidR="005E12BE" w:rsidRPr="005E12BE">
        <w:rPr>
          <w:color w:val="auto"/>
          <w:lang w:val="en-US"/>
        </w:rPr>
        <w:t>randomised</w:t>
      </w:r>
      <w:proofErr w:type="spellEnd"/>
      <w:r w:rsidR="005E12BE" w:rsidRPr="005E12BE">
        <w:rPr>
          <w:color w:val="auto"/>
          <w:lang w:val="en-US"/>
        </w:rPr>
        <w:t xml:space="preserve"> 2025 study with 115 individuals with T2DM, a low-carbohydrate weight-loss </w:t>
      </w:r>
      <w:proofErr w:type="spellStart"/>
      <w:r w:rsidR="005E12BE" w:rsidRPr="005E12BE">
        <w:rPr>
          <w:color w:val="auto"/>
          <w:lang w:val="en-US"/>
        </w:rPr>
        <w:t>programme</w:t>
      </w:r>
      <w:proofErr w:type="spellEnd"/>
      <w:r w:rsidR="005E12BE" w:rsidRPr="005E12BE">
        <w:rPr>
          <w:color w:val="auto"/>
          <w:lang w:val="en-US"/>
        </w:rPr>
        <w:t xml:space="preserve"> with digital support resulted in higher weight loss but there were no statistically and clinically significant differences in HbA1c between the groups at 3 and 12 months, and the weight loss difference was no longer observed after 12 months (Morris et al., 2025). The dietary advice thus needs to be oriented on sustainability and cannot assume that a particular dietary plan alone can fix </w:t>
      </w:r>
      <w:proofErr w:type="spellStart"/>
      <w:r w:rsidR="005E12BE" w:rsidRPr="005E12BE">
        <w:rPr>
          <w:color w:val="auto"/>
          <w:lang w:val="en-US"/>
        </w:rPr>
        <w:t>dysglycaemia</w:t>
      </w:r>
      <w:proofErr w:type="spellEnd"/>
      <w:r w:rsidR="005E12BE" w:rsidRPr="005E12BE">
        <w:rPr>
          <w:color w:val="auto"/>
          <w:lang w:val="en-US"/>
        </w:rPr>
        <w:t xml:space="preserve"> issues. Different responses to weight-loss interventions also need to be considered: the analysis of metabolomics data from participants of major weight-loss studies showed that metabolic characteristics varied among people achieving remission from diabetes and those who did not, supporting the idea of </w:t>
      </w:r>
      <w:proofErr w:type="spellStart"/>
      <w:r w:rsidR="005E12BE" w:rsidRPr="005E12BE">
        <w:rPr>
          <w:color w:val="auto"/>
          <w:lang w:val="en-US"/>
        </w:rPr>
        <w:t>personalisation</w:t>
      </w:r>
      <w:proofErr w:type="spellEnd"/>
      <w:r w:rsidR="005E12BE" w:rsidRPr="005E12BE">
        <w:rPr>
          <w:color w:val="auto"/>
          <w:lang w:val="en-US"/>
        </w:rPr>
        <w:t xml:space="preserve"> (</w:t>
      </w:r>
      <w:proofErr w:type="spellStart"/>
      <w:r w:rsidR="005E12BE" w:rsidRPr="005E12BE">
        <w:rPr>
          <w:color w:val="auto"/>
          <w:lang w:val="en-US"/>
        </w:rPr>
        <w:t>Kwee</w:t>
      </w:r>
      <w:proofErr w:type="spellEnd"/>
      <w:r w:rsidR="005E12BE" w:rsidRPr="005E12BE">
        <w:rPr>
          <w:color w:val="auto"/>
          <w:lang w:val="en-US"/>
        </w:rPr>
        <w:t xml:space="preserve"> et al., 2021).</w:t>
      </w:r>
    </w:p>
    <w:p w14:paraId="1967CF36" w14:textId="77777777" w:rsidR="00447A8B" w:rsidRPr="00AB7ACE" w:rsidRDefault="00CB437E" w:rsidP="00447A8B">
      <w:pPr>
        <w:pStyle w:val="Heading2"/>
        <w:rPr>
          <w:color w:val="FF0000"/>
          <w:lang w:val="en-US"/>
        </w:rPr>
      </w:pPr>
      <w:bookmarkStart w:id="9" w:name="_Toc242805478"/>
      <w:r w:rsidRPr="005E12BE">
        <w:rPr>
          <w:color w:val="auto"/>
          <w:lang w:val="en-US"/>
        </w:rPr>
        <w:t>Physical activity</w:t>
      </w:r>
      <w:bookmarkEnd w:id="9"/>
    </w:p>
    <w:p w14:paraId="3E851266" w14:textId="77777777" w:rsidR="00447A8B" w:rsidRPr="005E12BE" w:rsidRDefault="005E12BE" w:rsidP="00CB437E">
      <w:pPr>
        <w:rPr>
          <w:color w:val="auto"/>
          <w:lang w:val="en-US"/>
        </w:rPr>
      </w:pPr>
      <w:r w:rsidRPr="005E12BE">
        <w:rPr>
          <w:color w:val="auto"/>
          <w:lang w:val="en-US"/>
        </w:rPr>
        <w:t>Exercise is an obvious complement to diet due to skeletal muscle's role as a major site of glucose clearance. Exercise enhances glucose clearance and may even increase insulin sensitivity, leading to the possibility of physiological improvement prior to any significant weight loss. A 2025 network meta-analysis of 158 randomized trials including 17,059 individuals with T2DM reported a mean reduction in HbA1c of 0.58%, 0.40% and 0.58% in response to aerobic exercise, resistance exercise and combined aerobic and resistance exercise, respectively, compared to 0.35% reduction following advice on physical activity only (Garcia et al., 2025).</w:t>
      </w:r>
    </w:p>
    <w:p w14:paraId="121FAD59" w14:textId="77777777" w:rsidR="00447A8B" w:rsidRPr="005E12BE" w:rsidRDefault="00447A8B" w:rsidP="00CB437E">
      <w:pPr>
        <w:rPr>
          <w:color w:val="auto"/>
          <w:lang w:val="en-US"/>
        </w:rPr>
      </w:pPr>
      <w:r w:rsidRPr="005E12BE">
        <w:rPr>
          <w:color w:val="auto"/>
          <w:lang w:val="en-US"/>
        </w:rPr>
        <w:tab/>
      </w:r>
      <w:r w:rsidR="005E12BE" w:rsidRPr="005E12BE">
        <w:rPr>
          <w:color w:val="auto"/>
          <w:lang w:val="en-US"/>
        </w:rPr>
        <w:t>Nonetheless, what may be the best protocol for meta-analysis may not be the most practical method for an individual person. Factors such as intensity, mobility, co-morbidity, confidence, occupation, and accessibility affect adherence. Therefore, the role of the practice nurse in this case should be to apply the evidence in a practical manner.</w:t>
      </w:r>
    </w:p>
    <w:p w14:paraId="6449DE16" w14:textId="77777777" w:rsidR="00447A8B" w:rsidRPr="005E12BE" w:rsidRDefault="00CB437E" w:rsidP="00447A8B">
      <w:pPr>
        <w:pStyle w:val="Heading2"/>
        <w:rPr>
          <w:color w:val="auto"/>
          <w:lang w:val="en-US"/>
        </w:rPr>
      </w:pPr>
      <w:bookmarkStart w:id="10" w:name="_Toc242805479"/>
      <w:r w:rsidRPr="005E12BE">
        <w:rPr>
          <w:color w:val="auto"/>
          <w:lang w:val="en-US"/>
        </w:rPr>
        <w:t>Smoking cessation</w:t>
      </w:r>
      <w:bookmarkEnd w:id="10"/>
    </w:p>
    <w:p w14:paraId="00D9D906" w14:textId="77777777" w:rsidR="00CB437E" w:rsidRPr="005E12BE" w:rsidRDefault="005E12BE" w:rsidP="00CB437E">
      <w:pPr>
        <w:rPr>
          <w:color w:val="auto"/>
          <w:lang w:val="en-US"/>
        </w:rPr>
      </w:pPr>
      <w:r w:rsidRPr="005E12BE">
        <w:rPr>
          <w:color w:val="auto"/>
          <w:lang w:val="en-US"/>
        </w:rPr>
        <w:t xml:space="preserve">Cessation of smoking must be included since the smoking habit increases </w:t>
      </w:r>
      <w:proofErr w:type="spellStart"/>
      <w:r w:rsidRPr="005E12BE">
        <w:rPr>
          <w:color w:val="auto"/>
          <w:lang w:val="en-US"/>
        </w:rPr>
        <w:t>cardiometabolic</w:t>
      </w:r>
      <w:proofErr w:type="spellEnd"/>
      <w:r w:rsidRPr="005E12BE">
        <w:rPr>
          <w:color w:val="auto"/>
          <w:lang w:val="en-US"/>
        </w:rPr>
        <w:t xml:space="preserve"> risks for a person who is already at high-risk of developing complications. In a retrospective cohort study involving 241 people with T2DM undergoing a cessation program, 34% had successfully quit smoking after three months and experienced reduction in HbA1c levels of 0.3%, improved fasting glucose levels, and blood pressure readings; however, this is an observational study and therefore, no causative effect of smoking cessation can be attributed (Chen et al., 2021). The recent pooled evidence shows that pharmacological cessation treatment can promote sustained abstinence at 12 and 24 weeks but most of the evidence comes from studies in which diabetes was not a predefined disease (Martin et al., 2025).</w:t>
      </w:r>
    </w:p>
    <w:p w14:paraId="4067654A" w14:textId="77777777" w:rsidR="00853797" w:rsidRPr="005E12BE" w:rsidRDefault="00853797" w:rsidP="00853797">
      <w:pPr>
        <w:pStyle w:val="Heading1"/>
        <w:rPr>
          <w:color w:val="auto"/>
        </w:rPr>
      </w:pPr>
      <w:bookmarkStart w:id="11" w:name="_Toc242805480"/>
      <w:r w:rsidRPr="005E12BE">
        <w:rPr>
          <w:color w:val="auto"/>
        </w:rPr>
        <w:t>Conclusion</w:t>
      </w:r>
      <w:bookmarkEnd w:id="11"/>
    </w:p>
    <w:p w14:paraId="59A5A4DE" w14:textId="77777777" w:rsidR="00853797" w:rsidRPr="00880C61" w:rsidRDefault="00853797" w:rsidP="00853797">
      <w:pPr>
        <w:spacing w:after="120"/>
        <w:rPr>
          <w:color w:val="auto"/>
          <w:sz w:val="28"/>
        </w:rPr>
      </w:pPr>
      <w:r w:rsidRPr="000814B4">
        <w:rPr>
          <w:rFonts w:eastAsia="Times New Roman"/>
          <w:color w:val="auto"/>
        </w:rPr>
        <w:t xml:space="preserve">Type 2 diabetes mellitus is a progressive dysfunction of glucose homeostasis characterized by the presence of insulin resistance and reduced beta cell compensation rather than a simple consequence of a poor lifestyle choice. It is useful to understand how the pancreas normally functions, how glucose metabolism in tissues occurs, and how cells produce energy to understand what causes </w:t>
      </w:r>
      <w:proofErr w:type="spellStart"/>
      <w:r w:rsidRPr="000814B4">
        <w:rPr>
          <w:rFonts w:eastAsia="Times New Roman"/>
          <w:color w:val="auto"/>
        </w:rPr>
        <w:t>dysglycaemia</w:t>
      </w:r>
      <w:proofErr w:type="spellEnd"/>
      <w:r w:rsidRPr="000814B4">
        <w:rPr>
          <w:rFonts w:eastAsia="Times New Roman"/>
          <w:color w:val="auto"/>
        </w:rPr>
        <w:t xml:space="preserve"> and why there are consequences beyond a blood glucose measurement. Data is helpful in terms of patterns being recognized and used. </w:t>
      </w:r>
      <w:r w:rsidRPr="00880C61">
        <w:rPr>
          <w:rFonts w:eastAsia="Times New Roman"/>
          <w:color w:val="auto"/>
        </w:rPr>
        <w:t>There is enough proof that both self-monitoring and CGM should be conducted only when required, but in no circumstances compulsorily. The fact that lifestyle interventions work the best only when individually tailored is explained by the fact that healthy eating habits, regular exercise, and stopping smoking can have impact on certain physiological processes; however, the efficiency of such measures will be determined by their feasibility. Thus, one more specific role of the practice nurse within the primary care practice is evident; namely, the nurse will transform all the information about physiological processes into actions, which would be evidence-based.</w:t>
      </w:r>
    </w:p>
    <w:p w14:paraId="42B2CDE9" w14:textId="77777777" w:rsidR="00CB437E" w:rsidRDefault="008E11FF" w:rsidP="00CB437E">
      <w:pPr>
        <w:pStyle w:val="Heading1"/>
      </w:pPr>
      <w:bookmarkStart w:id="12" w:name="_Toc242805481"/>
      <w:r>
        <w:t>References</w:t>
      </w:r>
      <w:bookmarkEnd w:id="12"/>
    </w:p>
    <w:p w14:paraId="609247BF"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proofErr w:type="spellStart"/>
      <w:r w:rsidRPr="007B7349">
        <w:rPr>
          <w:rFonts w:eastAsia="Times New Roman"/>
          <w:color w:val="auto"/>
          <w:szCs w:val="24"/>
          <w:lang w:eastAsia="en-GB"/>
        </w:rPr>
        <w:t>Accili</w:t>
      </w:r>
      <w:proofErr w:type="spellEnd"/>
      <w:r w:rsidRPr="007B7349">
        <w:rPr>
          <w:rFonts w:eastAsia="Times New Roman"/>
          <w:color w:val="auto"/>
          <w:szCs w:val="24"/>
          <w:lang w:eastAsia="en-GB"/>
        </w:rPr>
        <w:t xml:space="preserve">, D., Deng, Z. and Liu, Q. (2025). Insulin resistance in type 2 diabetes mellitus. </w:t>
      </w:r>
      <w:r w:rsidRPr="007B7349">
        <w:rPr>
          <w:rFonts w:eastAsia="Times New Roman"/>
          <w:i/>
          <w:iCs/>
          <w:color w:val="auto"/>
          <w:szCs w:val="24"/>
          <w:lang w:eastAsia="en-GB"/>
        </w:rPr>
        <w:t>Nature Reviews Endocrinology</w:t>
      </w:r>
      <w:r w:rsidRPr="007B7349">
        <w:rPr>
          <w:rFonts w:eastAsia="Times New Roman"/>
          <w:color w:val="auto"/>
          <w:szCs w:val="24"/>
          <w:lang w:eastAsia="en-GB"/>
        </w:rPr>
        <w:t xml:space="preserve">, 21(7), pp.413–426.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8" w:history="1">
        <w:r w:rsidRPr="004A20A4">
          <w:rPr>
            <w:rStyle w:val="Hyperlink"/>
            <w:rFonts w:eastAsia="Times New Roman"/>
            <w:szCs w:val="24"/>
            <w:lang w:eastAsia="en-GB"/>
          </w:rPr>
          <w:t>https://doi.org/10.1038/s41574-025-01114-y</w:t>
        </w:r>
      </w:hyperlink>
      <w:r w:rsidRPr="007B7349">
        <w:rPr>
          <w:rFonts w:eastAsia="Times New Roman"/>
          <w:color w:val="auto"/>
          <w:szCs w:val="24"/>
          <w:lang w:eastAsia="en-GB"/>
        </w:rPr>
        <w:t>.</w:t>
      </w:r>
      <w:r>
        <w:rPr>
          <w:rFonts w:eastAsia="Times New Roman"/>
          <w:color w:val="auto"/>
          <w:szCs w:val="24"/>
          <w:lang w:eastAsia="en-GB"/>
        </w:rPr>
        <w:t xml:space="preserve"> </w:t>
      </w:r>
    </w:p>
    <w:p w14:paraId="66D75E00"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Chen, H.-J., Huang, W.-H., Chan, H.-L. and Hwang, L.-C. (2021). Improvement in </w:t>
      </w:r>
      <w:proofErr w:type="spellStart"/>
      <w:r w:rsidRPr="007B7349">
        <w:rPr>
          <w:rFonts w:eastAsia="Times New Roman"/>
          <w:color w:val="auto"/>
          <w:szCs w:val="24"/>
          <w:lang w:eastAsia="en-GB"/>
        </w:rPr>
        <w:t>cardiometabolic</w:t>
      </w:r>
      <w:proofErr w:type="spellEnd"/>
      <w:r w:rsidRPr="007B7349">
        <w:rPr>
          <w:rFonts w:eastAsia="Times New Roman"/>
          <w:color w:val="auto"/>
          <w:szCs w:val="24"/>
          <w:lang w:eastAsia="en-GB"/>
        </w:rPr>
        <w:t xml:space="preserve"> risk factors during smoking cessation treatment in patients with type 2 diabetes: A retrospective cohort study. </w:t>
      </w:r>
      <w:r w:rsidRPr="007B7349">
        <w:rPr>
          <w:rFonts w:eastAsia="Times New Roman"/>
          <w:i/>
          <w:iCs/>
          <w:color w:val="auto"/>
          <w:szCs w:val="24"/>
          <w:lang w:eastAsia="en-GB"/>
        </w:rPr>
        <w:t>Diabetes, Metabolic Syndrome and Obesity: Targets and Therapy</w:t>
      </w:r>
      <w:r w:rsidRPr="007B7349">
        <w:rPr>
          <w:rFonts w:eastAsia="Times New Roman"/>
          <w:color w:val="auto"/>
          <w:szCs w:val="24"/>
          <w:lang w:eastAsia="en-GB"/>
        </w:rPr>
        <w:t xml:space="preserve">, Volume 14, pp.1695–1702.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9" w:history="1">
        <w:r w:rsidRPr="004A20A4">
          <w:rPr>
            <w:rStyle w:val="Hyperlink"/>
            <w:rFonts w:eastAsia="Times New Roman"/>
            <w:szCs w:val="24"/>
            <w:lang w:eastAsia="en-GB"/>
          </w:rPr>
          <w:t>https://doi.org/10.2147/dmso.s303446</w:t>
        </w:r>
      </w:hyperlink>
      <w:r w:rsidRPr="007B7349">
        <w:rPr>
          <w:rFonts w:eastAsia="Times New Roman"/>
          <w:color w:val="auto"/>
          <w:szCs w:val="24"/>
          <w:lang w:eastAsia="en-GB"/>
        </w:rPr>
        <w:t>.</w:t>
      </w:r>
      <w:r>
        <w:rPr>
          <w:rFonts w:eastAsia="Times New Roman"/>
          <w:color w:val="auto"/>
          <w:szCs w:val="24"/>
          <w:lang w:eastAsia="en-GB"/>
        </w:rPr>
        <w:t xml:space="preserve"> </w:t>
      </w:r>
    </w:p>
    <w:p w14:paraId="6F3E0A40"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proofErr w:type="spellStart"/>
      <w:r w:rsidRPr="007B7349">
        <w:rPr>
          <w:rFonts w:eastAsia="Times New Roman"/>
          <w:color w:val="auto"/>
          <w:szCs w:val="24"/>
          <w:lang w:eastAsia="en-GB"/>
        </w:rPr>
        <w:t>Dunseath</w:t>
      </w:r>
      <w:proofErr w:type="spellEnd"/>
      <w:r w:rsidRPr="007B7349">
        <w:rPr>
          <w:rFonts w:eastAsia="Times New Roman"/>
          <w:color w:val="auto"/>
          <w:szCs w:val="24"/>
          <w:lang w:eastAsia="en-GB"/>
        </w:rPr>
        <w:t xml:space="preserve">, G.J., </w:t>
      </w:r>
      <w:proofErr w:type="spellStart"/>
      <w:r w:rsidRPr="007B7349">
        <w:rPr>
          <w:rFonts w:eastAsia="Times New Roman"/>
          <w:color w:val="auto"/>
          <w:szCs w:val="24"/>
          <w:lang w:eastAsia="en-GB"/>
        </w:rPr>
        <w:t>Luzio</w:t>
      </w:r>
      <w:proofErr w:type="spellEnd"/>
      <w:r w:rsidRPr="007B7349">
        <w:rPr>
          <w:rFonts w:eastAsia="Times New Roman"/>
          <w:color w:val="auto"/>
          <w:szCs w:val="24"/>
          <w:lang w:eastAsia="en-GB"/>
        </w:rPr>
        <w:t xml:space="preserve">, S.D., Peter, R. and Owens, D.R. (2021). The pathophysiology of glucose intolerance in newly diagnosed, untreated T2DM. </w:t>
      </w:r>
      <w:proofErr w:type="spellStart"/>
      <w:r w:rsidRPr="007B7349">
        <w:rPr>
          <w:rFonts w:eastAsia="Times New Roman"/>
          <w:i/>
          <w:iCs/>
          <w:color w:val="auto"/>
          <w:szCs w:val="24"/>
          <w:lang w:eastAsia="en-GB"/>
        </w:rPr>
        <w:t>Acta</w:t>
      </w:r>
      <w:proofErr w:type="spellEnd"/>
      <w:r w:rsidRPr="007B7349">
        <w:rPr>
          <w:rFonts w:eastAsia="Times New Roman"/>
          <w:i/>
          <w:iCs/>
          <w:color w:val="auto"/>
          <w:szCs w:val="24"/>
          <w:lang w:eastAsia="en-GB"/>
        </w:rPr>
        <w:t xml:space="preserve"> </w:t>
      </w:r>
      <w:proofErr w:type="spellStart"/>
      <w:r w:rsidRPr="007B7349">
        <w:rPr>
          <w:rFonts w:eastAsia="Times New Roman"/>
          <w:i/>
          <w:iCs/>
          <w:color w:val="auto"/>
          <w:szCs w:val="24"/>
          <w:lang w:eastAsia="en-GB"/>
        </w:rPr>
        <w:t>Diabetologica</w:t>
      </w:r>
      <w:proofErr w:type="spellEnd"/>
      <w:r w:rsidRPr="007B7349">
        <w:rPr>
          <w:rFonts w:eastAsia="Times New Roman"/>
          <w:color w:val="auto"/>
          <w:szCs w:val="24"/>
          <w:lang w:eastAsia="en-GB"/>
        </w:rPr>
        <w:t xml:space="preserve">, 59(2).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0" w:history="1">
        <w:r w:rsidRPr="004A20A4">
          <w:rPr>
            <w:rStyle w:val="Hyperlink"/>
            <w:rFonts w:eastAsia="Times New Roman"/>
            <w:szCs w:val="24"/>
            <w:lang w:eastAsia="en-GB"/>
          </w:rPr>
          <w:t>https://doi.org/10.1007/s00592-021-01785-9</w:t>
        </w:r>
      </w:hyperlink>
      <w:r w:rsidRPr="007B7349">
        <w:rPr>
          <w:rFonts w:eastAsia="Times New Roman"/>
          <w:color w:val="auto"/>
          <w:szCs w:val="24"/>
          <w:lang w:eastAsia="en-GB"/>
        </w:rPr>
        <w:t>.</w:t>
      </w:r>
      <w:r>
        <w:rPr>
          <w:rFonts w:eastAsia="Times New Roman"/>
          <w:color w:val="auto"/>
          <w:szCs w:val="24"/>
          <w:lang w:eastAsia="en-GB"/>
        </w:rPr>
        <w:t xml:space="preserve"> </w:t>
      </w:r>
    </w:p>
    <w:p w14:paraId="3A1C3ACD"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proofErr w:type="spellStart"/>
      <w:r w:rsidRPr="007B7349">
        <w:rPr>
          <w:rFonts w:eastAsia="Times New Roman"/>
          <w:color w:val="auto"/>
          <w:szCs w:val="24"/>
          <w:lang w:eastAsia="en-GB"/>
        </w:rPr>
        <w:t>Galendi</w:t>
      </w:r>
      <w:proofErr w:type="spellEnd"/>
      <w:r w:rsidRPr="007B7349">
        <w:rPr>
          <w:rFonts w:eastAsia="Times New Roman"/>
          <w:color w:val="auto"/>
          <w:szCs w:val="24"/>
          <w:lang w:eastAsia="en-GB"/>
        </w:rPr>
        <w:t xml:space="preserve">, J.S.C., </w:t>
      </w:r>
      <w:proofErr w:type="spellStart"/>
      <w:r w:rsidRPr="007B7349">
        <w:rPr>
          <w:rFonts w:eastAsia="Times New Roman"/>
          <w:color w:val="auto"/>
          <w:szCs w:val="24"/>
          <w:lang w:eastAsia="en-GB"/>
        </w:rPr>
        <w:t>Leite</w:t>
      </w:r>
      <w:proofErr w:type="spellEnd"/>
      <w:r w:rsidRPr="007B7349">
        <w:rPr>
          <w:rFonts w:eastAsia="Times New Roman"/>
          <w:color w:val="auto"/>
          <w:szCs w:val="24"/>
          <w:lang w:eastAsia="en-GB"/>
        </w:rPr>
        <w:t xml:space="preserve">, R.G.O.F., </w:t>
      </w:r>
      <w:proofErr w:type="spellStart"/>
      <w:r w:rsidRPr="007B7349">
        <w:rPr>
          <w:rFonts w:eastAsia="Times New Roman"/>
          <w:color w:val="auto"/>
          <w:szCs w:val="24"/>
          <w:lang w:eastAsia="en-GB"/>
        </w:rPr>
        <w:t>Banzato</w:t>
      </w:r>
      <w:proofErr w:type="spellEnd"/>
      <w:r w:rsidRPr="007B7349">
        <w:rPr>
          <w:rFonts w:eastAsia="Times New Roman"/>
          <w:color w:val="auto"/>
          <w:szCs w:val="24"/>
          <w:lang w:eastAsia="en-GB"/>
        </w:rPr>
        <w:t xml:space="preserve">, L.R. and </w:t>
      </w:r>
      <w:proofErr w:type="spellStart"/>
      <w:r w:rsidRPr="007B7349">
        <w:rPr>
          <w:rFonts w:eastAsia="Times New Roman"/>
          <w:color w:val="auto"/>
          <w:szCs w:val="24"/>
          <w:lang w:eastAsia="en-GB"/>
        </w:rPr>
        <w:t>Nunes-Nogueira</w:t>
      </w:r>
      <w:proofErr w:type="spellEnd"/>
      <w:r w:rsidRPr="007B7349">
        <w:rPr>
          <w:rFonts w:eastAsia="Times New Roman"/>
          <w:color w:val="auto"/>
          <w:szCs w:val="24"/>
          <w:lang w:eastAsia="en-GB"/>
        </w:rPr>
        <w:t xml:space="preserve">, V. dos S. (2022). Effectiveness of strategies for nutritional therapy for patients with type 2 diabetes and/or hypertension in primary care: A systematic review and meta-analysis. </w:t>
      </w:r>
      <w:r w:rsidRPr="007B7349">
        <w:rPr>
          <w:rFonts w:eastAsia="Times New Roman"/>
          <w:i/>
          <w:iCs/>
          <w:color w:val="auto"/>
          <w:szCs w:val="24"/>
          <w:lang w:eastAsia="en-GB"/>
        </w:rPr>
        <w:t>International Journal of Environmental Research and Public Health</w:t>
      </w:r>
      <w:r w:rsidRPr="007B7349">
        <w:rPr>
          <w:rFonts w:eastAsia="Times New Roman"/>
          <w:color w:val="auto"/>
          <w:szCs w:val="24"/>
          <w:lang w:eastAsia="en-GB"/>
        </w:rPr>
        <w:t xml:space="preserve">, 19(7), p.4243.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1" w:history="1">
        <w:r w:rsidRPr="004A20A4">
          <w:rPr>
            <w:rStyle w:val="Hyperlink"/>
            <w:rFonts w:eastAsia="Times New Roman"/>
            <w:szCs w:val="24"/>
            <w:lang w:eastAsia="en-GB"/>
          </w:rPr>
          <w:t>https://doi.org/10.3390/ijerph19074243</w:t>
        </w:r>
      </w:hyperlink>
      <w:r w:rsidRPr="007B7349">
        <w:rPr>
          <w:rFonts w:eastAsia="Times New Roman"/>
          <w:color w:val="auto"/>
          <w:szCs w:val="24"/>
          <w:lang w:eastAsia="en-GB"/>
        </w:rPr>
        <w:t>.</w:t>
      </w:r>
      <w:r>
        <w:rPr>
          <w:rFonts w:eastAsia="Times New Roman"/>
          <w:color w:val="auto"/>
          <w:szCs w:val="24"/>
          <w:lang w:eastAsia="en-GB"/>
        </w:rPr>
        <w:t xml:space="preserve"> </w:t>
      </w:r>
    </w:p>
    <w:p w14:paraId="6808A68F"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Garcia, S.P., </w:t>
      </w:r>
      <w:proofErr w:type="spellStart"/>
      <w:r w:rsidRPr="007B7349">
        <w:rPr>
          <w:rFonts w:eastAsia="Times New Roman"/>
          <w:color w:val="auto"/>
          <w:szCs w:val="24"/>
          <w:lang w:eastAsia="en-GB"/>
        </w:rPr>
        <w:t>Cureau</w:t>
      </w:r>
      <w:proofErr w:type="spellEnd"/>
      <w:r w:rsidRPr="007B7349">
        <w:rPr>
          <w:rFonts w:eastAsia="Times New Roman"/>
          <w:color w:val="auto"/>
          <w:szCs w:val="24"/>
          <w:lang w:eastAsia="en-GB"/>
        </w:rPr>
        <w:t xml:space="preserve">, F.V., </w:t>
      </w:r>
      <w:proofErr w:type="spellStart"/>
      <w:r w:rsidRPr="007B7349">
        <w:rPr>
          <w:rFonts w:eastAsia="Times New Roman"/>
          <w:color w:val="auto"/>
          <w:szCs w:val="24"/>
          <w:lang w:eastAsia="en-GB"/>
        </w:rPr>
        <w:t>Iorra</w:t>
      </w:r>
      <w:proofErr w:type="spellEnd"/>
      <w:r w:rsidRPr="007B7349">
        <w:rPr>
          <w:rFonts w:eastAsia="Times New Roman"/>
          <w:color w:val="auto"/>
          <w:szCs w:val="24"/>
          <w:lang w:eastAsia="en-GB"/>
        </w:rPr>
        <w:t xml:space="preserve">, F. de Q., </w:t>
      </w:r>
      <w:proofErr w:type="spellStart"/>
      <w:r w:rsidRPr="007B7349">
        <w:rPr>
          <w:rFonts w:eastAsia="Times New Roman"/>
          <w:color w:val="auto"/>
          <w:szCs w:val="24"/>
          <w:lang w:eastAsia="en-GB"/>
        </w:rPr>
        <w:t>Bottino</w:t>
      </w:r>
      <w:proofErr w:type="spellEnd"/>
      <w:r w:rsidRPr="007B7349">
        <w:rPr>
          <w:rFonts w:eastAsia="Times New Roman"/>
          <w:color w:val="auto"/>
          <w:szCs w:val="24"/>
          <w:lang w:eastAsia="en-GB"/>
        </w:rPr>
        <w:t xml:space="preserve">, L.G., R. C. Monteiro, L.E., </w:t>
      </w:r>
      <w:proofErr w:type="spellStart"/>
      <w:r w:rsidRPr="007B7349">
        <w:rPr>
          <w:rFonts w:eastAsia="Times New Roman"/>
          <w:color w:val="auto"/>
          <w:szCs w:val="24"/>
          <w:lang w:eastAsia="en-GB"/>
        </w:rPr>
        <w:t>Leivas</w:t>
      </w:r>
      <w:proofErr w:type="spellEnd"/>
      <w:r w:rsidRPr="007B7349">
        <w:rPr>
          <w:rFonts w:eastAsia="Times New Roman"/>
          <w:color w:val="auto"/>
          <w:szCs w:val="24"/>
          <w:lang w:eastAsia="en-GB"/>
        </w:rPr>
        <w:t xml:space="preserve">, G., </w:t>
      </w:r>
      <w:proofErr w:type="spellStart"/>
      <w:r w:rsidRPr="007B7349">
        <w:rPr>
          <w:rFonts w:eastAsia="Times New Roman"/>
          <w:color w:val="auto"/>
          <w:szCs w:val="24"/>
          <w:lang w:eastAsia="en-GB"/>
        </w:rPr>
        <w:t>Umpierre</w:t>
      </w:r>
      <w:proofErr w:type="spellEnd"/>
      <w:r w:rsidRPr="007B7349">
        <w:rPr>
          <w:rFonts w:eastAsia="Times New Roman"/>
          <w:color w:val="auto"/>
          <w:szCs w:val="24"/>
          <w:lang w:eastAsia="en-GB"/>
        </w:rPr>
        <w:t xml:space="preserve">, D. and </w:t>
      </w:r>
      <w:proofErr w:type="spellStart"/>
      <w:r w:rsidRPr="007B7349">
        <w:rPr>
          <w:rFonts w:eastAsia="Times New Roman"/>
          <w:color w:val="auto"/>
          <w:szCs w:val="24"/>
          <w:lang w:eastAsia="en-GB"/>
        </w:rPr>
        <w:t>Schaan</w:t>
      </w:r>
      <w:proofErr w:type="spellEnd"/>
      <w:r w:rsidRPr="007B7349">
        <w:rPr>
          <w:rFonts w:eastAsia="Times New Roman"/>
          <w:color w:val="auto"/>
          <w:szCs w:val="24"/>
          <w:lang w:eastAsia="en-GB"/>
        </w:rPr>
        <w:t xml:space="preserve">, B.D. (2025). Effects of exercise training and physical activity advice on HbA1c in people with type 2 diabetes: A network meta-analysis of randomized controlled trials. </w:t>
      </w:r>
      <w:r w:rsidRPr="007B7349">
        <w:rPr>
          <w:rFonts w:eastAsia="Times New Roman"/>
          <w:i/>
          <w:iCs/>
          <w:color w:val="auto"/>
          <w:szCs w:val="24"/>
          <w:lang w:eastAsia="en-GB"/>
        </w:rPr>
        <w:t>Diabetes Research and Clinical Practice</w:t>
      </w:r>
      <w:r w:rsidRPr="007B7349">
        <w:rPr>
          <w:rFonts w:eastAsia="Times New Roman"/>
          <w:color w:val="auto"/>
          <w:szCs w:val="24"/>
          <w:lang w:eastAsia="en-GB"/>
        </w:rPr>
        <w:t xml:space="preserve">, 221, p.112027.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2" w:history="1">
        <w:r w:rsidRPr="004A20A4">
          <w:rPr>
            <w:rStyle w:val="Hyperlink"/>
            <w:rFonts w:eastAsia="Times New Roman"/>
            <w:szCs w:val="24"/>
            <w:lang w:eastAsia="en-GB"/>
          </w:rPr>
          <w:t>https://doi.org/10.1016/j.diabres.2025.112027</w:t>
        </w:r>
      </w:hyperlink>
      <w:r w:rsidRPr="007B7349">
        <w:rPr>
          <w:rFonts w:eastAsia="Times New Roman"/>
          <w:color w:val="auto"/>
          <w:szCs w:val="24"/>
          <w:lang w:eastAsia="en-GB"/>
        </w:rPr>
        <w:t>.</w:t>
      </w:r>
      <w:r>
        <w:rPr>
          <w:rFonts w:eastAsia="Times New Roman"/>
          <w:color w:val="auto"/>
          <w:szCs w:val="24"/>
          <w:lang w:eastAsia="en-GB"/>
        </w:rPr>
        <w:t xml:space="preserve"> </w:t>
      </w:r>
    </w:p>
    <w:p w14:paraId="2EEA9EDB"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proofErr w:type="spellStart"/>
      <w:r w:rsidRPr="007B7349">
        <w:rPr>
          <w:rFonts w:eastAsia="Times New Roman"/>
          <w:color w:val="auto"/>
          <w:szCs w:val="24"/>
          <w:lang w:eastAsia="en-GB"/>
        </w:rPr>
        <w:t>Jancev</w:t>
      </w:r>
      <w:proofErr w:type="spellEnd"/>
      <w:r w:rsidRPr="007B7349">
        <w:rPr>
          <w:rFonts w:eastAsia="Times New Roman"/>
          <w:color w:val="auto"/>
          <w:szCs w:val="24"/>
          <w:lang w:eastAsia="en-GB"/>
        </w:rPr>
        <w:t xml:space="preserve">, M., Tessa, Frank, Arianne, </w:t>
      </w:r>
      <w:proofErr w:type="spellStart"/>
      <w:r w:rsidRPr="007B7349">
        <w:rPr>
          <w:rFonts w:eastAsia="Times New Roman"/>
          <w:color w:val="auto"/>
          <w:szCs w:val="24"/>
          <w:lang w:eastAsia="en-GB"/>
        </w:rPr>
        <w:t>Serné</w:t>
      </w:r>
      <w:proofErr w:type="spellEnd"/>
      <w:r w:rsidRPr="007B7349">
        <w:rPr>
          <w:rFonts w:eastAsia="Times New Roman"/>
          <w:color w:val="auto"/>
          <w:szCs w:val="24"/>
          <w:lang w:eastAsia="en-GB"/>
        </w:rPr>
        <w:t xml:space="preserve">, E.H., J. Hans </w:t>
      </w:r>
      <w:proofErr w:type="spellStart"/>
      <w:r w:rsidRPr="007B7349">
        <w:rPr>
          <w:rFonts w:eastAsia="Times New Roman"/>
          <w:color w:val="auto"/>
          <w:szCs w:val="24"/>
          <w:lang w:eastAsia="en-GB"/>
        </w:rPr>
        <w:t>DeVries</w:t>
      </w:r>
      <w:proofErr w:type="spellEnd"/>
      <w:r w:rsidRPr="007B7349">
        <w:rPr>
          <w:rFonts w:eastAsia="Times New Roman"/>
          <w:color w:val="auto"/>
          <w:szCs w:val="24"/>
          <w:lang w:eastAsia="en-GB"/>
        </w:rPr>
        <w:t xml:space="preserve">, Harold and Thomas (2024). Continuous glucose monitoring in adults with type 2 diabetes: A systematic review and meta-analysis. </w:t>
      </w:r>
      <w:proofErr w:type="spellStart"/>
      <w:r w:rsidRPr="007B7349">
        <w:rPr>
          <w:rFonts w:eastAsia="Times New Roman"/>
          <w:i/>
          <w:iCs/>
          <w:color w:val="auto"/>
          <w:szCs w:val="24"/>
          <w:lang w:eastAsia="en-GB"/>
        </w:rPr>
        <w:t>Diabetologia</w:t>
      </w:r>
      <w:proofErr w:type="spellEnd"/>
      <w:r w:rsidRPr="007B7349">
        <w:rPr>
          <w:rFonts w:eastAsia="Times New Roman"/>
          <w:color w:val="auto"/>
          <w:szCs w:val="24"/>
          <w:lang w:eastAsia="en-GB"/>
        </w:rPr>
        <w:t xml:space="preserve">, 67(5).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3" w:history="1">
        <w:r w:rsidRPr="004A20A4">
          <w:rPr>
            <w:rStyle w:val="Hyperlink"/>
            <w:rFonts w:eastAsia="Times New Roman"/>
            <w:szCs w:val="24"/>
            <w:lang w:eastAsia="en-GB"/>
          </w:rPr>
          <w:t>https://doi.org/10.1007/s00125-024-06107-6</w:t>
        </w:r>
      </w:hyperlink>
      <w:r w:rsidRPr="007B7349">
        <w:rPr>
          <w:rFonts w:eastAsia="Times New Roman"/>
          <w:color w:val="auto"/>
          <w:szCs w:val="24"/>
          <w:lang w:eastAsia="en-GB"/>
        </w:rPr>
        <w:t>.</w:t>
      </w:r>
      <w:r>
        <w:rPr>
          <w:rFonts w:eastAsia="Times New Roman"/>
          <w:color w:val="auto"/>
          <w:szCs w:val="24"/>
          <w:lang w:eastAsia="en-GB"/>
        </w:rPr>
        <w:t xml:space="preserve"> </w:t>
      </w:r>
    </w:p>
    <w:p w14:paraId="79DD0867"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Jing, T., Zhang, S., Bai, M., Chen, Z., Gao, S., Li, S. and Zhang, J. (2023). Effect of dietary approaches on </w:t>
      </w:r>
      <w:proofErr w:type="spellStart"/>
      <w:r w:rsidRPr="007B7349">
        <w:rPr>
          <w:rFonts w:eastAsia="Times New Roman"/>
          <w:color w:val="auto"/>
          <w:szCs w:val="24"/>
          <w:lang w:eastAsia="en-GB"/>
        </w:rPr>
        <w:t>glycemic</w:t>
      </w:r>
      <w:proofErr w:type="spellEnd"/>
      <w:r w:rsidRPr="007B7349">
        <w:rPr>
          <w:rFonts w:eastAsia="Times New Roman"/>
          <w:color w:val="auto"/>
          <w:szCs w:val="24"/>
          <w:lang w:eastAsia="en-GB"/>
        </w:rPr>
        <w:t xml:space="preserve"> control in patients with type 2 diabetes: A systematic review with network meta-analysis of randomized trials. </w:t>
      </w:r>
      <w:r w:rsidRPr="007B7349">
        <w:rPr>
          <w:rFonts w:eastAsia="Times New Roman"/>
          <w:i/>
          <w:iCs/>
          <w:color w:val="auto"/>
          <w:szCs w:val="24"/>
          <w:lang w:eastAsia="en-GB"/>
        </w:rPr>
        <w:t>Nutrients</w:t>
      </w:r>
      <w:r w:rsidRPr="007B7349">
        <w:rPr>
          <w:rFonts w:eastAsia="Times New Roman"/>
          <w:color w:val="auto"/>
          <w:szCs w:val="24"/>
          <w:lang w:eastAsia="en-GB"/>
        </w:rPr>
        <w:t xml:space="preserve">, 15(14), p.3156.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4" w:history="1">
        <w:r w:rsidRPr="004A20A4">
          <w:rPr>
            <w:rStyle w:val="Hyperlink"/>
            <w:rFonts w:eastAsia="Times New Roman"/>
            <w:szCs w:val="24"/>
            <w:lang w:eastAsia="en-GB"/>
          </w:rPr>
          <w:t>https://doi.org/10.3390/nu15143156</w:t>
        </w:r>
      </w:hyperlink>
      <w:r w:rsidRPr="007B7349">
        <w:rPr>
          <w:rFonts w:eastAsia="Times New Roman"/>
          <w:color w:val="auto"/>
          <w:szCs w:val="24"/>
          <w:lang w:eastAsia="en-GB"/>
        </w:rPr>
        <w:t>.</w:t>
      </w:r>
      <w:r>
        <w:rPr>
          <w:rFonts w:eastAsia="Times New Roman"/>
          <w:color w:val="auto"/>
          <w:szCs w:val="24"/>
          <w:lang w:eastAsia="en-GB"/>
        </w:rPr>
        <w:t xml:space="preserve"> </w:t>
      </w:r>
    </w:p>
    <w:p w14:paraId="2F98573F"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proofErr w:type="spellStart"/>
      <w:r w:rsidRPr="007B7349">
        <w:rPr>
          <w:rFonts w:eastAsia="Times New Roman"/>
          <w:color w:val="auto"/>
          <w:szCs w:val="24"/>
          <w:lang w:eastAsia="en-GB"/>
        </w:rPr>
        <w:t>Kwee</w:t>
      </w:r>
      <w:proofErr w:type="spellEnd"/>
      <w:r w:rsidRPr="007B7349">
        <w:rPr>
          <w:rFonts w:eastAsia="Times New Roman"/>
          <w:color w:val="auto"/>
          <w:szCs w:val="24"/>
          <w:lang w:eastAsia="en-GB"/>
        </w:rPr>
        <w:t xml:space="preserve">, L.C., </w:t>
      </w:r>
      <w:proofErr w:type="spellStart"/>
      <w:r w:rsidRPr="007B7349">
        <w:rPr>
          <w:rFonts w:eastAsia="Times New Roman"/>
          <w:color w:val="auto"/>
          <w:szCs w:val="24"/>
          <w:lang w:eastAsia="en-GB"/>
        </w:rPr>
        <w:t>Ilkayeva</w:t>
      </w:r>
      <w:proofErr w:type="spellEnd"/>
      <w:r w:rsidRPr="007B7349">
        <w:rPr>
          <w:rFonts w:eastAsia="Times New Roman"/>
          <w:color w:val="auto"/>
          <w:szCs w:val="24"/>
          <w:lang w:eastAsia="en-GB"/>
        </w:rPr>
        <w:t xml:space="preserve">, O., </w:t>
      </w:r>
      <w:proofErr w:type="spellStart"/>
      <w:r w:rsidRPr="007B7349">
        <w:rPr>
          <w:rFonts w:eastAsia="Times New Roman"/>
          <w:color w:val="auto"/>
          <w:szCs w:val="24"/>
          <w:lang w:eastAsia="en-GB"/>
        </w:rPr>
        <w:t>Muehlbauer</w:t>
      </w:r>
      <w:proofErr w:type="spellEnd"/>
      <w:r w:rsidRPr="007B7349">
        <w:rPr>
          <w:rFonts w:eastAsia="Times New Roman"/>
          <w:color w:val="auto"/>
          <w:szCs w:val="24"/>
          <w:lang w:eastAsia="en-GB"/>
        </w:rPr>
        <w:t xml:space="preserve">, M.J., </w:t>
      </w:r>
      <w:proofErr w:type="spellStart"/>
      <w:r w:rsidRPr="007B7349">
        <w:rPr>
          <w:rFonts w:eastAsia="Times New Roman"/>
          <w:color w:val="auto"/>
          <w:szCs w:val="24"/>
          <w:lang w:eastAsia="en-GB"/>
        </w:rPr>
        <w:t>Bihlmeyer</w:t>
      </w:r>
      <w:proofErr w:type="spellEnd"/>
      <w:r w:rsidRPr="007B7349">
        <w:rPr>
          <w:rFonts w:eastAsia="Times New Roman"/>
          <w:color w:val="auto"/>
          <w:szCs w:val="24"/>
          <w:lang w:eastAsia="en-GB"/>
        </w:rPr>
        <w:t>, N., Wolfe, B., Purnell, J.Q., Xavier Pi-</w:t>
      </w:r>
      <w:proofErr w:type="spellStart"/>
      <w:r w:rsidRPr="007B7349">
        <w:rPr>
          <w:rFonts w:eastAsia="Times New Roman"/>
          <w:color w:val="auto"/>
          <w:szCs w:val="24"/>
          <w:lang w:eastAsia="en-GB"/>
        </w:rPr>
        <w:t>Sunyer</w:t>
      </w:r>
      <w:proofErr w:type="spellEnd"/>
      <w:r w:rsidRPr="007B7349">
        <w:rPr>
          <w:rFonts w:eastAsia="Times New Roman"/>
          <w:color w:val="auto"/>
          <w:szCs w:val="24"/>
          <w:lang w:eastAsia="en-GB"/>
        </w:rPr>
        <w:t xml:space="preserve">, F., Chen, H., </w:t>
      </w:r>
      <w:proofErr w:type="spellStart"/>
      <w:r w:rsidRPr="007B7349">
        <w:rPr>
          <w:rFonts w:eastAsia="Times New Roman"/>
          <w:color w:val="auto"/>
          <w:szCs w:val="24"/>
          <w:lang w:eastAsia="en-GB"/>
        </w:rPr>
        <w:t>Bahnson</w:t>
      </w:r>
      <w:proofErr w:type="spellEnd"/>
      <w:r w:rsidRPr="007B7349">
        <w:rPr>
          <w:rFonts w:eastAsia="Times New Roman"/>
          <w:color w:val="auto"/>
          <w:szCs w:val="24"/>
          <w:lang w:eastAsia="en-GB"/>
        </w:rPr>
        <w:t xml:space="preserve">, J., </w:t>
      </w:r>
      <w:proofErr w:type="spellStart"/>
      <w:r w:rsidRPr="007B7349">
        <w:rPr>
          <w:rFonts w:eastAsia="Times New Roman"/>
          <w:color w:val="auto"/>
          <w:szCs w:val="24"/>
          <w:lang w:eastAsia="en-GB"/>
        </w:rPr>
        <w:t>Newgard</w:t>
      </w:r>
      <w:proofErr w:type="spellEnd"/>
      <w:r w:rsidRPr="007B7349">
        <w:rPr>
          <w:rFonts w:eastAsia="Times New Roman"/>
          <w:color w:val="auto"/>
          <w:szCs w:val="24"/>
          <w:lang w:eastAsia="en-GB"/>
        </w:rPr>
        <w:t xml:space="preserve">, C.B., Shah, S.H. and </w:t>
      </w:r>
      <w:proofErr w:type="spellStart"/>
      <w:r w:rsidRPr="007B7349">
        <w:rPr>
          <w:rFonts w:eastAsia="Times New Roman"/>
          <w:color w:val="auto"/>
          <w:szCs w:val="24"/>
          <w:lang w:eastAsia="en-GB"/>
        </w:rPr>
        <w:t>Laferrère</w:t>
      </w:r>
      <w:proofErr w:type="spellEnd"/>
      <w:r w:rsidRPr="007B7349">
        <w:rPr>
          <w:rFonts w:eastAsia="Times New Roman"/>
          <w:color w:val="auto"/>
          <w:szCs w:val="24"/>
          <w:lang w:eastAsia="en-GB"/>
        </w:rPr>
        <w:t xml:space="preserve">, B. (2021). Metabolites and diabetes remission after weight loss. </w:t>
      </w:r>
      <w:r w:rsidRPr="007B7349">
        <w:rPr>
          <w:rFonts w:eastAsia="Times New Roman"/>
          <w:i/>
          <w:iCs/>
          <w:color w:val="auto"/>
          <w:szCs w:val="24"/>
          <w:lang w:eastAsia="en-GB"/>
        </w:rPr>
        <w:t>Nutrition &amp; Diabetes</w:t>
      </w:r>
      <w:r w:rsidRPr="007B7349">
        <w:rPr>
          <w:rFonts w:eastAsia="Times New Roman"/>
          <w:color w:val="auto"/>
          <w:szCs w:val="24"/>
          <w:lang w:eastAsia="en-GB"/>
        </w:rPr>
        <w:t xml:space="preserve">, 11(1).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5" w:history="1">
        <w:r w:rsidRPr="004A20A4">
          <w:rPr>
            <w:rStyle w:val="Hyperlink"/>
            <w:rFonts w:eastAsia="Times New Roman"/>
            <w:szCs w:val="24"/>
            <w:lang w:eastAsia="en-GB"/>
          </w:rPr>
          <w:t>https://doi.org/10.1038/s41387-021-00151-6</w:t>
        </w:r>
      </w:hyperlink>
      <w:r w:rsidRPr="007B7349">
        <w:rPr>
          <w:rFonts w:eastAsia="Times New Roman"/>
          <w:color w:val="auto"/>
          <w:szCs w:val="24"/>
          <w:lang w:eastAsia="en-GB"/>
        </w:rPr>
        <w:t>.</w:t>
      </w:r>
      <w:r>
        <w:rPr>
          <w:rFonts w:eastAsia="Times New Roman"/>
          <w:color w:val="auto"/>
          <w:szCs w:val="24"/>
          <w:lang w:eastAsia="en-GB"/>
        </w:rPr>
        <w:t xml:space="preserve"> </w:t>
      </w:r>
    </w:p>
    <w:p w14:paraId="0257E116"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Martin, A., La Rosa, G.R.M., Rice, H., </w:t>
      </w:r>
      <w:proofErr w:type="spellStart"/>
      <w:r w:rsidRPr="007B7349">
        <w:rPr>
          <w:rFonts w:eastAsia="Times New Roman"/>
          <w:color w:val="auto"/>
          <w:szCs w:val="24"/>
          <w:lang w:eastAsia="en-GB"/>
        </w:rPr>
        <w:t>Bertuzzi</w:t>
      </w:r>
      <w:proofErr w:type="spellEnd"/>
      <w:r w:rsidRPr="007B7349">
        <w:rPr>
          <w:rFonts w:eastAsia="Times New Roman"/>
          <w:color w:val="auto"/>
          <w:szCs w:val="24"/>
          <w:lang w:eastAsia="en-GB"/>
        </w:rPr>
        <w:t xml:space="preserve">, A., </w:t>
      </w:r>
      <w:proofErr w:type="spellStart"/>
      <w:r w:rsidRPr="007B7349">
        <w:rPr>
          <w:rFonts w:eastAsia="Times New Roman"/>
          <w:color w:val="auto"/>
          <w:szCs w:val="24"/>
          <w:lang w:eastAsia="en-GB"/>
        </w:rPr>
        <w:t>Witkowski</w:t>
      </w:r>
      <w:proofErr w:type="spellEnd"/>
      <w:r w:rsidRPr="007B7349">
        <w:rPr>
          <w:rFonts w:eastAsia="Times New Roman"/>
          <w:color w:val="auto"/>
          <w:szCs w:val="24"/>
          <w:lang w:eastAsia="en-GB"/>
        </w:rPr>
        <w:t xml:space="preserve">, M., Anastasi, E., </w:t>
      </w:r>
      <w:proofErr w:type="spellStart"/>
      <w:r w:rsidRPr="007B7349">
        <w:rPr>
          <w:rFonts w:eastAsia="Times New Roman"/>
          <w:color w:val="auto"/>
          <w:szCs w:val="24"/>
          <w:lang w:eastAsia="en-GB"/>
        </w:rPr>
        <w:t>Geraci</w:t>
      </w:r>
      <w:proofErr w:type="spellEnd"/>
      <w:r w:rsidRPr="007B7349">
        <w:rPr>
          <w:rFonts w:eastAsia="Times New Roman"/>
          <w:color w:val="auto"/>
          <w:szCs w:val="24"/>
          <w:lang w:eastAsia="en-GB"/>
        </w:rPr>
        <w:t xml:space="preserve">, G. and </w:t>
      </w:r>
      <w:proofErr w:type="spellStart"/>
      <w:r w:rsidRPr="007B7349">
        <w:rPr>
          <w:rFonts w:eastAsia="Times New Roman"/>
          <w:color w:val="auto"/>
          <w:szCs w:val="24"/>
          <w:lang w:eastAsia="en-GB"/>
        </w:rPr>
        <w:t>Polosa</w:t>
      </w:r>
      <w:proofErr w:type="spellEnd"/>
      <w:r w:rsidRPr="007B7349">
        <w:rPr>
          <w:rFonts w:eastAsia="Times New Roman"/>
          <w:color w:val="auto"/>
          <w:szCs w:val="24"/>
          <w:lang w:eastAsia="en-GB"/>
        </w:rPr>
        <w:t xml:space="preserve">, R. (2025). Pharmacological interventions for smoking cessation in type 2 diabetes: A systematic review with meta-analysis and GRADE evaluation. </w:t>
      </w:r>
      <w:r w:rsidRPr="007B7349">
        <w:rPr>
          <w:rFonts w:eastAsia="Times New Roman"/>
          <w:i/>
          <w:iCs/>
          <w:color w:val="auto"/>
          <w:szCs w:val="24"/>
          <w:lang w:eastAsia="en-GB"/>
        </w:rPr>
        <w:t>Diabetes Research and Clinical Practice</w:t>
      </w:r>
      <w:r w:rsidRPr="007B7349">
        <w:rPr>
          <w:rFonts w:eastAsia="Times New Roman"/>
          <w:color w:val="auto"/>
          <w:szCs w:val="24"/>
          <w:lang w:eastAsia="en-GB"/>
        </w:rPr>
        <w:t xml:space="preserve">, 224, p.112202.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6" w:history="1">
        <w:r w:rsidRPr="004A20A4">
          <w:rPr>
            <w:rStyle w:val="Hyperlink"/>
            <w:rFonts w:eastAsia="Times New Roman"/>
            <w:szCs w:val="24"/>
            <w:lang w:eastAsia="en-GB"/>
          </w:rPr>
          <w:t>https://doi.org/10.1016/j.diabres.2025.112202</w:t>
        </w:r>
      </w:hyperlink>
      <w:r w:rsidRPr="007B7349">
        <w:rPr>
          <w:rFonts w:eastAsia="Times New Roman"/>
          <w:color w:val="auto"/>
          <w:szCs w:val="24"/>
          <w:lang w:eastAsia="en-GB"/>
        </w:rPr>
        <w:t>.</w:t>
      </w:r>
      <w:r>
        <w:rPr>
          <w:rFonts w:eastAsia="Times New Roman"/>
          <w:color w:val="auto"/>
          <w:szCs w:val="24"/>
          <w:lang w:eastAsia="en-GB"/>
        </w:rPr>
        <w:t xml:space="preserve"> </w:t>
      </w:r>
    </w:p>
    <w:p w14:paraId="0062AA44"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Morris, E., </w:t>
      </w:r>
      <w:proofErr w:type="spellStart"/>
      <w:r w:rsidRPr="007B7349">
        <w:rPr>
          <w:rFonts w:eastAsia="Times New Roman"/>
          <w:color w:val="auto"/>
          <w:szCs w:val="24"/>
          <w:lang w:eastAsia="en-GB"/>
        </w:rPr>
        <w:t>Scragg</w:t>
      </w:r>
      <w:proofErr w:type="spellEnd"/>
      <w:r w:rsidRPr="007B7349">
        <w:rPr>
          <w:rFonts w:eastAsia="Times New Roman"/>
          <w:color w:val="auto"/>
          <w:szCs w:val="24"/>
          <w:lang w:eastAsia="en-GB"/>
        </w:rPr>
        <w:t xml:space="preserve">, J., Stevens, R., Albury, C., Aveyard, P. and </w:t>
      </w:r>
      <w:proofErr w:type="spellStart"/>
      <w:r w:rsidRPr="007B7349">
        <w:rPr>
          <w:rFonts w:eastAsia="Times New Roman"/>
          <w:color w:val="auto"/>
          <w:szCs w:val="24"/>
          <w:lang w:eastAsia="en-GB"/>
        </w:rPr>
        <w:t>Jebb</w:t>
      </w:r>
      <w:proofErr w:type="spellEnd"/>
      <w:r w:rsidRPr="007B7349">
        <w:rPr>
          <w:rFonts w:eastAsia="Times New Roman"/>
          <w:color w:val="auto"/>
          <w:szCs w:val="24"/>
          <w:lang w:eastAsia="en-GB"/>
        </w:rPr>
        <w:t xml:space="preserve">, S.A. (2025). A randomised controlled trial of a low-carbohydrate digitally-supported weight loss programme for type 2 diabetes. </w:t>
      </w:r>
      <w:proofErr w:type="spellStart"/>
      <w:r w:rsidRPr="007B7349">
        <w:rPr>
          <w:rFonts w:eastAsia="Times New Roman"/>
          <w:i/>
          <w:iCs/>
          <w:color w:val="auto"/>
          <w:szCs w:val="24"/>
          <w:lang w:eastAsia="en-GB"/>
        </w:rPr>
        <w:t>npj</w:t>
      </w:r>
      <w:proofErr w:type="spellEnd"/>
      <w:r w:rsidRPr="007B7349">
        <w:rPr>
          <w:rFonts w:eastAsia="Times New Roman"/>
          <w:i/>
          <w:iCs/>
          <w:color w:val="auto"/>
          <w:szCs w:val="24"/>
          <w:lang w:eastAsia="en-GB"/>
        </w:rPr>
        <w:t xml:space="preserve"> Digital Medicine</w:t>
      </w:r>
      <w:r w:rsidRPr="007B7349">
        <w:rPr>
          <w:rFonts w:eastAsia="Times New Roman"/>
          <w:color w:val="auto"/>
          <w:szCs w:val="24"/>
          <w:lang w:eastAsia="en-GB"/>
        </w:rPr>
        <w:t xml:space="preserve">, 8(1).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7" w:history="1">
        <w:r w:rsidRPr="004A20A4">
          <w:rPr>
            <w:rStyle w:val="Hyperlink"/>
            <w:rFonts w:eastAsia="Times New Roman"/>
            <w:szCs w:val="24"/>
            <w:lang w:eastAsia="en-GB"/>
          </w:rPr>
          <w:t>https://doi.org/10.1038/s41746-025-02116-w</w:t>
        </w:r>
      </w:hyperlink>
      <w:r w:rsidRPr="007B7349">
        <w:rPr>
          <w:rFonts w:eastAsia="Times New Roman"/>
          <w:color w:val="auto"/>
          <w:szCs w:val="24"/>
          <w:lang w:eastAsia="en-GB"/>
        </w:rPr>
        <w:t>.</w:t>
      </w:r>
      <w:r>
        <w:rPr>
          <w:rFonts w:eastAsia="Times New Roman"/>
          <w:color w:val="auto"/>
          <w:szCs w:val="24"/>
          <w:lang w:eastAsia="en-GB"/>
        </w:rPr>
        <w:t xml:space="preserve"> </w:t>
      </w:r>
    </w:p>
    <w:p w14:paraId="642A98B1"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Office for Health Improvement &amp; Disparities (2025). </w:t>
      </w:r>
      <w:r w:rsidRPr="007B7349">
        <w:rPr>
          <w:rFonts w:eastAsia="Times New Roman"/>
          <w:i/>
          <w:iCs/>
          <w:color w:val="auto"/>
          <w:szCs w:val="24"/>
          <w:lang w:eastAsia="en-GB"/>
        </w:rPr>
        <w:t>Diabetes profile: Statistical commentary, march 2025</w:t>
      </w:r>
      <w:r w:rsidRPr="007B7349">
        <w:rPr>
          <w:rFonts w:eastAsia="Times New Roman"/>
          <w:color w:val="auto"/>
          <w:szCs w:val="24"/>
          <w:lang w:eastAsia="en-GB"/>
        </w:rPr>
        <w:t xml:space="preserve">. [online] GOV.UK. Available at: </w:t>
      </w:r>
      <w:hyperlink r:id="rId18" w:history="1">
        <w:r w:rsidRPr="004A20A4">
          <w:rPr>
            <w:rStyle w:val="Hyperlink"/>
            <w:rFonts w:eastAsia="Times New Roman"/>
            <w:szCs w:val="24"/>
            <w:lang w:eastAsia="en-GB"/>
          </w:rPr>
          <w:t>https://www.gov.uk/government/statistics/diabetes-profile-update-march-2025/diabetes-profile-statistical-commentary-march-2025</w:t>
        </w:r>
      </w:hyperlink>
      <w:r w:rsidRPr="007B7349">
        <w:rPr>
          <w:rFonts w:eastAsia="Times New Roman"/>
          <w:color w:val="auto"/>
          <w:szCs w:val="24"/>
          <w:lang w:eastAsia="en-GB"/>
        </w:rPr>
        <w:t>.</w:t>
      </w:r>
      <w:r>
        <w:rPr>
          <w:rFonts w:eastAsia="Times New Roman"/>
          <w:color w:val="auto"/>
          <w:szCs w:val="24"/>
          <w:lang w:eastAsia="en-GB"/>
        </w:rPr>
        <w:t xml:space="preserve"> </w:t>
      </w:r>
    </w:p>
    <w:p w14:paraId="5130B2A8"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Office for national statistics (2024). </w:t>
      </w:r>
      <w:r w:rsidRPr="007B7349">
        <w:rPr>
          <w:rFonts w:eastAsia="Times New Roman"/>
          <w:i/>
          <w:iCs/>
          <w:color w:val="auto"/>
          <w:szCs w:val="24"/>
          <w:lang w:eastAsia="en-GB"/>
        </w:rPr>
        <w:t>Risk factors for pre-diabetes and undiagnosed type 2 diabetes in England - office for national statistics</w:t>
      </w:r>
      <w:r w:rsidRPr="007B7349">
        <w:rPr>
          <w:rFonts w:eastAsia="Times New Roman"/>
          <w:color w:val="auto"/>
          <w:szCs w:val="24"/>
          <w:lang w:eastAsia="en-GB"/>
        </w:rPr>
        <w:t xml:space="preserve">. [online] www.ons.gov.uk. Available at: </w:t>
      </w:r>
      <w:hyperlink r:id="rId19" w:history="1">
        <w:r w:rsidRPr="004A20A4">
          <w:rPr>
            <w:rStyle w:val="Hyperlink"/>
            <w:rFonts w:eastAsia="Times New Roman"/>
            <w:szCs w:val="24"/>
            <w:lang w:eastAsia="en-GB"/>
          </w:rPr>
          <w:t>https://www.ons.gov.uk/peoplepopulationandcommunity/healthandsocialcare/healthinequalities/bulletins/riskfactorsforprediabetesandundiagnosedtype2diabetesinengland/2013to2019</w:t>
        </w:r>
      </w:hyperlink>
      <w:r>
        <w:rPr>
          <w:rFonts w:eastAsia="Times New Roman"/>
          <w:color w:val="auto"/>
          <w:szCs w:val="24"/>
          <w:lang w:eastAsia="en-GB"/>
        </w:rPr>
        <w:t xml:space="preserve"> </w:t>
      </w:r>
      <w:r w:rsidRPr="007B7349">
        <w:rPr>
          <w:rFonts w:eastAsia="Times New Roman"/>
          <w:color w:val="auto"/>
          <w:szCs w:val="24"/>
          <w:lang w:eastAsia="en-GB"/>
        </w:rPr>
        <w:t>.</w:t>
      </w:r>
    </w:p>
    <w:p w14:paraId="5442CA58" w14:textId="77777777" w:rsidR="007B7349" w:rsidRPr="007B7349" w:rsidRDefault="007B7349" w:rsidP="008D68C1">
      <w:pPr>
        <w:suppressAutoHyphens w:val="0"/>
        <w:spacing w:after="240" w:line="240" w:lineRule="auto"/>
        <w:ind w:left="567" w:hanging="567"/>
        <w:rPr>
          <w:rFonts w:eastAsia="Times New Roman"/>
          <w:color w:val="auto"/>
          <w:szCs w:val="24"/>
          <w:lang w:eastAsia="en-GB"/>
        </w:rPr>
      </w:pPr>
      <w:r w:rsidRPr="007B7349">
        <w:rPr>
          <w:rFonts w:eastAsia="Times New Roman"/>
          <w:color w:val="auto"/>
          <w:szCs w:val="24"/>
          <w:lang w:eastAsia="en-GB"/>
        </w:rPr>
        <w:t xml:space="preserve">Zou, Y., Zhao, S., Li, G. and Zhang, C. (2022). The efficacy and frequency of self-monitoring of blood glucose in non-insulin-treated T2D patients: A systematic review and meta-analysis. </w:t>
      </w:r>
      <w:r w:rsidRPr="007B7349">
        <w:rPr>
          <w:rFonts w:eastAsia="Times New Roman"/>
          <w:i/>
          <w:iCs/>
          <w:color w:val="auto"/>
          <w:szCs w:val="24"/>
          <w:lang w:eastAsia="en-GB"/>
        </w:rPr>
        <w:t>Journal of General Internal Medicine</w:t>
      </w:r>
      <w:r w:rsidRPr="007B7349">
        <w:rPr>
          <w:rFonts w:eastAsia="Times New Roman"/>
          <w:color w:val="auto"/>
          <w:szCs w:val="24"/>
          <w:lang w:eastAsia="en-GB"/>
        </w:rPr>
        <w:t xml:space="preserve">, 38(3), pp.755–764.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20" w:history="1">
        <w:r w:rsidRPr="004A20A4">
          <w:rPr>
            <w:rStyle w:val="Hyperlink"/>
            <w:rFonts w:eastAsia="Times New Roman"/>
            <w:szCs w:val="24"/>
            <w:lang w:eastAsia="en-GB"/>
          </w:rPr>
          <w:t>https://doi.org/10.1007/s11606-022-07864-z</w:t>
        </w:r>
      </w:hyperlink>
      <w:r w:rsidRPr="007B7349">
        <w:rPr>
          <w:rFonts w:eastAsia="Times New Roman"/>
          <w:color w:val="auto"/>
          <w:szCs w:val="24"/>
          <w:lang w:eastAsia="en-GB"/>
        </w:rPr>
        <w:t>.</w:t>
      </w:r>
      <w:r>
        <w:rPr>
          <w:rFonts w:eastAsia="Times New Roman"/>
          <w:color w:val="auto"/>
          <w:szCs w:val="24"/>
          <w:lang w:eastAsia="en-GB"/>
        </w:rPr>
        <w:t xml:space="preserve"> </w:t>
      </w:r>
    </w:p>
    <w:p w14:paraId="215980B7" w14:textId="77777777" w:rsidR="007B7349" w:rsidRPr="007B7349" w:rsidRDefault="007B7349" w:rsidP="007B7349"/>
    <w:sectPr w:rsidR="007B7349" w:rsidRPr="007B7349">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DA0F5D" w14:textId="77777777" w:rsidR="00471BF9" w:rsidRDefault="00471BF9" w:rsidP="00A87747">
      <w:pPr>
        <w:spacing w:line="240" w:lineRule="auto"/>
      </w:pPr>
      <w:r>
        <w:separator/>
      </w:r>
    </w:p>
  </w:endnote>
  <w:endnote w:type="continuationSeparator" w:id="0">
    <w:p w14:paraId="4EFC3A75" w14:textId="77777777" w:rsidR="00471BF9" w:rsidRDefault="00471BF9"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jaVu Sans">
    <w:altName w:val="MS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66F408" w14:textId="77777777" w:rsidR="00421532" w:rsidRDefault="004215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E2090F" w14:textId="77777777" w:rsidR="00A87747" w:rsidRDefault="00A87747">
    <w:pPr>
      <w:pStyle w:val="Footer"/>
      <w:jc w:val="center"/>
    </w:pPr>
    <w:r>
      <w:fldChar w:fldCharType="begin"/>
    </w:r>
    <w:r>
      <w:instrText xml:space="preserve"> PAGE   \* MERGEFORMAT </w:instrText>
    </w:r>
    <w:r>
      <w:fldChar w:fldCharType="separate"/>
    </w:r>
    <w:r w:rsidR="008D68C1">
      <w:rPr>
        <w:noProof/>
      </w:rPr>
      <w:t>2</w:t>
    </w:r>
    <w:r>
      <w:rPr>
        <w:noProof/>
      </w:rPr>
      <w:fldChar w:fldCharType="end"/>
    </w:r>
  </w:p>
  <w:p w14:paraId="13827080"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9F7DC8" w14:textId="77777777" w:rsidR="00421532" w:rsidRDefault="004215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E3A0E0" w14:textId="77777777" w:rsidR="00471BF9" w:rsidRDefault="00471BF9" w:rsidP="00A87747">
      <w:pPr>
        <w:spacing w:line="240" w:lineRule="auto"/>
      </w:pPr>
      <w:r>
        <w:separator/>
      </w:r>
    </w:p>
  </w:footnote>
  <w:footnote w:type="continuationSeparator" w:id="0">
    <w:p w14:paraId="2CA677E4" w14:textId="77777777" w:rsidR="00471BF9" w:rsidRDefault="00471BF9"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D9CAF" w14:textId="77777777" w:rsidR="00421532" w:rsidRDefault="004215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48D7B" w14:textId="77777777" w:rsidR="00421532" w:rsidRDefault="004215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9BA68" w14:textId="77777777" w:rsidR="00421532" w:rsidRDefault="004215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68222D"/>
    <w:multiLevelType w:val="hybridMultilevel"/>
    <w:tmpl w:val="B2B2C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95F2BA5"/>
    <w:multiLevelType w:val="hybridMultilevel"/>
    <w:tmpl w:val="07DCF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1084597">
    <w:abstractNumId w:val="0"/>
  </w:num>
  <w:num w:numId="2" w16cid:durableId="1936857882">
    <w:abstractNumId w:val="1"/>
  </w:num>
  <w:num w:numId="3" w16cid:durableId="1708069480">
    <w:abstractNumId w:val="10"/>
  </w:num>
  <w:num w:numId="4" w16cid:durableId="340203933">
    <w:abstractNumId w:val="25"/>
  </w:num>
  <w:num w:numId="5" w16cid:durableId="1833985627">
    <w:abstractNumId w:val="9"/>
  </w:num>
  <w:num w:numId="6" w16cid:durableId="52891704">
    <w:abstractNumId w:val="24"/>
  </w:num>
  <w:num w:numId="7" w16cid:durableId="820073139">
    <w:abstractNumId w:val="29"/>
  </w:num>
  <w:num w:numId="8" w16cid:durableId="1428188080">
    <w:abstractNumId w:val="20"/>
  </w:num>
  <w:num w:numId="9" w16cid:durableId="261887475">
    <w:abstractNumId w:val="6"/>
  </w:num>
  <w:num w:numId="10" w16cid:durableId="2017268091">
    <w:abstractNumId w:val="17"/>
  </w:num>
  <w:num w:numId="11" w16cid:durableId="1734739870">
    <w:abstractNumId w:val="21"/>
  </w:num>
  <w:num w:numId="12" w16cid:durableId="604076992">
    <w:abstractNumId w:val="12"/>
  </w:num>
  <w:num w:numId="13" w16cid:durableId="2068992671">
    <w:abstractNumId w:val="4"/>
  </w:num>
  <w:num w:numId="14" w16cid:durableId="378168249">
    <w:abstractNumId w:val="18"/>
  </w:num>
  <w:num w:numId="15" w16cid:durableId="1205827321">
    <w:abstractNumId w:val="5"/>
  </w:num>
  <w:num w:numId="16" w16cid:durableId="21781664">
    <w:abstractNumId w:val="23"/>
  </w:num>
  <w:num w:numId="17" w16cid:durableId="1102335185">
    <w:abstractNumId w:val="3"/>
  </w:num>
  <w:num w:numId="18" w16cid:durableId="475605585">
    <w:abstractNumId w:val="19"/>
  </w:num>
  <w:num w:numId="19" w16cid:durableId="825360534">
    <w:abstractNumId w:val="2"/>
  </w:num>
  <w:num w:numId="20" w16cid:durableId="148258105">
    <w:abstractNumId w:val="27"/>
  </w:num>
  <w:num w:numId="21" w16cid:durableId="695813350">
    <w:abstractNumId w:val="14"/>
  </w:num>
  <w:num w:numId="22" w16cid:durableId="1622758640">
    <w:abstractNumId w:val="13"/>
  </w:num>
  <w:num w:numId="23" w16cid:durableId="1162113951">
    <w:abstractNumId w:val="26"/>
  </w:num>
  <w:num w:numId="24" w16cid:durableId="485170606">
    <w:abstractNumId w:val="30"/>
  </w:num>
  <w:num w:numId="25" w16cid:durableId="854805120">
    <w:abstractNumId w:val="7"/>
  </w:num>
  <w:num w:numId="26" w16cid:durableId="770666918">
    <w:abstractNumId w:val="16"/>
  </w:num>
  <w:num w:numId="27" w16cid:durableId="882132461">
    <w:abstractNumId w:val="15"/>
  </w:num>
  <w:num w:numId="28" w16cid:durableId="1599606727">
    <w:abstractNumId w:val="22"/>
  </w:num>
  <w:num w:numId="29" w16cid:durableId="1474906884">
    <w:abstractNumId w:val="8"/>
  </w:num>
  <w:num w:numId="30" w16cid:durableId="814368811">
    <w:abstractNumId w:val="28"/>
  </w:num>
  <w:num w:numId="31" w16cid:durableId="9456868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gyNagFhNgurLQAAAA=="/>
  </w:docVars>
  <w:rsids>
    <w:rsidRoot w:val="008D09FF"/>
    <w:rsid w:val="00004EB7"/>
    <w:rsid w:val="000143B4"/>
    <w:rsid w:val="000157F7"/>
    <w:rsid w:val="000169FC"/>
    <w:rsid w:val="00026F62"/>
    <w:rsid w:val="0003210E"/>
    <w:rsid w:val="00033E1E"/>
    <w:rsid w:val="00033FA2"/>
    <w:rsid w:val="00043DD1"/>
    <w:rsid w:val="00044E03"/>
    <w:rsid w:val="00051B13"/>
    <w:rsid w:val="0005499F"/>
    <w:rsid w:val="00062FE8"/>
    <w:rsid w:val="00073CCE"/>
    <w:rsid w:val="00077B6D"/>
    <w:rsid w:val="000814B4"/>
    <w:rsid w:val="000824D7"/>
    <w:rsid w:val="0009752E"/>
    <w:rsid w:val="000A0300"/>
    <w:rsid w:val="000A2736"/>
    <w:rsid w:val="000A693F"/>
    <w:rsid w:val="000B55F1"/>
    <w:rsid w:val="000B7C25"/>
    <w:rsid w:val="000C2603"/>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6320D"/>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26E6E"/>
    <w:rsid w:val="00245957"/>
    <w:rsid w:val="00245FD9"/>
    <w:rsid w:val="0024714F"/>
    <w:rsid w:val="00251842"/>
    <w:rsid w:val="00255300"/>
    <w:rsid w:val="00267D0D"/>
    <w:rsid w:val="00273F83"/>
    <w:rsid w:val="002923C2"/>
    <w:rsid w:val="0029461D"/>
    <w:rsid w:val="002A218E"/>
    <w:rsid w:val="002B0A9C"/>
    <w:rsid w:val="002B1C88"/>
    <w:rsid w:val="002B6D16"/>
    <w:rsid w:val="002C58C6"/>
    <w:rsid w:val="002C5976"/>
    <w:rsid w:val="002C5AFE"/>
    <w:rsid w:val="002C5DF6"/>
    <w:rsid w:val="002D5608"/>
    <w:rsid w:val="002E2445"/>
    <w:rsid w:val="002F3715"/>
    <w:rsid w:val="002F4531"/>
    <w:rsid w:val="002F4C8F"/>
    <w:rsid w:val="00306373"/>
    <w:rsid w:val="003347F4"/>
    <w:rsid w:val="003407C3"/>
    <w:rsid w:val="00341F1F"/>
    <w:rsid w:val="0034686D"/>
    <w:rsid w:val="00352949"/>
    <w:rsid w:val="00354A83"/>
    <w:rsid w:val="003559FD"/>
    <w:rsid w:val="00355AA6"/>
    <w:rsid w:val="0035740A"/>
    <w:rsid w:val="00363625"/>
    <w:rsid w:val="003644F3"/>
    <w:rsid w:val="00365801"/>
    <w:rsid w:val="00371215"/>
    <w:rsid w:val="0037352A"/>
    <w:rsid w:val="00377720"/>
    <w:rsid w:val="00380505"/>
    <w:rsid w:val="00390787"/>
    <w:rsid w:val="003915E6"/>
    <w:rsid w:val="003A21CE"/>
    <w:rsid w:val="003B2223"/>
    <w:rsid w:val="003D2B08"/>
    <w:rsid w:val="003D6472"/>
    <w:rsid w:val="003E3CE3"/>
    <w:rsid w:val="003F2920"/>
    <w:rsid w:val="003F321A"/>
    <w:rsid w:val="003F546F"/>
    <w:rsid w:val="003F58CF"/>
    <w:rsid w:val="003F652C"/>
    <w:rsid w:val="003F6A34"/>
    <w:rsid w:val="004001C6"/>
    <w:rsid w:val="0040516B"/>
    <w:rsid w:val="00406F8A"/>
    <w:rsid w:val="00410CBD"/>
    <w:rsid w:val="004118BC"/>
    <w:rsid w:val="00412D04"/>
    <w:rsid w:val="00421532"/>
    <w:rsid w:val="00426EFB"/>
    <w:rsid w:val="004275E6"/>
    <w:rsid w:val="00430271"/>
    <w:rsid w:val="0043392D"/>
    <w:rsid w:val="00435F23"/>
    <w:rsid w:val="00447A8B"/>
    <w:rsid w:val="00454D5E"/>
    <w:rsid w:val="00455304"/>
    <w:rsid w:val="00460545"/>
    <w:rsid w:val="0046208D"/>
    <w:rsid w:val="00466687"/>
    <w:rsid w:val="00471BF9"/>
    <w:rsid w:val="0047293C"/>
    <w:rsid w:val="00480840"/>
    <w:rsid w:val="004836C4"/>
    <w:rsid w:val="0049537E"/>
    <w:rsid w:val="00496C57"/>
    <w:rsid w:val="004A17F2"/>
    <w:rsid w:val="004A42D9"/>
    <w:rsid w:val="004A6F78"/>
    <w:rsid w:val="004A78C8"/>
    <w:rsid w:val="004B2DC1"/>
    <w:rsid w:val="004B56FC"/>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8E3"/>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E12BE"/>
    <w:rsid w:val="005F292C"/>
    <w:rsid w:val="0060463A"/>
    <w:rsid w:val="00607926"/>
    <w:rsid w:val="0061173B"/>
    <w:rsid w:val="00615B24"/>
    <w:rsid w:val="00621B9C"/>
    <w:rsid w:val="006237FB"/>
    <w:rsid w:val="006302B6"/>
    <w:rsid w:val="006407FE"/>
    <w:rsid w:val="006438EC"/>
    <w:rsid w:val="006475FF"/>
    <w:rsid w:val="00654A6E"/>
    <w:rsid w:val="00656B94"/>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B7349"/>
    <w:rsid w:val="007C0686"/>
    <w:rsid w:val="007C1004"/>
    <w:rsid w:val="007C3193"/>
    <w:rsid w:val="007D0A05"/>
    <w:rsid w:val="007D1B17"/>
    <w:rsid w:val="007D4E7D"/>
    <w:rsid w:val="007D6079"/>
    <w:rsid w:val="007D7CC9"/>
    <w:rsid w:val="007E5D62"/>
    <w:rsid w:val="007E61B3"/>
    <w:rsid w:val="007E79B8"/>
    <w:rsid w:val="007F543B"/>
    <w:rsid w:val="007F5B80"/>
    <w:rsid w:val="007F654B"/>
    <w:rsid w:val="00813D9D"/>
    <w:rsid w:val="00814EE5"/>
    <w:rsid w:val="0082293E"/>
    <w:rsid w:val="0083045C"/>
    <w:rsid w:val="0083094A"/>
    <w:rsid w:val="008309B1"/>
    <w:rsid w:val="00831ABD"/>
    <w:rsid w:val="00833092"/>
    <w:rsid w:val="00841350"/>
    <w:rsid w:val="00853117"/>
    <w:rsid w:val="00853797"/>
    <w:rsid w:val="008645D9"/>
    <w:rsid w:val="0087207B"/>
    <w:rsid w:val="00872FDC"/>
    <w:rsid w:val="00880C61"/>
    <w:rsid w:val="00884801"/>
    <w:rsid w:val="008934D6"/>
    <w:rsid w:val="008A4FEE"/>
    <w:rsid w:val="008A5AAC"/>
    <w:rsid w:val="008B1D5E"/>
    <w:rsid w:val="008B6785"/>
    <w:rsid w:val="008B7109"/>
    <w:rsid w:val="008C4464"/>
    <w:rsid w:val="008C5894"/>
    <w:rsid w:val="008D09FF"/>
    <w:rsid w:val="008D68C1"/>
    <w:rsid w:val="008E11FF"/>
    <w:rsid w:val="008E4CC1"/>
    <w:rsid w:val="008E6B1D"/>
    <w:rsid w:val="008F29E6"/>
    <w:rsid w:val="00900DD5"/>
    <w:rsid w:val="009022FD"/>
    <w:rsid w:val="0090744C"/>
    <w:rsid w:val="009125AD"/>
    <w:rsid w:val="00913FA1"/>
    <w:rsid w:val="00914249"/>
    <w:rsid w:val="009172DB"/>
    <w:rsid w:val="0091789F"/>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4F25"/>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B7ACE"/>
    <w:rsid w:val="00AC3A95"/>
    <w:rsid w:val="00AC52A2"/>
    <w:rsid w:val="00AC6F6A"/>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6AF"/>
    <w:rsid w:val="00B31E9D"/>
    <w:rsid w:val="00B3225F"/>
    <w:rsid w:val="00B322E0"/>
    <w:rsid w:val="00B33DAC"/>
    <w:rsid w:val="00B34CA4"/>
    <w:rsid w:val="00B462F2"/>
    <w:rsid w:val="00B465CF"/>
    <w:rsid w:val="00B46E41"/>
    <w:rsid w:val="00B51613"/>
    <w:rsid w:val="00B56352"/>
    <w:rsid w:val="00B57A65"/>
    <w:rsid w:val="00B61DB0"/>
    <w:rsid w:val="00B61FED"/>
    <w:rsid w:val="00B671A3"/>
    <w:rsid w:val="00B702BF"/>
    <w:rsid w:val="00B7065F"/>
    <w:rsid w:val="00B71230"/>
    <w:rsid w:val="00B74848"/>
    <w:rsid w:val="00B87943"/>
    <w:rsid w:val="00B91486"/>
    <w:rsid w:val="00B97BB3"/>
    <w:rsid w:val="00BA2FCE"/>
    <w:rsid w:val="00BA2FDA"/>
    <w:rsid w:val="00BA45F5"/>
    <w:rsid w:val="00BA67AD"/>
    <w:rsid w:val="00BC0402"/>
    <w:rsid w:val="00BC3B3A"/>
    <w:rsid w:val="00BD180E"/>
    <w:rsid w:val="00BD411F"/>
    <w:rsid w:val="00BE6EAE"/>
    <w:rsid w:val="00BF3B28"/>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6F95"/>
    <w:rsid w:val="00C73ADD"/>
    <w:rsid w:val="00C74D7D"/>
    <w:rsid w:val="00C8669D"/>
    <w:rsid w:val="00C8743A"/>
    <w:rsid w:val="00C919FB"/>
    <w:rsid w:val="00C93FA4"/>
    <w:rsid w:val="00CA59F2"/>
    <w:rsid w:val="00CB18BE"/>
    <w:rsid w:val="00CB437E"/>
    <w:rsid w:val="00CC3413"/>
    <w:rsid w:val="00CC671B"/>
    <w:rsid w:val="00CD2539"/>
    <w:rsid w:val="00CE4E4E"/>
    <w:rsid w:val="00CE5BDB"/>
    <w:rsid w:val="00CF15D8"/>
    <w:rsid w:val="00CF5F42"/>
    <w:rsid w:val="00D119F5"/>
    <w:rsid w:val="00D20ECD"/>
    <w:rsid w:val="00D2166C"/>
    <w:rsid w:val="00D23569"/>
    <w:rsid w:val="00D30910"/>
    <w:rsid w:val="00D35421"/>
    <w:rsid w:val="00D4151E"/>
    <w:rsid w:val="00D444CD"/>
    <w:rsid w:val="00D50037"/>
    <w:rsid w:val="00D640E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3AC0"/>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1549"/>
    <w:rsid w:val="00EB32F9"/>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5020"/>
    <w:rsid w:val="00F42555"/>
    <w:rsid w:val="00F52B0E"/>
    <w:rsid w:val="00F648C4"/>
    <w:rsid w:val="00F71CCB"/>
    <w:rsid w:val="00F80D70"/>
    <w:rsid w:val="00FA1905"/>
    <w:rsid w:val="00FA3835"/>
    <w:rsid w:val="00FB012C"/>
    <w:rsid w:val="00FB44DD"/>
    <w:rsid w:val="00FB5913"/>
    <w:rsid w:val="00FB636C"/>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D778FEF"/>
  <w15:chartTrackingRefBased/>
  <w15:docId w15:val="{244C03BB-C201-42E7-B33D-E7F425737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813D9D"/>
    <w:pPr>
      <w:keepNext/>
      <w:keepLines/>
      <w:numPr>
        <w:ilvl w:val="1"/>
        <w:numId w:val="1"/>
      </w:numPr>
      <w:spacing w:before="113"/>
      <w:outlineLvl w:val="1"/>
    </w:pPr>
    <w:rPr>
      <w:rFonts w:eastAsia="Times New Roman"/>
      <w:b/>
      <w:bCs/>
      <w:szCs w:val="26"/>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5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1">
    <w:name w:val="Unresolved Mention1"/>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table" w:styleId="GridTable6Colorful-Accent2">
    <w:name w:val="Grid Table 6 Colorful Accent 2"/>
    <w:basedOn w:val="TableNormal"/>
    <w:uiPriority w:val="51"/>
    <w:rsid w:val="00D640E7"/>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284770835">
      <w:bodyDiv w:val="1"/>
      <w:marLeft w:val="0"/>
      <w:marRight w:val="0"/>
      <w:marTop w:val="0"/>
      <w:marBottom w:val="0"/>
      <w:divBdr>
        <w:top w:val="none" w:sz="0" w:space="0" w:color="auto"/>
        <w:left w:val="none" w:sz="0" w:space="0" w:color="auto"/>
        <w:bottom w:val="none" w:sz="0" w:space="0" w:color="auto"/>
        <w:right w:val="none" w:sz="0" w:space="0" w:color="auto"/>
      </w:divBdr>
      <w:divsChild>
        <w:div w:id="1294600286">
          <w:marLeft w:val="0"/>
          <w:marRight w:val="0"/>
          <w:marTop w:val="0"/>
          <w:marBottom w:val="0"/>
          <w:divBdr>
            <w:top w:val="none" w:sz="0" w:space="0" w:color="auto"/>
            <w:left w:val="none" w:sz="0" w:space="0" w:color="auto"/>
            <w:bottom w:val="none" w:sz="0" w:space="0" w:color="auto"/>
            <w:right w:val="none" w:sz="0" w:space="0" w:color="auto"/>
          </w:divBdr>
        </w:div>
      </w:divsChild>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8/s41574-025-01114-y" TargetMode="External" /><Relationship Id="rId13" Type="http://schemas.openxmlformats.org/officeDocument/2006/relationships/hyperlink" Target="https://doi.org/10.1007/s00125-024-06107-6" TargetMode="External" /><Relationship Id="rId18" Type="http://schemas.openxmlformats.org/officeDocument/2006/relationships/hyperlink" Target="https://www.gov.uk/government/statistics/diabetes-profile-update-march-2025/diabetes-profile-statistical-commentary-march-2025" TargetMode="External" /><Relationship Id="rId26" Type="http://schemas.openxmlformats.org/officeDocument/2006/relationships/footer" Target="footer3.xml" /><Relationship Id="rId3" Type="http://schemas.openxmlformats.org/officeDocument/2006/relationships/styles" Target="styles.xml" /><Relationship Id="rId21" Type="http://schemas.openxmlformats.org/officeDocument/2006/relationships/header" Target="header1.xml" /><Relationship Id="rId7" Type="http://schemas.openxmlformats.org/officeDocument/2006/relationships/endnotes" Target="endnotes.xml" /><Relationship Id="rId12" Type="http://schemas.openxmlformats.org/officeDocument/2006/relationships/hyperlink" Target="https://doi.org/10.1016/j.diabres.2025.112027" TargetMode="External" /><Relationship Id="rId17" Type="http://schemas.openxmlformats.org/officeDocument/2006/relationships/hyperlink" Target="https://doi.org/10.1038/s41746-025-02116-w" TargetMode="External" /><Relationship Id="rId25"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hyperlink" Target="https://doi.org/10.1016/j.diabres.2025.112202" TargetMode="External" /><Relationship Id="rId20" Type="http://schemas.openxmlformats.org/officeDocument/2006/relationships/hyperlink" Target="https://doi.org/10.1007/s11606-022-07864-z"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3390/ijerph19074243" TargetMode="External" /><Relationship Id="rId24"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hyperlink" Target="https://doi.org/10.1038/s41387-021-00151-6" TargetMode="External" /><Relationship Id="rId23" Type="http://schemas.openxmlformats.org/officeDocument/2006/relationships/footer" Target="footer1.xml" /><Relationship Id="rId28" Type="http://schemas.openxmlformats.org/officeDocument/2006/relationships/theme" Target="theme/theme1.xml" /><Relationship Id="rId10" Type="http://schemas.openxmlformats.org/officeDocument/2006/relationships/hyperlink" Target="https://doi.org/10.1007/s00592-021-01785-9" TargetMode="External" /><Relationship Id="rId19" Type="http://schemas.openxmlformats.org/officeDocument/2006/relationships/hyperlink" Target="https://www.ons.gov.uk/peoplepopulationandcommunity/healthandsocialcare/healthinequalities/bulletins/riskfactorsforprediabetesandundiagnosedtype2diabetesinengland/2013to2019" TargetMode="External" /><Relationship Id="rId4" Type="http://schemas.openxmlformats.org/officeDocument/2006/relationships/settings" Target="settings.xml" /><Relationship Id="rId9" Type="http://schemas.openxmlformats.org/officeDocument/2006/relationships/hyperlink" Target="https://doi.org/10.2147/dmso.s303446" TargetMode="External" /><Relationship Id="rId14" Type="http://schemas.openxmlformats.org/officeDocument/2006/relationships/hyperlink" Target="https://doi.org/10.3390/nu15143156" TargetMode="External" /><Relationship Id="rId22" Type="http://schemas.openxmlformats.org/officeDocument/2006/relationships/header" Target="header2.xm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4B5E40-AE54-48D4-86CA-6B195DE9D5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3042</Words>
  <Characters>17346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Safa khan</cp:lastModifiedBy>
  <cp:revision>6</cp:revision>
  <cp:lastPrinted>1900-01-01T00:00:00Z</cp:lastPrinted>
  <dcterms:created xsi:type="dcterms:W3CDTF">2026-10-18T20:16:00Z</dcterms:created>
  <dcterms:modified xsi:type="dcterms:W3CDTF">2026-10-21T08:35:00Z</dcterms:modified>
</cp:coreProperties>
</file>