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A4A3C" w14:textId="20CC2A5F" w:rsidR="00A953B0" w:rsidRDefault="00A953B0" w:rsidP="00A953B0">
      <w:pPr>
        <w:tabs>
          <w:tab w:val="num" w:pos="720"/>
        </w:tabs>
        <w:ind w:left="720" w:hanging="360"/>
      </w:pPr>
      <w:r>
        <w:t>References</w:t>
      </w:r>
    </w:p>
    <w:p w14:paraId="493C951C" w14:textId="5EF18E3E" w:rsidR="00A953B0" w:rsidRDefault="00A953B0" w:rsidP="00A953B0">
      <w:pPr>
        <w:tabs>
          <w:tab w:val="num" w:pos="720"/>
        </w:tabs>
        <w:ind w:left="720" w:hanging="360"/>
      </w:pPr>
    </w:p>
    <w:p w14:paraId="0A66EC09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Abizada, A., Gurbanova, U., Iskandarova, A. and Nadirzada, N. (2020). The Effect of Extracurricular Activities on Academic Performance in Secondary school: the Case of Azerbaijan. </w:t>
      </w:r>
      <w:r w:rsidRPr="00A953B0">
        <w:rPr>
          <w:i/>
          <w:iCs/>
        </w:rPr>
        <w:t>International Review of Education</w:t>
      </w:r>
      <w:r w:rsidRPr="00A953B0">
        <w:t xml:space="preserve">, [online] 66(4), pp.487–507. </w:t>
      </w:r>
      <w:proofErr w:type="gramStart"/>
      <w:r w:rsidRPr="00A953B0">
        <w:t>doi:https://doi.org/10.1007/s11159-020-09833-2</w:t>
      </w:r>
      <w:proofErr w:type="gramEnd"/>
      <w:r w:rsidRPr="00A953B0">
        <w:t>.</w:t>
      </w:r>
    </w:p>
    <w:p w14:paraId="2979D137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Adams, M. (2016). </w:t>
      </w:r>
      <w:r w:rsidRPr="00A953B0">
        <w:rPr>
          <w:i/>
          <w:iCs/>
        </w:rPr>
        <w:t>Teaching for Diversity and Social Justice</w:t>
      </w:r>
      <w:r w:rsidRPr="00A953B0">
        <w:t xml:space="preserve">. Routledge. </w:t>
      </w:r>
      <w:proofErr w:type="gramStart"/>
      <w:r w:rsidRPr="00A953B0">
        <w:t>doi:https://doi.org/10.4324/9781315775852</w:t>
      </w:r>
      <w:proofErr w:type="gramEnd"/>
      <w:r w:rsidRPr="00A953B0">
        <w:t>.</w:t>
      </w:r>
    </w:p>
    <w:p w14:paraId="415BEA72" w14:textId="77777777" w:rsidR="00A953B0" w:rsidRPr="00A953B0" w:rsidRDefault="00A953B0" w:rsidP="00A953B0">
      <w:pPr>
        <w:numPr>
          <w:ilvl w:val="0"/>
          <w:numId w:val="1"/>
        </w:numPr>
      </w:pPr>
      <w:proofErr w:type="spellStart"/>
      <w:r w:rsidRPr="00A953B0">
        <w:t>Battistich</w:t>
      </w:r>
      <w:proofErr w:type="spellEnd"/>
      <w:r w:rsidRPr="00A953B0">
        <w:t xml:space="preserve">, V., Solomon, D., Watson, M. and </w:t>
      </w:r>
      <w:proofErr w:type="spellStart"/>
      <w:r w:rsidRPr="00A953B0">
        <w:t>Schaps</w:t>
      </w:r>
      <w:proofErr w:type="spellEnd"/>
      <w:r w:rsidRPr="00A953B0">
        <w:t>, E. (1997). Caring school communities. </w:t>
      </w:r>
      <w:r w:rsidRPr="00A953B0">
        <w:rPr>
          <w:i/>
          <w:iCs/>
        </w:rPr>
        <w:t>Educational Psychologist</w:t>
      </w:r>
      <w:r w:rsidRPr="00A953B0">
        <w:t xml:space="preserve">, 32(3), pp.137–151. </w:t>
      </w:r>
      <w:proofErr w:type="gramStart"/>
      <w:r w:rsidRPr="00A953B0">
        <w:t>doi:https://doi.org/10.1207/s15326985ep3203_1</w:t>
      </w:r>
      <w:proofErr w:type="gramEnd"/>
      <w:r w:rsidRPr="00A953B0">
        <w:t>.</w:t>
      </w:r>
    </w:p>
    <w:p w14:paraId="7E3DEB7B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BERA (2018). </w:t>
      </w:r>
      <w:r w:rsidRPr="00A953B0">
        <w:rPr>
          <w:i/>
          <w:iCs/>
        </w:rPr>
        <w:t>Ethical guidelines for educational research</w:t>
      </w:r>
      <w:r w:rsidRPr="00A953B0">
        <w:t>.</w:t>
      </w:r>
    </w:p>
    <w:p w14:paraId="287FC63F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Campbell, S., B and von Stauffenberg, C. (2008). Child Characteristics and Family Processes That Predict Behavioral Readiness for School. In: A. Booth, ed., </w:t>
      </w:r>
      <w:r w:rsidRPr="00A953B0">
        <w:rPr>
          <w:i/>
          <w:iCs/>
        </w:rPr>
        <w:t>Early Disparities in School readiness: How Families Contribute to Transitions into School</w:t>
      </w:r>
      <w:r w:rsidRPr="00A953B0">
        <w:t>. Psychology Press, pp.225–258.</w:t>
      </w:r>
    </w:p>
    <w:p w14:paraId="48E51C67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Estyn (2019).</w:t>
      </w:r>
      <w:r w:rsidRPr="00A953B0">
        <w:rPr>
          <w:highlight w:val="black"/>
        </w:rPr>
        <w:t> </w:t>
      </w:r>
      <w:r w:rsidRPr="00A953B0">
        <w:rPr>
          <w:i/>
          <w:iCs/>
          <w:highlight w:val="black"/>
        </w:rPr>
        <w:t>A report on Ysgol Gynradd Gymraeg Calon y Cymoedd Betws Road Betws CF32 8TD Estyn</w:t>
      </w:r>
      <w:r w:rsidRPr="00A953B0">
        <w:rPr>
          <w:i/>
          <w:iCs/>
        </w:rPr>
        <w:t>, Her Majesty’s Inspectorate for Education and Training in Wales</w:t>
      </w:r>
      <w:r w:rsidRPr="00A953B0">
        <w:t xml:space="preserve">. [online] Available at: </w:t>
      </w:r>
      <w:hyperlink r:id="rId5" w:history="1">
        <w:r w:rsidRPr="00A953B0">
          <w:rPr>
            <w:rStyle w:val="Hyperlink"/>
          </w:rPr>
          <w:t>https://www.estyn.gov.wales/system/files/</w:t>
        </w:r>
      </w:hyperlink>
      <w:hyperlink r:id="rId6" w:history="1">
        <w:r w:rsidRPr="00A953B0">
          <w:rPr>
            <w:rStyle w:val="Hyperlink"/>
            <w:highlight w:val="black"/>
          </w:rPr>
          <w:t>2021-08/Inspection%20report%20Ysgol%20Gynradd%20Gymraeg%20Calon%20y%20Cymoedd%202019.pdf</w:t>
        </w:r>
      </w:hyperlink>
      <w:r w:rsidRPr="00A953B0">
        <w:rPr>
          <w:highlight w:val="black"/>
        </w:rPr>
        <w:t>.</w:t>
      </w:r>
    </w:p>
    <w:p w14:paraId="187F7A21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Holley, L.C. and Steiner, S. (2005). Safe Space: Student Perspectives on Classroom Environment. </w:t>
      </w:r>
      <w:r w:rsidRPr="00A953B0">
        <w:rPr>
          <w:i/>
          <w:iCs/>
        </w:rPr>
        <w:t>Journal of Social Work Education</w:t>
      </w:r>
      <w:r w:rsidRPr="00A953B0">
        <w:t>, [online] 41(1), pp.49–64. Available at: http://www.jstor.org/stable/23044032 [Accessed 24 Feb. 2024].</w:t>
      </w:r>
    </w:p>
    <w:p w14:paraId="6D7D0E3D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La Paro, K.M. and Pianta, R.C. (2000). Predicting Children’s Competence in the Early School Years: A Meta-Analytic Review. </w:t>
      </w:r>
      <w:r w:rsidRPr="00A953B0">
        <w:rPr>
          <w:i/>
          <w:iCs/>
        </w:rPr>
        <w:t>Review of Educational Research</w:t>
      </w:r>
      <w:r w:rsidRPr="00A953B0">
        <w:t xml:space="preserve">, 70(4), pp.443–484. </w:t>
      </w:r>
      <w:proofErr w:type="gramStart"/>
      <w:r w:rsidRPr="00A953B0">
        <w:t>doi:https://doi.org/10.3102/00346543070004443</w:t>
      </w:r>
      <w:proofErr w:type="gramEnd"/>
      <w:r w:rsidRPr="00A953B0">
        <w:t>.</w:t>
      </w:r>
    </w:p>
    <w:p w14:paraId="71983A96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Oakes, J., Franke, M.L., Quartz, K.H. and Rogers, J. (2002). Research for High-Quality Urban Teaching. </w:t>
      </w:r>
      <w:r w:rsidRPr="00A953B0">
        <w:rPr>
          <w:i/>
          <w:iCs/>
        </w:rPr>
        <w:t>Journal of Teacher Education</w:t>
      </w:r>
      <w:r w:rsidRPr="00A953B0">
        <w:t xml:space="preserve">, 53(3), pp.228–234. </w:t>
      </w:r>
      <w:proofErr w:type="gramStart"/>
      <w:r w:rsidRPr="00A953B0">
        <w:t>doi:https://doi.org/10.1177/0022487102053003006</w:t>
      </w:r>
      <w:proofErr w:type="gramEnd"/>
      <w:r w:rsidRPr="00A953B0">
        <w:t>.</w:t>
      </w:r>
    </w:p>
    <w:p w14:paraId="780C7337" w14:textId="77777777" w:rsidR="00A953B0" w:rsidRPr="00A953B0" w:rsidRDefault="00A953B0" w:rsidP="00A953B0">
      <w:pPr>
        <w:numPr>
          <w:ilvl w:val="0"/>
          <w:numId w:val="1"/>
        </w:numPr>
      </w:pPr>
      <w:proofErr w:type="spellStart"/>
      <w:r w:rsidRPr="00A953B0">
        <w:t>Pulimeno</w:t>
      </w:r>
      <w:proofErr w:type="spellEnd"/>
      <w:r w:rsidRPr="00A953B0">
        <w:t xml:space="preserve">, M., </w:t>
      </w:r>
      <w:proofErr w:type="spellStart"/>
      <w:r w:rsidRPr="00A953B0">
        <w:t>Piscitelli</w:t>
      </w:r>
      <w:proofErr w:type="spellEnd"/>
      <w:r w:rsidRPr="00A953B0">
        <w:t xml:space="preserve">, P., </w:t>
      </w:r>
      <w:proofErr w:type="spellStart"/>
      <w:r w:rsidRPr="00A953B0">
        <w:t>Colazzo</w:t>
      </w:r>
      <w:proofErr w:type="spellEnd"/>
      <w:r w:rsidRPr="00A953B0">
        <w:t xml:space="preserve">, S., </w:t>
      </w:r>
      <w:proofErr w:type="spellStart"/>
      <w:r w:rsidRPr="00A953B0">
        <w:t>Colao</w:t>
      </w:r>
      <w:proofErr w:type="spellEnd"/>
      <w:r w:rsidRPr="00A953B0">
        <w:t xml:space="preserve">, A. and </w:t>
      </w:r>
      <w:proofErr w:type="spellStart"/>
      <w:r w:rsidRPr="00A953B0">
        <w:t>Miani</w:t>
      </w:r>
      <w:proofErr w:type="spellEnd"/>
      <w:r w:rsidRPr="00A953B0">
        <w:t>, A. (2020). School as Ideal Setting to Promote Health and Wellbeing among Young People. </w:t>
      </w:r>
      <w:r w:rsidRPr="00A953B0">
        <w:rPr>
          <w:i/>
          <w:iCs/>
        </w:rPr>
        <w:t>Health Promotion Perspectives</w:t>
      </w:r>
      <w:r w:rsidRPr="00A953B0">
        <w:t xml:space="preserve">, [online] 10(4), pp.316–324. </w:t>
      </w:r>
      <w:proofErr w:type="gramStart"/>
      <w:r w:rsidRPr="00A953B0">
        <w:t>doi:https://doi.org/10.34172/hpp.2020.50</w:t>
      </w:r>
      <w:proofErr w:type="gramEnd"/>
      <w:r w:rsidRPr="00A953B0">
        <w:t>.</w:t>
      </w:r>
    </w:p>
    <w:p w14:paraId="10AD0663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Rawls, J. (1999). </w:t>
      </w:r>
      <w:r w:rsidRPr="00A953B0">
        <w:rPr>
          <w:i/>
          <w:iCs/>
        </w:rPr>
        <w:t>A Theory of Justice</w:t>
      </w:r>
      <w:r w:rsidRPr="00A953B0">
        <w:t>. Harvard University Press.</w:t>
      </w:r>
    </w:p>
    <w:p w14:paraId="58DAABC0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School X (2023). Data Llun Lles. School X.</w:t>
      </w:r>
    </w:p>
    <w:p w14:paraId="57FBCFE5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Welsh Government (2023). </w:t>
      </w:r>
      <w:r w:rsidRPr="00A953B0">
        <w:rPr>
          <w:i/>
          <w:iCs/>
          <w:highlight w:val="black"/>
        </w:rPr>
        <w:t>Ysgol Gynradd Gymraeg Calon Y Cymoedd</w:t>
      </w:r>
      <w:r w:rsidRPr="00A953B0">
        <w:rPr>
          <w:highlight w:val="black"/>
        </w:rPr>
        <w:t xml:space="preserve">. [online] </w:t>
      </w:r>
      <w:proofErr w:type="gramStart"/>
      <w:r w:rsidRPr="00A953B0">
        <w:rPr>
          <w:highlight w:val="black"/>
        </w:rPr>
        <w:t>mylocalschool.gov.wales</w:t>
      </w:r>
      <w:proofErr w:type="gramEnd"/>
      <w:r w:rsidRPr="00A953B0">
        <w:rPr>
          <w:highlight w:val="black"/>
        </w:rPr>
        <w:t xml:space="preserve">. Available at: https://mylocalschool.gov.wales/School/6722363?lang=en </w:t>
      </w:r>
      <w:r w:rsidRPr="00A953B0">
        <w:t>[Accessed 20 Feb. 2024].</w:t>
      </w:r>
    </w:p>
    <w:p w14:paraId="72637AA6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Welsh Government (2019). </w:t>
      </w:r>
      <w:r w:rsidRPr="00A953B0">
        <w:rPr>
          <w:i/>
          <w:iCs/>
        </w:rPr>
        <w:t xml:space="preserve">WIMD - </w:t>
      </w:r>
      <w:r w:rsidRPr="00A953B0">
        <w:rPr>
          <w:i/>
          <w:iCs/>
          <w:highlight w:val="black"/>
        </w:rPr>
        <w:t>Bettws (Bridgend)</w:t>
      </w:r>
      <w:r w:rsidRPr="00A953B0">
        <w:rPr>
          <w:highlight w:val="black"/>
        </w:rPr>
        <w:t xml:space="preserve">. </w:t>
      </w:r>
      <w:r w:rsidRPr="00A953B0">
        <w:t xml:space="preserve">[online] </w:t>
      </w:r>
      <w:proofErr w:type="gramStart"/>
      <w:r w:rsidRPr="00A953B0">
        <w:t>wimd.gov.wales</w:t>
      </w:r>
      <w:proofErr w:type="gramEnd"/>
      <w:r w:rsidRPr="00A953B0">
        <w:t>. Available at: https://wimd.gov.wales/lsoa/w01000975?lang=en [Accessed 20 Feb. 2024].</w:t>
      </w:r>
    </w:p>
    <w:p w14:paraId="6D65392C" w14:textId="77777777" w:rsidR="00A953B0" w:rsidRPr="00A953B0" w:rsidRDefault="00A953B0" w:rsidP="00A953B0">
      <w:pPr>
        <w:numPr>
          <w:ilvl w:val="0"/>
          <w:numId w:val="1"/>
        </w:numPr>
      </w:pPr>
      <w:r w:rsidRPr="00A953B0">
        <w:t>Welsh Government (2020). </w:t>
      </w:r>
      <w:r w:rsidRPr="00A953B0">
        <w:rPr>
          <w:i/>
          <w:iCs/>
        </w:rPr>
        <w:t>Developing a Vision for Curriculum Design - Hwb</w:t>
      </w:r>
      <w:r w:rsidRPr="00A953B0">
        <w:t xml:space="preserve">. [online] </w:t>
      </w:r>
      <w:proofErr w:type="gramStart"/>
      <w:r w:rsidRPr="00A953B0">
        <w:t>hwb.gov.wales</w:t>
      </w:r>
      <w:proofErr w:type="gramEnd"/>
      <w:r w:rsidRPr="00A953B0">
        <w:t>. Available at: https://hwb.gov.wales/curriculum-for-wales/designing-your-curriculum/developing-a-vision-for-curriculum-design/ [Accessed 24 Feb. 2024].</w:t>
      </w:r>
    </w:p>
    <w:p w14:paraId="3977FD06" w14:textId="77777777" w:rsidR="00000000" w:rsidRDefault="00000000"/>
    <w:sectPr w:rsidR="006D2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FF574F"/>
    <w:multiLevelType w:val="hybridMultilevel"/>
    <w:tmpl w:val="65C817DE"/>
    <w:lvl w:ilvl="0" w:tplc="211C9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80D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3C6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44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28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F0C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DAD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84C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D6C5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7919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B0"/>
    <w:rsid w:val="004674DD"/>
    <w:rsid w:val="00A953B0"/>
    <w:rsid w:val="00F4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950C0"/>
  <w15:chartTrackingRefBased/>
  <w15:docId w15:val="{1F172E7D-EB34-C640-8892-1BEDC904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53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3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2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7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3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6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71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5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83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8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2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1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1-08/Inspection%20report%20Ysgol%20Gynradd%20Gymraeg%20Calon%20y%20Cymoedd%202019.pdf" TargetMode="External"/><Relationship Id="rId5" Type="http://schemas.openxmlformats.org/officeDocument/2006/relationships/hyperlink" Target="https://www.estyn.gov.wales/system/files/2021-08/Inspection%20report%20Ysgol%20Gynradd%20Gymraeg%20Calon%20y%20Cymoedd%20201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Iles (1902292)</dc:creator>
  <cp:keywords/>
  <dc:description/>
  <cp:lastModifiedBy>Matthew Iles (1902292)</cp:lastModifiedBy>
  <cp:revision>1</cp:revision>
  <dcterms:created xsi:type="dcterms:W3CDTF">2024-03-08T10:20:00Z</dcterms:created>
  <dcterms:modified xsi:type="dcterms:W3CDTF">2024-03-08T10:21:00Z</dcterms:modified>
</cp:coreProperties>
</file>