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1687388"/>
        <w:docPartObj>
          <w:docPartGallery w:val="Cover Pages"/>
          <w:docPartUnique/>
        </w:docPartObj>
      </w:sdtPr>
      <w:sdtEndPr>
        <w:rPr>
          <w:rFonts w:eastAsiaTheme="minorEastAsia"/>
          <w:noProof/>
          <w:color w:val="4472C4" w:themeColor="accent1"/>
        </w:rPr>
      </w:sdtEndPr>
      <w:sdtContent>
        <w:p w14:paraId="0116628F" w14:textId="7A16F44D" w:rsidR="00FC7648" w:rsidRDefault="00FC7648">
          <w:r>
            <w:rPr>
              <w:noProof/>
            </w:rPr>
            <mc:AlternateContent>
              <mc:Choice Requires="wpg">
                <w:drawing>
                  <wp:anchor distT="0" distB="0" distL="114300" distR="114300" simplePos="0" relativeHeight="251662336" behindDoc="0" locked="0" layoutInCell="1" allowOverlap="1" wp14:anchorId="52CFB62E" wp14:editId="46E46F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3D24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4056849" w14:textId="1EC426FD" w:rsidR="00FC7648" w:rsidRPr="00FC7648" w:rsidRDefault="006C751A" w:rsidP="00FC7648">
          <w:pPr>
            <w:rPr>
              <w:rFonts w:eastAsiaTheme="minorEastAsia"/>
              <w:noProof/>
              <w:color w:val="4472C4" w:themeColor="accent1"/>
              <w:lang w:eastAsia="en-GB"/>
            </w:rPr>
          </w:pPr>
          <w:r>
            <w:rPr>
              <w:noProof/>
            </w:rPr>
            <mc:AlternateContent>
              <mc:Choice Requires="wps">
                <w:drawing>
                  <wp:anchor distT="0" distB="0" distL="114300" distR="114300" simplePos="0" relativeHeight="251659264" behindDoc="0" locked="0" layoutInCell="1" allowOverlap="1" wp14:anchorId="147FD247" wp14:editId="66188B4E">
                    <wp:simplePos x="0" y="0"/>
                    <wp:positionH relativeFrom="margin">
                      <wp:align>center</wp:align>
                    </wp:positionH>
                    <wp:positionV relativeFrom="page">
                      <wp:posOffset>2523490</wp:posOffset>
                    </wp:positionV>
                    <wp:extent cx="7315200" cy="2209165"/>
                    <wp:effectExtent l="0" t="0" r="0" b="63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09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E29BE" w14:textId="366ED620" w:rsidR="00FC7648" w:rsidRPr="006C751A" w:rsidRDefault="00FC7648" w:rsidP="00FC7648">
                                <w:pPr>
                                  <w:jc w:val="center"/>
                                  <w:rPr>
                                    <w:b/>
                                    <w:bCs/>
                                    <w:color w:val="4472C4" w:themeColor="accent1"/>
                                    <w:sz w:val="36"/>
                                    <w:szCs w:val="36"/>
                                  </w:rPr>
                                </w:pPr>
                                <w:sdt>
                                  <w:sdtPr>
                                    <w:rPr>
                                      <w:rFonts w:ascii="Calibri" w:eastAsia="Times New Roman" w:hAnsi="Calibri" w:cs="Calibri"/>
                                      <w:b/>
                                      <w:bCs/>
                                      <w:sz w:val="36"/>
                                      <w:szCs w:val="36"/>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C751A">
                                      <w:rPr>
                                        <w:rFonts w:ascii="Calibri" w:eastAsia="Times New Roman" w:hAnsi="Calibri" w:cs="Calibri"/>
                                        <w:b/>
                                        <w:bCs/>
                                        <w:sz w:val="36"/>
                                        <w:szCs w:val="36"/>
                                        <w:lang w:eastAsia="en-GB"/>
                                      </w:rPr>
                                      <w:t>Cybersecurity and Data Governance Policy for Smart Manufacturing Environments: A Risk-Mitigation Framework for Steel Form Manufacturing Ltd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1D45F80" w14:textId="79D6E748" w:rsidR="00FC7648" w:rsidRDefault="00FC764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47FD247" id="_x0000_t202" coordsize="21600,21600" o:spt="202" path="m,l,21600r21600,l21600,xe">
                    <v:stroke joinstyle="miter"/>
                    <v:path gradientshapeok="t" o:connecttype="rect"/>
                  </v:shapetype>
                  <v:shape id="Text Box 154" o:spid="_x0000_s1026" type="#_x0000_t202" style="position:absolute;margin-left:0;margin-top:198.7pt;width:8in;height:173.9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" filled="f" stroked="f" strokeweight=".5pt">
                    <v:textbox inset="126pt,0,54pt,0">
                      <w:txbxContent>
                        <w:p w14:paraId="7E3E29BE" w14:textId="366ED620" w:rsidR="00FC7648" w:rsidRPr="006C751A" w:rsidRDefault="00FC7648" w:rsidP="00FC7648">
                          <w:pPr>
                            <w:jc w:val="center"/>
                            <w:rPr>
                              <w:b/>
                              <w:bCs/>
                              <w:color w:val="4472C4" w:themeColor="accent1"/>
                              <w:sz w:val="36"/>
                              <w:szCs w:val="36"/>
                            </w:rPr>
                          </w:pPr>
                          <w:sdt>
                            <w:sdtPr>
                              <w:rPr>
                                <w:rFonts w:ascii="Calibri" w:eastAsia="Times New Roman" w:hAnsi="Calibri" w:cs="Calibri"/>
                                <w:b/>
                                <w:bCs/>
                                <w:sz w:val="36"/>
                                <w:szCs w:val="36"/>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C751A">
                                <w:rPr>
                                  <w:rFonts w:ascii="Calibri" w:eastAsia="Times New Roman" w:hAnsi="Calibri" w:cs="Calibri"/>
                                  <w:b/>
                                  <w:bCs/>
                                  <w:sz w:val="36"/>
                                  <w:szCs w:val="36"/>
                                  <w:lang w:eastAsia="en-GB"/>
                                </w:rPr>
                                <w:t>Cybersecurity and Data Governance Policy for Smart Manufacturing Environments: A Risk-Mitigation Framework for Steel Form Manufacturing Ltd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1D45F80" w14:textId="79D6E748" w:rsidR="00FC7648" w:rsidRDefault="00FC764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FC7648" w:rsidRPr="00FC7648">
            <w:rPr>
              <w:rFonts w:eastAsiaTheme="minorEastAsia"/>
              <w:noProof/>
              <w:color w:val="4472C4" w:themeColor="accent1"/>
            </w:rPr>
            <mc:AlternateContent>
              <mc:Choice Requires="wps">
                <w:drawing>
                  <wp:anchor distT="45720" distB="45720" distL="114300" distR="114300" simplePos="0" relativeHeight="251664384" behindDoc="0" locked="0" layoutInCell="1" allowOverlap="1" wp14:anchorId="14856B13" wp14:editId="6778DE43">
                    <wp:simplePos x="0" y="0"/>
                    <wp:positionH relativeFrom="column">
                      <wp:posOffset>57150</wp:posOffset>
                    </wp:positionH>
                    <wp:positionV relativeFrom="paragraph">
                      <wp:posOffset>4219575</wp:posOffset>
                    </wp:positionV>
                    <wp:extent cx="5934075" cy="2181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4075" cy="2181225"/>
                            </a:xfrm>
                            <a:prstGeom prst="rect">
                              <a:avLst/>
                            </a:prstGeom>
                            <a:solidFill>
                              <a:srgbClr val="FFFFFF"/>
                            </a:solidFill>
                            <a:ln w="9525">
                              <a:solidFill>
                                <a:srgbClr val="000000"/>
                              </a:solidFill>
                              <a:miter lim="800000"/>
                              <a:headEnd/>
                              <a:tailEnd/>
                            </a:ln>
                          </wps:spPr>
                          <wps:txbx>
                            <w:txbxContent>
                              <w:p w14:paraId="285BC1D6" w14:textId="113BB9E3" w:rsidR="00FC7648" w:rsidRPr="00FC7648" w:rsidRDefault="00FC7648" w:rsidP="00FC7648">
                                <w:pPr>
                                  <w:shd w:val="clear" w:color="auto" w:fill="FFFFFF"/>
                                  <w:spacing w:after="100" w:afterAutospacing="1" w:line="240" w:lineRule="auto"/>
                                  <w:jc w:val="center"/>
                                  <w:outlineLvl w:val="0"/>
                                  <w:rPr>
                                    <w:rFonts w:eastAsia="Times New Roman" w:cstheme="minorHAnsi"/>
                                    <w:b/>
                                    <w:bCs/>
                                    <w:color w:val="1D2125"/>
                                    <w:kern w:val="36"/>
                                    <w:sz w:val="28"/>
                                    <w:szCs w:val="28"/>
                                    <w:lang w:eastAsia="en-GB"/>
                                  </w:rPr>
                                </w:pPr>
                                <w:proofErr w:type="spellStart"/>
                                <w:r w:rsidRPr="00FC7648">
                                  <w:rPr>
                                    <w:rFonts w:eastAsia="Times New Roman" w:cstheme="minorHAnsi"/>
                                    <w:b/>
                                    <w:bCs/>
                                    <w:color w:val="1D2125"/>
                                    <w:kern w:val="36"/>
                                    <w:sz w:val="28"/>
                                    <w:szCs w:val="28"/>
                                    <w:lang w:eastAsia="en-GB"/>
                                  </w:rPr>
                                  <w:t>Shahana</w:t>
                                </w:r>
                                <w:proofErr w:type="spellEnd"/>
                                <w:r w:rsidRPr="00FC7648">
                                  <w:rPr>
                                    <w:rFonts w:eastAsia="Times New Roman" w:cstheme="minorHAnsi"/>
                                    <w:b/>
                                    <w:bCs/>
                                    <w:color w:val="1D2125"/>
                                    <w:kern w:val="36"/>
                                    <w:sz w:val="28"/>
                                    <w:szCs w:val="28"/>
                                    <w:lang w:eastAsia="en-GB"/>
                                  </w:rPr>
                                  <w:t xml:space="preserve"> </w:t>
                                </w:r>
                                <w:proofErr w:type="spellStart"/>
                                <w:r w:rsidRPr="00FC7648">
                                  <w:rPr>
                                    <w:rFonts w:eastAsia="Times New Roman" w:cstheme="minorHAnsi"/>
                                    <w:b/>
                                    <w:bCs/>
                                    <w:color w:val="1D2125"/>
                                    <w:kern w:val="36"/>
                                    <w:sz w:val="28"/>
                                    <w:szCs w:val="28"/>
                                    <w:lang w:eastAsia="en-GB"/>
                                  </w:rPr>
                                  <w:t>Nimmi</w:t>
                                </w:r>
                                <w:proofErr w:type="spellEnd"/>
                                <w:r w:rsidRPr="00FC7648">
                                  <w:rPr>
                                    <w:rFonts w:eastAsia="Times New Roman" w:cstheme="minorHAnsi"/>
                                    <w:b/>
                                    <w:bCs/>
                                    <w:color w:val="1D2125"/>
                                    <w:kern w:val="36"/>
                                    <w:sz w:val="28"/>
                                    <w:szCs w:val="28"/>
                                    <w:lang w:eastAsia="en-GB"/>
                                  </w:rPr>
                                  <w:t xml:space="preserve"> Parvin</w:t>
                                </w:r>
                              </w:p>
                              <w:p w14:paraId="3B56F170" w14:textId="4F97752A" w:rsidR="00FC7648" w:rsidRPr="00FC7648" w:rsidRDefault="00FC7648" w:rsidP="00FC7648">
                                <w:pPr>
                                  <w:shd w:val="clear" w:color="auto" w:fill="FFFFFF"/>
                                  <w:spacing w:after="100" w:afterAutospacing="1" w:line="240" w:lineRule="auto"/>
                                  <w:jc w:val="center"/>
                                  <w:outlineLvl w:val="0"/>
                                  <w:rPr>
                                    <w:rFonts w:eastAsia="Times New Roman" w:cstheme="minorHAnsi"/>
                                    <w:b/>
                                    <w:bCs/>
                                    <w:color w:val="1D2125"/>
                                    <w:kern w:val="36"/>
                                    <w:sz w:val="28"/>
                                    <w:szCs w:val="28"/>
                                    <w:lang w:eastAsia="en-GB"/>
                                  </w:rPr>
                                </w:pPr>
                                <w:r w:rsidRPr="00FC7648">
                                  <w:rPr>
                                    <w:rFonts w:eastAsia="Times New Roman" w:cstheme="minorHAnsi"/>
                                    <w:b/>
                                    <w:bCs/>
                                    <w:color w:val="1D2125"/>
                                    <w:kern w:val="36"/>
                                    <w:sz w:val="28"/>
                                    <w:szCs w:val="28"/>
                                    <w:lang w:eastAsia="en-GB"/>
                                  </w:rPr>
                                  <w:t>Student ID: 2509124</w:t>
                                </w:r>
                              </w:p>
                              <w:p w14:paraId="00769BB0" w14:textId="46B32908" w:rsidR="00FC7648" w:rsidRPr="00FC7648" w:rsidRDefault="00FC7648" w:rsidP="00FC7648">
                                <w:pPr>
                                  <w:shd w:val="clear" w:color="auto" w:fill="FFFFFF"/>
                                  <w:spacing w:after="100" w:afterAutospacing="1" w:line="240" w:lineRule="auto"/>
                                  <w:jc w:val="center"/>
                                  <w:outlineLvl w:val="0"/>
                                  <w:rPr>
                                    <w:rFonts w:cstheme="minorHAnsi"/>
                                    <w:b/>
                                    <w:bCs/>
                                    <w:sz w:val="28"/>
                                    <w:szCs w:val="28"/>
                                  </w:rPr>
                                </w:pPr>
                                <w:r w:rsidRPr="00FC7648">
                                  <w:rPr>
                                    <w:rFonts w:eastAsia="Times New Roman" w:cstheme="minorHAnsi"/>
                                    <w:b/>
                                    <w:bCs/>
                                    <w:color w:val="1D2125"/>
                                    <w:kern w:val="36"/>
                                    <w:sz w:val="28"/>
                                    <w:szCs w:val="28"/>
                                    <w:lang w:eastAsia="en-GB"/>
                                  </w:rPr>
                                  <w:t xml:space="preserve">Module: </w:t>
                                </w:r>
                                <w:r w:rsidRPr="00FC7648">
                                  <w:rPr>
                                    <w:rFonts w:cstheme="minorHAnsi"/>
                                    <w:b/>
                                    <w:bCs/>
                                    <w:sz w:val="28"/>
                                    <w:szCs w:val="28"/>
                                  </w:rPr>
                                  <w:t>Networks and Cyber Security Essentials</w:t>
                                </w:r>
                              </w:p>
                              <w:p w14:paraId="623A01C7" w14:textId="479938CA" w:rsidR="00FC7648" w:rsidRPr="00FC7648" w:rsidRDefault="00FC7648" w:rsidP="00FC7648">
                                <w:pPr>
                                  <w:shd w:val="clear" w:color="auto" w:fill="FFFFFF"/>
                                  <w:spacing w:after="100" w:afterAutospacing="1" w:line="240" w:lineRule="auto"/>
                                  <w:jc w:val="center"/>
                                  <w:outlineLvl w:val="0"/>
                                  <w:rPr>
                                    <w:b/>
                                    <w:bCs/>
                                    <w:sz w:val="28"/>
                                    <w:szCs w:val="28"/>
                                  </w:rPr>
                                </w:pPr>
                                <w:r w:rsidRPr="00FC7648">
                                  <w:rPr>
                                    <w:b/>
                                    <w:bCs/>
                                    <w:sz w:val="28"/>
                                    <w:szCs w:val="28"/>
                                  </w:rPr>
                                  <w:t xml:space="preserve">Lecturer: </w:t>
                                </w:r>
                                <w:r w:rsidRPr="00FC7648">
                                  <w:rPr>
                                    <w:b/>
                                    <w:bCs/>
                                    <w:sz w:val="28"/>
                                    <w:szCs w:val="28"/>
                                  </w:rPr>
                                  <w:t>Amit Naik</w:t>
                                </w:r>
                              </w:p>
                              <w:p w14:paraId="5C246FA7" w14:textId="0F226EBA" w:rsidR="00FC7648" w:rsidRPr="00FC7648" w:rsidRDefault="00FC7648" w:rsidP="00FC7648">
                                <w:pPr>
                                  <w:shd w:val="clear" w:color="auto" w:fill="FFFFFF"/>
                                  <w:spacing w:after="100" w:afterAutospacing="1" w:line="240" w:lineRule="auto"/>
                                  <w:jc w:val="center"/>
                                  <w:outlineLvl w:val="0"/>
                                  <w:rPr>
                                    <w:rFonts w:eastAsia="Times New Roman" w:cstheme="minorHAnsi"/>
                                    <w:b/>
                                    <w:bCs/>
                                    <w:color w:val="1D2125"/>
                                    <w:kern w:val="36"/>
                                    <w:sz w:val="28"/>
                                    <w:szCs w:val="28"/>
                                    <w:lang w:eastAsia="en-GB"/>
                                  </w:rPr>
                                </w:pPr>
                                <w:r w:rsidRPr="00FC7648">
                                  <w:rPr>
                                    <w:b/>
                                    <w:bCs/>
                                    <w:sz w:val="28"/>
                                    <w:szCs w:val="28"/>
                                  </w:rPr>
                                  <w:t xml:space="preserve">Programme: </w:t>
                                </w:r>
                                <w:proofErr w:type="spellStart"/>
                                <w:r w:rsidRPr="00FC7648">
                                  <w:rPr>
                                    <w:b/>
                                    <w:bCs/>
                                    <w:sz w:val="28"/>
                                    <w:szCs w:val="28"/>
                                  </w:rPr>
                                  <w:t>CertHE</w:t>
                                </w:r>
                                <w:proofErr w:type="spellEnd"/>
                                <w:r w:rsidRPr="00FC7648">
                                  <w:rPr>
                                    <w:b/>
                                    <w:bCs/>
                                    <w:sz w:val="28"/>
                                    <w:szCs w:val="28"/>
                                  </w:rPr>
                                  <w:t xml:space="preserve"> Computing Skills for Workplace</w:t>
                                </w:r>
                              </w:p>
                              <w:p w14:paraId="332C8463" w14:textId="4EEAFF94" w:rsidR="00FC7648" w:rsidRDefault="00FC76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856B13" id="Text Box 2" o:spid="_x0000_s1027" type="#_x0000_t202" style="position:absolute;margin-left:4.5pt;margin-top:332.25pt;width:467.25pt;height:17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">
                    <v:textbox>
                      <w:txbxContent>
                        <w:p w14:paraId="285BC1D6" w14:textId="113BB9E3" w:rsidR="00FC7648" w:rsidRPr="00FC7648" w:rsidRDefault="00FC7648" w:rsidP="00FC7648">
                          <w:pPr>
                            <w:shd w:val="clear" w:color="auto" w:fill="FFFFFF"/>
                            <w:spacing w:after="100" w:afterAutospacing="1" w:line="240" w:lineRule="auto"/>
                            <w:jc w:val="center"/>
                            <w:outlineLvl w:val="0"/>
                            <w:rPr>
                              <w:rFonts w:eastAsia="Times New Roman" w:cstheme="minorHAnsi"/>
                              <w:b/>
                              <w:bCs/>
                              <w:color w:val="1D2125"/>
                              <w:kern w:val="36"/>
                              <w:sz w:val="28"/>
                              <w:szCs w:val="28"/>
                              <w:lang w:eastAsia="en-GB"/>
                            </w:rPr>
                          </w:pPr>
                          <w:proofErr w:type="spellStart"/>
                          <w:r w:rsidRPr="00FC7648">
                            <w:rPr>
                              <w:rFonts w:eastAsia="Times New Roman" w:cstheme="minorHAnsi"/>
                              <w:b/>
                              <w:bCs/>
                              <w:color w:val="1D2125"/>
                              <w:kern w:val="36"/>
                              <w:sz w:val="28"/>
                              <w:szCs w:val="28"/>
                              <w:lang w:eastAsia="en-GB"/>
                            </w:rPr>
                            <w:t>Shahana</w:t>
                          </w:r>
                          <w:proofErr w:type="spellEnd"/>
                          <w:r w:rsidRPr="00FC7648">
                            <w:rPr>
                              <w:rFonts w:eastAsia="Times New Roman" w:cstheme="minorHAnsi"/>
                              <w:b/>
                              <w:bCs/>
                              <w:color w:val="1D2125"/>
                              <w:kern w:val="36"/>
                              <w:sz w:val="28"/>
                              <w:szCs w:val="28"/>
                              <w:lang w:eastAsia="en-GB"/>
                            </w:rPr>
                            <w:t xml:space="preserve"> </w:t>
                          </w:r>
                          <w:proofErr w:type="spellStart"/>
                          <w:r w:rsidRPr="00FC7648">
                            <w:rPr>
                              <w:rFonts w:eastAsia="Times New Roman" w:cstheme="minorHAnsi"/>
                              <w:b/>
                              <w:bCs/>
                              <w:color w:val="1D2125"/>
                              <w:kern w:val="36"/>
                              <w:sz w:val="28"/>
                              <w:szCs w:val="28"/>
                              <w:lang w:eastAsia="en-GB"/>
                            </w:rPr>
                            <w:t>Nimmi</w:t>
                          </w:r>
                          <w:proofErr w:type="spellEnd"/>
                          <w:r w:rsidRPr="00FC7648">
                            <w:rPr>
                              <w:rFonts w:eastAsia="Times New Roman" w:cstheme="minorHAnsi"/>
                              <w:b/>
                              <w:bCs/>
                              <w:color w:val="1D2125"/>
                              <w:kern w:val="36"/>
                              <w:sz w:val="28"/>
                              <w:szCs w:val="28"/>
                              <w:lang w:eastAsia="en-GB"/>
                            </w:rPr>
                            <w:t xml:space="preserve"> Parvin</w:t>
                          </w:r>
                        </w:p>
                        <w:p w14:paraId="3B56F170" w14:textId="4F97752A" w:rsidR="00FC7648" w:rsidRPr="00FC7648" w:rsidRDefault="00FC7648" w:rsidP="00FC7648">
                          <w:pPr>
                            <w:shd w:val="clear" w:color="auto" w:fill="FFFFFF"/>
                            <w:spacing w:after="100" w:afterAutospacing="1" w:line="240" w:lineRule="auto"/>
                            <w:jc w:val="center"/>
                            <w:outlineLvl w:val="0"/>
                            <w:rPr>
                              <w:rFonts w:eastAsia="Times New Roman" w:cstheme="minorHAnsi"/>
                              <w:b/>
                              <w:bCs/>
                              <w:color w:val="1D2125"/>
                              <w:kern w:val="36"/>
                              <w:sz w:val="28"/>
                              <w:szCs w:val="28"/>
                              <w:lang w:eastAsia="en-GB"/>
                            </w:rPr>
                          </w:pPr>
                          <w:r w:rsidRPr="00FC7648">
                            <w:rPr>
                              <w:rFonts w:eastAsia="Times New Roman" w:cstheme="minorHAnsi"/>
                              <w:b/>
                              <w:bCs/>
                              <w:color w:val="1D2125"/>
                              <w:kern w:val="36"/>
                              <w:sz w:val="28"/>
                              <w:szCs w:val="28"/>
                              <w:lang w:eastAsia="en-GB"/>
                            </w:rPr>
                            <w:t>Student ID: 2509124</w:t>
                          </w:r>
                        </w:p>
                        <w:p w14:paraId="00769BB0" w14:textId="46B32908" w:rsidR="00FC7648" w:rsidRPr="00FC7648" w:rsidRDefault="00FC7648" w:rsidP="00FC7648">
                          <w:pPr>
                            <w:shd w:val="clear" w:color="auto" w:fill="FFFFFF"/>
                            <w:spacing w:after="100" w:afterAutospacing="1" w:line="240" w:lineRule="auto"/>
                            <w:jc w:val="center"/>
                            <w:outlineLvl w:val="0"/>
                            <w:rPr>
                              <w:rFonts w:cstheme="minorHAnsi"/>
                              <w:b/>
                              <w:bCs/>
                              <w:sz w:val="28"/>
                              <w:szCs w:val="28"/>
                            </w:rPr>
                          </w:pPr>
                          <w:r w:rsidRPr="00FC7648">
                            <w:rPr>
                              <w:rFonts w:eastAsia="Times New Roman" w:cstheme="minorHAnsi"/>
                              <w:b/>
                              <w:bCs/>
                              <w:color w:val="1D2125"/>
                              <w:kern w:val="36"/>
                              <w:sz w:val="28"/>
                              <w:szCs w:val="28"/>
                              <w:lang w:eastAsia="en-GB"/>
                            </w:rPr>
                            <w:t xml:space="preserve">Module: </w:t>
                          </w:r>
                          <w:r w:rsidRPr="00FC7648">
                            <w:rPr>
                              <w:rFonts w:cstheme="minorHAnsi"/>
                              <w:b/>
                              <w:bCs/>
                              <w:sz w:val="28"/>
                              <w:szCs w:val="28"/>
                            </w:rPr>
                            <w:t>Networks and Cyber Security Essentials</w:t>
                          </w:r>
                        </w:p>
                        <w:p w14:paraId="623A01C7" w14:textId="479938CA" w:rsidR="00FC7648" w:rsidRPr="00FC7648" w:rsidRDefault="00FC7648" w:rsidP="00FC7648">
                          <w:pPr>
                            <w:shd w:val="clear" w:color="auto" w:fill="FFFFFF"/>
                            <w:spacing w:after="100" w:afterAutospacing="1" w:line="240" w:lineRule="auto"/>
                            <w:jc w:val="center"/>
                            <w:outlineLvl w:val="0"/>
                            <w:rPr>
                              <w:b/>
                              <w:bCs/>
                              <w:sz w:val="28"/>
                              <w:szCs w:val="28"/>
                            </w:rPr>
                          </w:pPr>
                          <w:r w:rsidRPr="00FC7648">
                            <w:rPr>
                              <w:b/>
                              <w:bCs/>
                              <w:sz w:val="28"/>
                              <w:szCs w:val="28"/>
                            </w:rPr>
                            <w:t xml:space="preserve">Lecturer: </w:t>
                          </w:r>
                          <w:r w:rsidRPr="00FC7648">
                            <w:rPr>
                              <w:b/>
                              <w:bCs/>
                              <w:sz w:val="28"/>
                              <w:szCs w:val="28"/>
                            </w:rPr>
                            <w:t>Amit Naik</w:t>
                          </w:r>
                        </w:p>
                        <w:p w14:paraId="5C246FA7" w14:textId="0F226EBA" w:rsidR="00FC7648" w:rsidRPr="00FC7648" w:rsidRDefault="00FC7648" w:rsidP="00FC7648">
                          <w:pPr>
                            <w:shd w:val="clear" w:color="auto" w:fill="FFFFFF"/>
                            <w:spacing w:after="100" w:afterAutospacing="1" w:line="240" w:lineRule="auto"/>
                            <w:jc w:val="center"/>
                            <w:outlineLvl w:val="0"/>
                            <w:rPr>
                              <w:rFonts w:eastAsia="Times New Roman" w:cstheme="minorHAnsi"/>
                              <w:b/>
                              <w:bCs/>
                              <w:color w:val="1D2125"/>
                              <w:kern w:val="36"/>
                              <w:sz w:val="28"/>
                              <w:szCs w:val="28"/>
                              <w:lang w:eastAsia="en-GB"/>
                            </w:rPr>
                          </w:pPr>
                          <w:r w:rsidRPr="00FC7648">
                            <w:rPr>
                              <w:b/>
                              <w:bCs/>
                              <w:sz w:val="28"/>
                              <w:szCs w:val="28"/>
                            </w:rPr>
                            <w:t xml:space="preserve">Programme: </w:t>
                          </w:r>
                          <w:proofErr w:type="spellStart"/>
                          <w:r w:rsidRPr="00FC7648">
                            <w:rPr>
                              <w:b/>
                              <w:bCs/>
                              <w:sz w:val="28"/>
                              <w:szCs w:val="28"/>
                            </w:rPr>
                            <w:t>CertHE</w:t>
                          </w:r>
                          <w:proofErr w:type="spellEnd"/>
                          <w:r w:rsidRPr="00FC7648">
                            <w:rPr>
                              <w:b/>
                              <w:bCs/>
                              <w:sz w:val="28"/>
                              <w:szCs w:val="28"/>
                            </w:rPr>
                            <w:t xml:space="preserve"> Computing Skills for Workplace</w:t>
                          </w:r>
                        </w:p>
                        <w:p w14:paraId="332C8463" w14:textId="4EEAFF94" w:rsidR="00FC7648" w:rsidRDefault="00FC7648"/>
                      </w:txbxContent>
                    </v:textbox>
                    <w10:wrap type="square"/>
                  </v:shape>
                </w:pict>
              </mc:Fallback>
            </mc:AlternateContent>
          </w:r>
          <w:r w:rsidR="00FC7648">
            <w:rPr>
              <w:rFonts w:eastAsiaTheme="minorEastAsia"/>
              <w:noProof/>
              <w:color w:val="4472C4" w:themeColor="accent1"/>
            </w:rPr>
            <w:br w:type="page"/>
          </w:r>
        </w:p>
      </w:sdtContent>
    </w:sdt>
    <w:p w14:paraId="1DDBC06E" w14:textId="475125BD" w:rsidR="00FE6DA9"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lastRenderedPageBreak/>
        <w:t>Abstract</w:t>
      </w:r>
    </w:p>
    <w:p w14:paraId="76993E4D" w14:textId="15522A08"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The integration of Industry 4.0 paradigms</w:t>
      </w:r>
      <w:r w:rsidR="006C751A">
        <w:rPr>
          <w:rFonts w:asciiTheme="minorHAnsi" w:hAnsiTheme="minorHAnsi" w:cstheme="minorHAnsi"/>
        </w:rPr>
        <w:t xml:space="preserve"> </w:t>
      </w:r>
      <w:r w:rsidRPr="00367222">
        <w:rPr>
          <w:rFonts w:asciiTheme="minorHAnsi" w:hAnsiTheme="minorHAnsi" w:cstheme="minorHAnsi"/>
        </w:rPr>
        <w:t xml:space="preserve">specifically Internet of Things (IoT) sensors, automated machinery, and cloud-based Production Management Systems (PMS)—introduces critical attack surfaces into Operational Technology (OT) and Information Technology (IT) convergence layers. </w:t>
      </w:r>
      <w:r w:rsidR="006A0EBE" w:rsidRPr="00367222">
        <w:rPr>
          <w:rFonts w:asciiTheme="minorHAnsi" w:hAnsiTheme="minorHAnsi" w:cstheme="minorHAnsi"/>
        </w:rPr>
        <w:t>Steel Form</w:t>
      </w:r>
      <w:r w:rsidRPr="00367222">
        <w:rPr>
          <w:rFonts w:asciiTheme="minorHAnsi" w:hAnsiTheme="minorHAnsi" w:cstheme="minorHAnsi"/>
        </w:rPr>
        <w:t xml:space="preserve"> Manufacturing Ltd (SFM), a precision components supplier for automotive and aerospace sectors, faces heightened threats of industrial espionage, ransomware, and supply chain compromise. This report presents a holistic cybersecurity and data governance framework grounded in the NIST Cybersecurity Framework (CSF v2.0), ISO/IEC 27001:2022, and the Purdue Model for Industrial Control Systems (ICS). It details internal and external threat profiles, formulates administrative and technical access policies, establishes zero-trust network micro-segmentation, defines an Incident Response Lifecycle (NIST SP 800-61 Rev. 2), and details a role-based human risk management programme.</w:t>
      </w:r>
    </w:p>
    <w:p w14:paraId="6FF816FE" w14:textId="77777777" w:rsidR="00367222"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t>Introduction</w:t>
      </w:r>
    </w:p>
    <w:p w14:paraId="1B96F467" w14:textId="7A46DB19" w:rsidR="00367222" w:rsidRPr="00367222" w:rsidRDefault="006A0EBE" w:rsidP="00367222">
      <w:pPr>
        <w:pStyle w:val="NormalWeb"/>
        <w:rPr>
          <w:rFonts w:asciiTheme="minorHAnsi" w:hAnsiTheme="minorHAnsi" w:cstheme="minorHAnsi"/>
        </w:rPr>
      </w:pPr>
      <w:r w:rsidRPr="00367222">
        <w:rPr>
          <w:rFonts w:asciiTheme="minorHAnsi" w:hAnsiTheme="minorHAnsi" w:cstheme="minorHAnsi"/>
        </w:rPr>
        <w:t>Steel Form</w:t>
      </w:r>
      <w:r w:rsidR="00367222" w:rsidRPr="00367222">
        <w:rPr>
          <w:rFonts w:asciiTheme="minorHAnsi" w:hAnsiTheme="minorHAnsi" w:cstheme="minorHAnsi"/>
        </w:rPr>
        <w:t xml:space="preserve"> Manufacturing Ltd (SFM) operates as a mid-sized enterprise specialising in high-precision, custom-engineered metal components for aerospace and automotive prime contractors. To maintain market competitiveness, SFM recently deployed smart manufacturing technologies under Industry 4.0 initiatives [1]. These deployments include:</w:t>
      </w:r>
    </w:p>
    <w:p w14:paraId="092ADD13" w14:textId="77777777" w:rsidR="00367222" w:rsidRPr="00367222" w:rsidRDefault="00367222" w:rsidP="00367222">
      <w:pPr>
        <w:pStyle w:val="NormalWeb"/>
        <w:numPr>
          <w:ilvl w:val="0"/>
          <w:numId w:val="19"/>
        </w:numPr>
        <w:rPr>
          <w:rFonts w:asciiTheme="minorHAnsi" w:hAnsiTheme="minorHAnsi" w:cstheme="minorHAnsi"/>
        </w:rPr>
      </w:pPr>
      <w:r w:rsidRPr="00367222">
        <w:rPr>
          <w:rFonts w:asciiTheme="minorHAnsi" w:hAnsiTheme="minorHAnsi" w:cstheme="minorHAnsi"/>
        </w:rPr>
        <w:t>IoT-enabled sensors: Deployed across Computer Numerical Control (CNC) milling machines, heat-treatment ovens, and robotic arms for real-time telemetry and predictive maintenance.</w:t>
      </w:r>
    </w:p>
    <w:p w14:paraId="4C6FEA95" w14:textId="77777777" w:rsidR="00367222" w:rsidRPr="00367222" w:rsidRDefault="00367222" w:rsidP="00367222">
      <w:pPr>
        <w:pStyle w:val="NormalWeb"/>
        <w:numPr>
          <w:ilvl w:val="0"/>
          <w:numId w:val="19"/>
        </w:numPr>
        <w:rPr>
          <w:rFonts w:asciiTheme="minorHAnsi" w:hAnsiTheme="minorHAnsi" w:cstheme="minorHAnsi"/>
        </w:rPr>
      </w:pPr>
      <w:r w:rsidRPr="00367222">
        <w:rPr>
          <w:rFonts w:asciiTheme="minorHAnsi" w:hAnsiTheme="minorHAnsi" w:cstheme="minorHAnsi"/>
        </w:rPr>
        <w:t>Cloud-based Production Management System (PMS): Centralised resource planning, inventory logistics, and Computer-Aided Design (CAD) file repositories accessible via cloud APIs.</w:t>
      </w:r>
    </w:p>
    <w:p w14:paraId="7C87374F" w14:textId="77777777" w:rsidR="00367222" w:rsidRPr="00367222" w:rsidRDefault="00367222" w:rsidP="00367222">
      <w:pPr>
        <w:pStyle w:val="NormalWeb"/>
        <w:numPr>
          <w:ilvl w:val="0"/>
          <w:numId w:val="19"/>
        </w:numPr>
        <w:rPr>
          <w:rFonts w:asciiTheme="minorHAnsi" w:hAnsiTheme="minorHAnsi" w:cstheme="minorHAnsi"/>
        </w:rPr>
      </w:pPr>
      <w:r w:rsidRPr="00367222">
        <w:rPr>
          <w:rFonts w:asciiTheme="minorHAnsi" w:hAnsiTheme="minorHAnsi" w:cstheme="minorHAnsi"/>
        </w:rPr>
        <w:t>Automated Machinery: High-speed assembly robotics communicating over IP-based Industrial Ethernet and legacy fieldbus protocols.</w:t>
      </w:r>
    </w:p>
    <w:p w14:paraId="6A61C217" w14:textId="7F6320E8"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While these technologies optimise throughput, they eliminate the traditional "air-gap" that historically isolated Operational Technology (OT) networks from the Internet and corporate Information Technology (IT) environments [2]. Over recent months, SFM encountered serious security incidents: malware infections propagating through administrative workstations, credential-harvesting phishing campaigns targeting procurement personnel, and unauthorised port-scanning originating from internal networks toward production lines.</w:t>
      </w:r>
    </w:p>
    <w:p w14:paraId="435FD7E1"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In aerospace and automotive manufacturing, cyber threats impact the classical Confidentiality, Integrity, and Availability (CIA) Triad in distinct ways:</w:t>
      </w:r>
    </w:p>
    <w:p w14:paraId="4EE99F50" w14:textId="77777777" w:rsidR="00367222" w:rsidRPr="00367222" w:rsidRDefault="00367222" w:rsidP="00367222">
      <w:pPr>
        <w:pStyle w:val="NormalWeb"/>
        <w:numPr>
          <w:ilvl w:val="0"/>
          <w:numId w:val="20"/>
        </w:numPr>
        <w:rPr>
          <w:rFonts w:asciiTheme="minorHAnsi" w:hAnsiTheme="minorHAnsi" w:cstheme="minorHAnsi"/>
        </w:rPr>
      </w:pPr>
      <w:r w:rsidRPr="00367222">
        <w:rPr>
          <w:rFonts w:asciiTheme="minorHAnsi" w:hAnsiTheme="minorHAnsi" w:cstheme="minorHAnsi"/>
        </w:rPr>
        <w:t>Confidentiality: Breach of proprietary Computer-Aided Design (CAD) files, custom metal-alloy formulations, or aerospace assembly tooling specs via industrial espionage destroys competitive edge and violates non-disclosure agreements (NDAs) [3].</w:t>
      </w:r>
    </w:p>
    <w:p w14:paraId="7391B253" w14:textId="77777777" w:rsidR="00367222" w:rsidRPr="00367222" w:rsidRDefault="00367222" w:rsidP="00367222">
      <w:pPr>
        <w:pStyle w:val="NormalWeb"/>
        <w:numPr>
          <w:ilvl w:val="0"/>
          <w:numId w:val="20"/>
        </w:numPr>
        <w:rPr>
          <w:rFonts w:asciiTheme="minorHAnsi" w:hAnsiTheme="minorHAnsi" w:cstheme="minorHAnsi"/>
        </w:rPr>
      </w:pPr>
      <w:r w:rsidRPr="00367222">
        <w:rPr>
          <w:rFonts w:asciiTheme="minorHAnsi" w:hAnsiTheme="minorHAnsi" w:cstheme="minorHAnsi"/>
        </w:rPr>
        <w:lastRenderedPageBreak/>
        <w:t>Integrity: Silent alteration of G-code instructions sending positioning data to multi-axis CNC machines leads to micro-defects in aerospace parts, risking cataclysmic structural failures in end-use aircraft [4].</w:t>
      </w:r>
    </w:p>
    <w:p w14:paraId="37731A6E" w14:textId="77777777" w:rsidR="00367222" w:rsidRPr="00367222" w:rsidRDefault="00367222" w:rsidP="00367222">
      <w:pPr>
        <w:pStyle w:val="NormalWeb"/>
        <w:numPr>
          <w:ilvl w:val="0"/>
          <w:numId w:val="20"/>
        </w:numPr>
        <w:rPr>
          <w:rFonts w:asciiTheme="minorHAnsi" w:hAnsiTheme="minorHAnsi" w:cstheme="minorHAnsi"/>
        </w:rPr>
      </w:pPr>
      <w:r w:rsidRPr="00367222">
        <w:rPr>
          <w:rFonts w:asciiTheme="minorHAnsi" w:hAnsiTheme="minorHAnsi" w:cstheme="minorHAnsi"/>
        </w:rPr>
        <w:t>Availability: Ransomware encrypting cloud PMS endpoints or OT human-machine interfaces (HMIs) halts assembly lines, incurring downtime costs exceeding £100,000 per hour alongside contractual SLA penalties [5].</w:t>
      </w:r>
    </w:p>
    <w:p w14:paraId="55C9C69A" w14:textId="77777777" w:rsidR="00367222"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t>Threat Identification and Risk Taxonomy</w:t>
      </w:r>
    </w:p>
    <w:p w14:paraId="38D4D737"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A rigorous threat identification methodology requires evaluating both external threat actors and internal vulnerabilities arising from IT-OT convergence [6].</w:t>
      </w:r>
    </w:p>
    <w:p w14:paraId="58512794" w14:textId="77777777" w:rsidR="00367222"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t>Threat Profile Matrix</w:t>
      </w:r>
    </w:p>
    <w:p w14:paraId="3C68475C" w14:textId="6DC65A93"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Industrial Espionage Actor / Source: Advanced Persistent Threats (APTs) / State-sponsored Targeted Asset: Cloud PMS, CAD Blueprints, R&amp;D Servers Vulnerability Exploited: Unencrypted API endpoints, weak MFA, permissive permissions Impact on CIA Triad: Confidentiality (High) - Loss of intellectual property and competitive advantage.</w:t>
      </w:r>
    </w:p>
    <w:p w14:paraId="07867229" w14:textId="6D8D9A0F"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Ransomware Attacks Actor / Source: Organised Cybercrime Groups Targeted Asset: OT Controllers (Purdue Level 2/3), Enterprise IT Vulnerability Exploited: Unpatched OT gateways, weak email filtering, flat network Impact on CIA Triad: Availability (Critical) - Plant-wide production shutdown and hardware lockout.</w:t>
      </w:r>
    </w:p>
    <w:p w14:paraId="4BD64B49" w14:textId="6C5C1793"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Supply Chain Poisoning Actor / Source: Compromised Third-Party Vendors Targeted Asset: Remote Access Gateways, Cloud ERP Vulnerability Exploited: Over-privileged vendor VPN accounts, lack of session recording Impact on CIA Triad: Integrity / Confidentiality (High) - Malicious software updates pushed to PLCs.</w:t>
      </w:r>
    </w:p>
    <w:p w14:paraId="771318CA" w14:textId="2401526C"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Spear Phishing and BEC Actor / Source: Cybercriminals / Fraudsters Targeted Asset: Procurement and Finance Staff Vulnerability Exploited: Lack of DMARC/DKIM email controls, lack of user awareness Impact on CIA Triad: Integrity (High) - Financial theft, unauthorised wire transfers, credential exposure.</w:t>
      </w:r>
    </w:p>
    <w:p w14:paraId="32AB0574" w14:textId="61C3C1FD"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Malicious Insider Actor / Source: Disgruntled Employees / Paid Agents Targeted Asset: Local CAD Workstations, OT Historian Vulnerability Exploited: Excessive access rights (lack of Least Privilege), unmonitored USBs Impact on CIA Triad: Confidentiality / Integrity (High) - Sabotage of machine logic, IP exfiltration.</w:t>
      </w:r>
    </w:p>
    <w:p w14:paraId="65FD0795" w14:textId="2DF5EF10"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Negligent Insider Actor / Source: Plant Floor Operators / Staff Targeted Asset: Industrial PCs, Field Sensors Vulnerability Exploited: Weak physical port security, connecting rogue personal devices Impact on CIA Triad: Availability (Medium) - Accidental malware propagation across local subnets.</w:t>
      </w:r>
    </w:p>
    <w:p w14:paraId="3718D42B"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Threat Vector Analysis External Threat Vectors: APT actors exploit supply-chain links to infiltrate manufacturing environments. By targeting third-party vendors who hold persistent maintenance access to SFM’s cloud PMS or OT gateways, attackers bypass traditional perimeter firewalls [7]. Simultaneously, ransomware operators leverage automated exploit </w:t>
      </w:r>
      <w:r w:rsidRPr="00367222">
        <w:rPr>
          <w:rFonts w:asciiTheme="minorHAnsi" w:hAnsiTheme="minorHAnsi" w:cstheme="minorHAnsi"/>
        </w:rPr>
        <w:lastRenderedPageBreak/>
        <w:t>kits targeting unpatched vulnerabilities in internet-facing web applications to establish footholds.</w:t>
      </w:r>
    </w:p>
    <w:p w14:paraId="4E9044D2"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Internal Threat Vectors: Internal threats are exacerbated by weak logical access separation. A plant floor operator inserting an infected USB drive into a Level 2 HMI workstation allows self-propagating worms (e.g., Stuxnet-like malware variants) to scan for vulnerable Programmable Logic Controllers (PLCs) across flat, unsegmented subnets [8].</w:t>
      </w:r>
    </w:p>
    <w:p w14:paraId="0FAD05E8" w14:textId="77777777" w:rsidR="00367222"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t>Cybersecurity and Data Governance Policies</w:t>
      </w:r>
    </w:p>
    <w:p w14:paraId="7BC8520B"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To align with ISO/IEC 27001:2022 controls and the NIST Cybersecurity Framework (CSF) v2.0, SFM must adopt four foundational cybersecurity policies [9], [10].</w:t>
      </w:r>
    </w:p>
    <w:p w14:paraId="4F007C1D"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Policy: Zero-Trust Network and Access Control Policy</w:t>
      </w:r>
    </w:p>
    <w:p w14:paraId="60A631C9" w14:textId="77777777" w:rsidR="00367222" w:rsidRPr="00367222" w:rsidRDefault="00367222" w:rsidP="00367222">
      <w:pPr>
        <w:pStyle w:val="NormalWeb"/>
        <w:numPr>
          <w:ilvl w:val="0"/>
          <w:numId w:val="21"/>
        </w:numPr>
        <w:rPr>
          <w:rFonts w:asciiTheme="minorHAnsi" w:hAnsiTheme="minorHAnsi" w:cstheme="minorHAnsi"/>
        </w:rPr>
      </w:pPr>
      <w:r w:rsidRPr="00367222">
        <w:rPr>
          <w:rFonts w:asciiTheme="minorHAnsi" w:hAnsiTheme="minorHAnsi" w:cstheme="minorHAnsi"/>
        </w:rPr>
        <w:t>Mandate: SFM abandons the traditional "perimeter defence" model in favour of a Zero-Trust Architecture (ZTA) where no user or asset is inherently trusted [11].</w:t>
      </w:r>
    </w:p>
    <w:p w14:paraId="62D0D046" w14:textId="77777777" w:rsidR="00367222" w:rsidRPr="00367222" w:rsidRDefault="00367222" w:rsidP="00367222">
      <w:pPr>
        <w:pStyle w:val="NormalWeb"/>
        <w:numPr>
          <w:ilvl w:val="0"/>
          <w:numId w:val="21"/>
        </w:numPr>
        <w:rPr>
          <w:rFonts w:asciiTheme="minorHAnsi" w:hAnsiTheme="minorHAnsi" w:cstheme="minorHAnsi"/>
        </w:rPr>
      </w:pPr>
      <w:r w:rsidRPr="00367222">
        <w:rPr>
          <w:rFonts w:asciiTheme="minorHAnsi" w:hAnsiTheme="minorHAnsi" w:cstheme="minorHAnsi"/>
        </w:rPr>
        <w:t>Principle of Least Privilege (</w:t>
      </w:r>
      <w:proofErr w:type="spellStart"/>
      <w:r w:rsidRPr="00367222">
        <w:rPr>
          <w:rFonts w:asciiTheme="minorHAnsi" w:hAnsiTheme="minorHAnsi" w:cstheme="minorHAnsi"/>
        </w:rPr>
        <w:t>PoLP</w:t>
      </w:r>
      <w:proofErr w:type="spellEnd"/>
      <w:r w:rsidRPr="00367222">
        <w:rPr>
          <w:rFonts w:asciiTheme="minorHAnsi" w:hAnsiTheme="minorHAnsi" w:cstheme="minorHAnsi"/>
        </w:rPr>
        <w:t>): Role-Based Access Control (RBAC) and Attribute-Based Access Control (ABAC) must be strictly enforced. Employees receive access solely to the data and systems necessary to complete assigned duties.</w:t>
      </w:r>
    </w:p>
    <w:p w14:paraId="7FD2E89D" w14:textId="77777777" w:rsidR="00367222" w:rsidRPr="00367222" w:rsidRDefault="00367222" w:rsidP="00367222">
      <w:pPr>
        <w:pStyle w:val="NormalWeb"/>
        <w:numPr>
          <w:ilvl w:val="0"/>
          <w:numId w:val="21"/>
        </w:numPr>
        <w:rPr>
          <w:rFonts w:asciiTheme="minorHAnsi" w:hAnsiTheme="minorHAnsi" w:cstheme="minorHAnsi"/>
        </w:rPr>
      </w:pPr>
      <w:r w:rsidRPr="00367222">
        <w:rPr>
          <w:rFonts w:asciiTheme="minorHAnsi" w:hAnsiTheme="minorHAnsi" w:cstheme="minorHAnsi"/>
        </w:rPr>
        <w:t>Authentication Standards: Multi-Factor Authentication (MFA) utilising hardware tokens or FIDO2/</w:t>
      </w:r>
      <w:proofErr w:type="spellStart"/>
      <w:r w:rsidRPr="00367222">
        <w:rPr>
          <w:rFonts w:asciiTheme="minorHAnsi" w:hAnsiTheme="minorHAnsi" w:cstheme="minorHAnsi"/>
        </w:rPr>
        <w:t>WebAuthn</w:t>
      </w:r>
      <w:proofErr w:type="spellEnd"/>
      <w:r w:rsidRPr="00367222">
        <w:rPr>
          <w:rFonts w:asciiTheme="minorHAnsi" w:hAnsiTheme="minorHAnsi" w:cstheme="minorHAnsi"/>
        </w:rPr>
        <w:t xml:space="preserve"> authenticators is mandatory across all cloud services, enterprise applications, and VPNs. Knowledge-based authentication and SMS OTPs are explicitly prohibited due to SIM-swapping vulnerabilities [12].</w:t>
      </w:r>
    </w:p>
    <w:p w14:paraId="5932D169" w14:textId="77777777" w:rsidR="00367222" w:rsidRPr="00367222" w:rsidRDefault="00367222" w:rsidP="00367222">
      <w:pPr>
        <w:pStyle w:val="NormalWeb"/>
        <w:numPr>
          <w:ilvl w:val="0"/>
          <w:numId w:val="21"/>
        </w:numPr>
        <w:rPr>
          <w:rFonts w:asciiTheme="minorHAnsi" w:hAnsiTheme="minorHAnsi" w:cstheme="minorHAnsi"/>
        </w:rPr>
      </w:pPr>
      <w:r w:rsidRPr="00367222">
        <w:rPr>
          <w:rFonts w:asciiTheme="minorHAnsi" w:hAnsiTheme="minorHAnsi" w:cstheme="minorHAnsi"/>
        </w:rPr>
        <w:t>Third-Party Remote Access: Third-party maintenance vendors must connect via Just-In-Time (JIT) access broker systems, requiring approval from the IT Security Manager for every session. All remote vendor sessions must undergo full session logging and screen recording.</w:t>
      </w:r>
    </w:p>
    <w:p w14:paraId="0D988516" w14:textId="77777777" w:rsidR="00367222" w:rsidRPr="00834177" w:rsidRDefault="00367222" w:rsidP="00367222">
      <w:pPr>
        <w:pStyle w:val="NormalWeb"/>
        <w:rPr>
          <w:rFonts w:asciiTheme="minorHAnsi" w:hAnsiTheme="minorHAnsi" w:cstheme="minorHAnsi"/>
          <w:b/>
          <w:bCs/>
        </w:rPr>
      </w:pPr>
      <w:r w:rsidRPr="00834177">
        <w:rPr>
          <w:rFonts w:asciiTheme="minorHAnsi" w:hAnsiTheme="minorHAnsi" w:cstheme="minorHAnsi"/>
          <w:b/>
          <w:bCs/>
        </w:rPr>
        <w:t>Policy: Industrial Network Architecture and Segmentation Policy</w:t>
      </w:r>
    </w:p>
    <w:p w14:paraId="2F364B99" w14:textId="77777777" w:rsidR="00367222" w:rsidRPr="00367222" w:rsidRDefault="00367222" w:rsidP="00367222">
      <w:pPr>
        <w:pStyle w:val="NormalWeb"/>
        <w:numPr>
          <w:ilvl w:val="0"/>
          <w:numId w:val="22"/>
        </w:numPr>
        <w:rPr>
          <w:rFonts w:asciiTheme="minorHAnsi" w:hAnsiTheme="minorHAnsi" w:cstheme="minorHAnsi"/>
        </w:rPr>
      </w:pPr>
      <w:r w:rsidRPr="00367222">
        <w:rPr>
          <w:rFonts w:asciiTheme="minorHAnsi" w:hAnsiTheme="minorHAnsi" w:cstheme="minorHAnsi"/>
        </w:rPr>
        <w:t>Mandate: Strict adherence to the Purdue Model for Industrial Control Systems (ISA/IEC 62443 standard) [13].</w:t>
      </w:r>
    </w:p>
    <w:p w14:paraId="50FF05AC" w14:textId="77777777" w:rsidR="00367222" w:rsidRPr="00367222" w:rsidRDefault="00367222" w:rsidP="00367222">
      <w:pPr>
        <w:pStyle w:val="NormalWeb"/>
        <w:numPr>
          <w:ilvl w:val="0"/>
          <w:numId w:val="22"/>
        </w:numPr>
        <w:rPr>
          <w:rFonts w:asciiTheme="minorHAnsi" w:hAnsiTheme="minorHAnsi" w:cstheme="minorHAnsi"/>
        </w:rPr>
      </w:pPr>
      <w:r w:rsidRPr="00367222">
        <w:rPr>
          <w:rFonts w:asciiTheme="minorHAnsi" w:hAnsiTheme="minorHAnsi" w:cstheme="minorHAnsi"/>
        </w:rPr>
        <w:t>Logical Boundary Rules:</w:t>
      </w:r>
    </w:p>
    <w:p w14:paraId="62897033" w14:textId="77777777" w:rsidR="00367222" w:rsidRPr="00367222" w:rsidRDefault="00367222" w:rsidP="00367222">
      <w:pPr>
        <w:pStyle w:val="NormalWeb"/>
        <w:numPr>
          <w:ilvl w:val="1"/>
          <w:numId w:val="22"/>
        </w:numPr>
        <w:rPr>
          <w:rFonts w:asciiTheme="minorHAnsi" w:hAnsiTheme="minorHAnsi" w:cstheme="minorHAnsi"/>
        </w:rPr>
      </w:pPr>
      <w:r w:rsidRPr="00367222">
        <w:rPr>
          <w:rFonts w:asciiTheme="minorHAnsi" w:hAnsiTheme="minorHAnsi" w:cstheme="minorHAnsi"/>
        </w:rPr>
        <w:t>Level 4/5 (Enterprise IT / Cloud): Enterprise Resource Planning (ERP), Cloud PMS, corporate email, and web access.</w:t>
      </w:r>
    </w:p>
    <w:p w14:paraId="4DA230C3" w14:textId="77777777" w:rsidR="00367222" w:rsidRPr="00367222" w:rsidRDefault="00367222" w:rsidP="00367222">
      <w:pPr>
        <w:pStyle w:val="NormalWeb"/>
        <w:numPr>
          <w:ilvl w:val="1"/>
          <w:numId w:val="22"/>
        </w:numPr>
        <w:rPr>
          <w:rFonts w:asciiTheme="minorHAnsi" w:hAnsiTheme="minorHAnsi" w:cstheme="minorHAnsi"/>
        </w:rPr>
      </w:pPr>
      <w:r w:rsidRPr="00367222">
        <w:rPr>
          <w:rFonts w:asciiTheme="minorHAnsi" w:hAnsiTheme="minorHAnsi" w:cstheme="minorHAnsi"/>
        </w:rPr>
        <w:t>Level 3 (Site Operations): Manufacturing Execution Systems (MES), plant historians, and site-wide management.</w:t>
      </w:r>
    </w:p>
    <w:p w14:paraId="623599AE" w14:textId="77777777" w:rsidR="00367222" w:rsidRPr="00367222" w:rsidRDefault="00367222" w:rsidP="00367222">
      <w:pPr>
        <w:pStyle w:val="NormalWeb"/>
        <w:numPr>
          <w:ilvl w:val="1"/>
          <w:numId w:val="22"/>
        </w:numPr>
        <w:rPr>
          <w:rFonts w:asciiTheme="minorHAnsi" w:hAnsiTheme="minorHAnsi" w:cstheme="minorHAnsi"/>
        </w:rPr>
      </w:pPr>
      <w:r w:rsidRPr="00367222">
        <w:rPr>
          <w:rFonts w:asciiTheme="minorHAnsi" w:hAnsiTheme="minorHAnsi" w:cstheme="minorHAnsi"/>
        </w:rPr>
        <w:t>Level 3.5 (Industrial DMZ - IDMZ): Mandatory buffer zone containing proxy servers, jump hosts, and patch management mirrors. Direct communications between Level 4/5 and Level 2/1 are strictly prohibited.</w:t>
      </w:r>
    </w:p>
    <w:p w14:paraId="3D55972E" w14:textId="77777777" w:rsidR="00367222" w:rsidRPr="00367222" w:rsidRDefault="00367222" w:rsidP="00367222">
      <w:pPr>
        <w:pStyle w:val="NormalWeb"/>
        <w:numPr>
          <w:ilvl w:val="1"/>
          <w:numId w:val="22"/>
        </w:numPr>
        <w:rPr>
          <w:rFonts w:asciiTheme="minorHAnsi" w:hAnsiTheme="minorHAnsi" w:cstheme="minorHAnsi"/>
        </w:rPr>
      </w:pPr>
      <w:r w:rsidRPr="00367222">
        <w:rPr>
          <w:rFonts w:asciiTheme="minorHAnsi" w:hAnsiTheme="minorHAnsi" w:cstheme="minorHAnsi"/>
        </w:rPr>
        <w:t>Level 2 (Control Systems): HMIs, supervisory SCADA software, and engineering workstations.</w:t>
      </w:r>
    </w:p>
    <w:p w14:paraId="179599ED" w14:textId="77777777" w:rsidR="00367222" w:rsidRPr="00367222" w:rsidRDefault="00367222" w:rsidP="00367222">
      <w:pPr>
        <w:pStyle w:val="NormalWeb"/>
        <w:numPr>
          <w:ilvl w:val="1"/>
          <w:numId w:val="22"/>
        </w:numPr>
        <w:rPr>
          <w:rFonts w:asciiTheme="minorHAnsi" w:hAnsiTheme="minorHAnsi" w:cstheme="minorHAnsi"/>
        </w:rPr>
      </w:pPr>
      <w:r w:rsidRPr="00367222">
        <w:rPr>
          <w:rFonts w:asciiTheme="minorHAnsi" w:hAnsiTheme="minorHAnsi" w:cstheme="minorHAnsi"/>
        </w:rPr>
        <w:t>Level 1/0 (Physical Process): PLCs, CNC controllers, IoT sensors, and safety instrumented systems (SIS).</w:t>
      </w:r>
    </w:p>
    <w:p w14:paraId="613EE73F"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lastRenderedPageBreak/>
        <w:t>Network Flow Architecture: [Level 4/5: Enterprise Cloud] (ERP / Cloud PMS) | V (Enterprise Firewall Layer) [Level 3.5: Industrial DMZ] (Jump Hosts / Historian Proxies) | V (Industrial Perimeter Firewall) [Level 3: Operations] (MES / SCADA) | V (Internal Distribution Firewalls) [Level 1/2: Shop Floor] (PLCs / CNC Controllers / HMIs)</w:t>
      </w:r>
    </w:p>
    <w:p w14:paraId="453A4709"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Policy: Data Classification and Governance Policy To enforce compliance with GDPR guidelines and aerospace defence client mandates, SFM classifies all data assets into four distinct tiers [14]:</w:t>
      </w:r>
    </w:p>
    <w:p w14:paraId="67C3F45E"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Tier 1 - Public: Marketing brochures, general job postings. Encryption: None required. Tier 2 - Internal: Internal announcements, standard operating procedures. Encryption: TLS 1.3 in transit. Tier 3 - Confidential: Financial reports, employee PII, vendor contracts. Encryption: AES-256 at rest; TLS 1.3 in transit. Tier 4 - Restricted / IP: Aerospace CAD models, CNC G-codes, custom alloy specs. Encryption: AES-256 at rest with HSM keys; TLS 1.3 in transit.</w:t>
      </w:r>
    </w:p>
    <w:p w14:paraId="63829AA7" w14:textId="77777777" w:rsidR="00367222" w:rsidRPr="00367222" w:rsidRDefault="00367222" w:rsidP="00367222">
      <w:pPr>
        <w:pStyle w:val="NormalWeb"/>
        <w:numPr>
          <w:ilvl w:val="0"/>
          <w:numId w:val="23"/>
        </w:numPr>
        <w:rPr>
          <w:rFonts w:asciiTheme="minorHAnsi" w:hAnsiTheme="minorHAnsi" w:cstheme="minorHAnsi"/>
        </w:rPr>
      </w:pPr>
      <w:r w:rsidRPr="00367222">
        <w:rPr>
          <w:rFonts w:asciiTheme="minorHAnsi" w:hAnsiTheme="minorHAnsi" w:cstheme="minorHAnsi"/>
        </w:rPr>
        <w:t>Data Protection Mandates: All Tier 3 and Tier 4 data stored within cloud PMS or on-premises storage must utilise AES-</w:t>
      </w:r>
      <w:proofErr w:type="gramStart"/>
      <w:r w:rsidRPr="00367222">
        <w:rPr>
          <w:rFonts w:asciiTheme="minorHAnsi" w:hAnsiTheme="minorHAnsi" w:cstheme="minorHAnsi"/>
        </w:rPr>
        <w:t>256 bit</w:t>
      </w:r>
      <w:proofErr w:type="gramEnd"/>
      <w:r w:rsidRPr="00367222">
        <w:rPr>
          <w:rFonts w:asciiTheme="minorHAnsi" w:hAnsiTheme="minorHAnsi" w:cstheme="minorHAnsi"/>
        </w:rPr>
        <w:t xml:space="preserve"> encryption. Cryptographic keys must be managed within a dedicated Hardware Security Module (HSM).</w:t>
      </w:r>
    </w:p>
    <w:p w14:paraId="2473F713" w14:textId="77777777" w:rsidR="00367222" w:rsidRPr="00367222" w:rsidRDefault="00367222" w:rsidP="00367222">
      <w:pPr>
        <w:pStyle w:val="NormalWeb"/>
        <w:numPr>
          <w:ilvl w:val="0"/>
          <w:numId w:val="23"/>
        </w:numPr>
        <w:rPr>
          <w:rFonts w:asciiTheme="minorHAnsi" w:hAnsiTheme="minorHAnsi" w:cstheme="minorHAnsi"/>
        </w:rPr>
      </w:pPr>
      <w:r w:rsidRPr="00367222">
        <w:rPr>
          <w:rFonts w:asciiTheme="minorHAnsi" w:hAnsiTheme="minorHAnsi" w:cstheme="minorHAnsi"/>
        </w:rPr>
        <w:t>Data Loss Prevention (DLP): DLP endpoint agents must be installed on all corporate workstations to block unauthorised file transfers of Tier 4 datasets to external USB drives or personal cloud storage services.</w:t>
      </w:r>
    </w:p>
    <w:p w14:paraId="0FDA57CA"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Policy: Patch Management and System Hardening Policy</w:t>
      </w:r>
    </w:p>
    <w:p w14:paraId="4666A996" w14:textId="77777777" w:rsidR="00367222" w:rsidRPr="00367222" w:rsidRDefault="00367222" w:rsidP="00367222">
      <w:pPr>
        <w:pStyle w:val="NormalWeb"/>
        <w:numPr>
          <w:ilvl w:val="0"/>
          <w:numId w:val="24"/>
        </w:numPr>
        <w:rPr>
          <w:rFonts w:asciiTheme="minorHAnsi" w:hAnsiTheme="minorHAnsi" w:cstheme="minorHAnsi"/>
        </w:rPr>
      </w:pPr>
      <w:r w:rsidRPr="00367222">
        <w:rPr>
          <w:rFonts w:asciiTheme="minorHAnsi" w:hAnsiTheme="minorHAnsi" w:cstheme="minorHAnsi"/>
        </w:rPr>
        <w:t>IT Vulnerability Remediation: Critical and High-severity vulnerabilities (CVSS score 7.0 or higher) in IT systems, cloud systems, and corporate endpoints must be patched within 14 calendar days of public release [15].</w:t>
      </w:r>
    </w:p>
    <w:p w14:paraId="6B84CB16" w14:textId="77777777" w:rsidR="00367222" w:rsidRPr="00367222" w:rsidRDefault="00367222" w:rsidP="00367222">
      <w:pPr>
        <w:pStyle w:val="NormalWeb"/>
        <w:numPr>
          <w:ilvl w:val="0"/>
          <w:numId w:val="24"/>
        </w:numPr>
        <w:rPr>
          <w:rFonts w:asciiTheme="minorHAnsi" w:hAnsiTheme="minorHAnsi" w:cstheme="minorHAnsi"/>
        </w:rPr>
      </w:pPr>
      <w:r w:rsidRPr="00367222">
        <w:rPr>
          <w:rFonts w:asciiTheme="minorHAnsi" w:hAnsiTheme="minorHAnsi" w:cstheme="minorHAnsi"/>
        </w:rPr>
        <w:t>OT System Hardening: Where legacy PLCs or HMIs cannot undergo live OS patching without jeopardising physical manufacturing processes, security teams must apply virtual patching via Next-Generation Firewalls (NGFW) and Deep Packet Inspection (DPI) rules targeting specific vulnerability signatures.</w:t>
      </w:r>
    </w:p>
    <w:p w14:paraId="607004E6" w14:textId="77777777" w:rsidR="00367222" w:rsidRPr="00583119" w:rsidRDefault="00367222" w:rsidP="00367222">
      <w:pPr>
        <w:pStyle w:val="NormalWeb"/>
        <w:rPr>
          <w:rFonts w:asciiTheme="minorHAnsi" w:hAnsiTheme="minorHAnsi" w:cstheme="minorHAnsi"/>
          <w:b/>
          <w:bCs/>
        </w:rPr>
      </w:pPr>
      <w:r w:rsidRPr="00583119">
        <w:rPr>
          <w:rFonts w:asciiTheme="minorHAnsi" w:hAnsiTheme="minorHAnsi" w:cstheme="minorHAnsi"/>
          <w:b/>
          <w:bCs/>
        </w:rPr>
        <w:t>Mitigation Measures Implementation Plan</w:t>
      </w:r>
    </w:p>
    <w:p w14:paraId="4478D9C6"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Translating governance policies into technical operational controls requires deploying layered security mechanisms across SFM’s digital footprint [16].</w:t>
      </w:r>
    </w:p>
    <w:p w14:paraId="6B47622F"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Technical Implementation Blueprint:</w:t>
      </w:r>
    </w:p>
    <w:p w14:paraId="2C8E9C70" w14:textId="77777777" w:rsidR="00367222" w:rsidRPr="00367222" w:rsidRDefault="00367222" w:rsidP="00367222">
      <w:pPr>
        <w:pStyle w:val="NormalWeb"/>
        <w:numPr>
          <w:ilvl w:val="0"/>
          <w:numId w:val="25"/>
        </w:numPr>
        <w:rPr>
          <w:rFonts w:asciiTheme="minorHAnsi" w:hAnsiTheme="minorHAnsi" w:cstheme="minorHAnsi"/>
        </w:rPr>
      </w:pPr>
      <w:r w:rsidRPr="00367222">
        <w:rPr>
          <w:rFonts w:asciiTheme="minorHAnsi" w:hAnsiTheme="minorHAnsi" w:cstheme="minorHAnsi"/>
        </w:rPr>
        <w:t>Network Access Control (NAC): Deploy IEEE 802.1X network access control across all physical Ethernet ports in the facility. Any unrecognised device (e.g., an unauthorised laptop or rogue Wi-Fi access point plugged into a plant floor switch) is automatically assigned to an isolated blackhole VLAN and triggers an alert in the security operations queue.</w:t>
      </w:r>
    </w:p>
    <w:p w14:paraId="761435CC" w14:textId="77777777" w:rsidR="00367222" w:rsidRPr="00367222" w:rsidRDefault="00367222" w:rsidP="00367222">
      <w:pPr>
        <w:pStyle w:val="NormalWeb"/>
        <w:numPr>
          <w:ilvl w:val="0"/>
          <w:numId w:val="25"/>
        </w:numPr>
        <w:rPr>
          <w:rFonts w:asciiTheme="minorHAnsi" w:hAnsiTheme="minorHAnsi" w:cstheme="minorHAnsi"/>
        </w:rPr>
      </w:pPr>
      <w:r w:rsidRPr="00367222">
        <w:rPr>
          <w:rFonts w:asciiTheme="minorHAnsi" w:hAnsiTheme="minorHAnsi" w:cstheme="minorHAnsi"/>
        </w:rPr>
        <w:t>Endpoint Detection and Response (EDR / XDR): Install managed XDR agents across all enterprise workstations, servers, and Level 3/2 HMI host machines. The XDR agent utilises behavioural monitoring to block Living-off-the-Land (</w:t>
      </w:r>
      <w:proofErr w:type="spellStart"/>
      <w:r w:rsidRPr="00367222">
        <w:rPr>
          <w:rFonts w:asciiTheme="minorHAnsi" w:hAnsiTheme="minorHAnsi" w:cstheme="minorHAnsi"/>
        </w:rPr>
        <w:t>LotL</w:t>
      </w:r>
      <w:proofErr w:type="spellEnd"/>
      <w:r w:rsidRPr="00367222">
        <w:rPr>
          <w:rFonts w:asciiTheme="minorHAnsi" w:hAnsiTheme="minorHAnsi" w:cstheme="minorHAnsi"/>
        </w:rPr>
        <w:t xml:space="preserve">) binary exploits, </w:t>
      </w:r>
      <w:r w:rsidRPr="00367222">
        <w:rPr>
          <w:rFonts w:asciiTheme="minorHAnsi" w:hAnsiTheme="minorHAnsi" w:cstheme="minorHAnsi"/>
        </w:rPr>
        <w:lastRenderedPageBreak/>
        <w:t>unauthorised PowerShell execution, and sudden batch file modifications indicative of ransomware staging [17].</w:t>
      </w:r>
    </w:p>
    <w:p w14:paraId="0060CD66" w14:textId="77777777" w:rsidR="00367222" w:rsidRPr="00367222" w:rsidRDefault="00367222" w:rsidP="00367222">
      <w:pPr>
        <w:pStyle w:val="NormalWeb"/>
        <w:numPr>
          <w:ilvl w:val="0"/>
          <w:numId w:val="25"/>
        </w:numPr>
        <w:rPr>
          <w:rFonts w:asciiTheme="minorHAnsi" w:hAnsiTheme="minorHAnsi" w:cstheme="minorHAnsi"/>
        </w:rPr>
      </w:pPr>
      <w:r w:rsidRPr="00367222">
        <w:rPr>
          <w:rFonts w:asciiTheme="minorHAnsi" w:hAnsiTheme="minorHAnsi" w:cstheme="minorHAnsi"/>
        </w:rPr>
        <w:t>Email Security and Anti-Spoofing Protocol Suite: Configure Domain-based Message Authentication, Reporting, and Conformance (DMARC) set to an enforcement policy of reject, coupled with DomainKeys Identified Mail (DKIM) and Sender Policy Framework (SPF). An advanced email protection gateway inspects incoming procurement communications using dynamic sandboxing to strip malicious attachments and link-rewriting engines to defeat credential harvesting phishing [18].</w:t>
      </w:r>
    </w:p>
    <w:p w14:paraId="1CB45FF4" w14:textId="77777777" w:rsidR="00367222" w:rsidRPr="00367222" w:rsidRDefault="00367222" w:rsidP="00367222">
      <w:pPr>
        <w:pStyle w:val="NormalWeb"/>
        <w:numPr>
          <w:ilvl w:val="0"/>
          <w:numId w:val="25"/>
        </w:numPr>
        <w:rPr>
          <w:rFonts w:asciiTheme="minorHAnsi" w:hAnsiTheme="minorHAnsi" w:cstheme="minorHAnsi"/>
        </w:rPr>
      </w:pPr>
      <w:r w:rsidRPr="00367222">
        <w:rPr>
          <w:rFonts w:asciiTheme="minorHAnsi" w:hAnsiTheme="minorHAnsi" w:cstheme="minorHAnsi"/>
        </w:rPr>
        <w:t>Immutable Air-Gapped Backup Architecture: Enforce the 3-2-1-1-0 Backup Strategy:</w:t>
      </w:r>
    </w:p>
    <w:p w14:paraId="4ED1D953" w14:textId="77777777" w:rsidR="00367222" w:rsidRPr="00367222" w:rsidRDefault="00367222" w:rsidP="00367222">
      <w:pPr>
        <w:pStyle w:val="NormalWeb"/>
        <w:numPr>
          <w:ilvl w:val="1"/>
          <w:numId w:val="25"/>
        </w:numPr>
        <w:rPr>
          <w:rFonts w:asciiTheme="minorHAnsi" w:hAnsiTheme="minorHAnsi" w:cstheme="minorHAnsi"/>
        </w:rPr>
      </w:pPr>
      <w:r w:rsidRPr="00367222">
        <w:rPr>
          <w:rFonts w:asciiTheme="minorHAnsi" w:hAnsiTheme="minorHAnsi" w:cstheme="minorHAnsi"/>
        </w:rPr>
        <w:t>3 copies of critical data (CAD files, PMS database, PLC ladder logic configurations).</w:t>
      </w:r>
    </w:p>
    <w:p w14:paraId="638B2A87" w14:textId="77777777" w:rsidR="00367222" w:rsidRPr="00367222" w:rsidRDefault="00367222" w:rsidP="00367222">
      <w:pPr>
        <w:pStyle w:val="NormalWeb"/>
        <w:numPr>
          <w:ilvl w:val="1"/>
          <w:numId w:val="25"/>
        </w:numPr>
        <w:rPr>
          <w:rFonts w:asciiTheme="minorHAnsi" w:hAnsiTheme="minorHAnsi" w:cstheme="minorHAnsi"/>
        </w:rPr>
      </w:pPr>
      <w:r w:rsidRPr="00367222">
        <w:rPr>
          <w:rFonts w:asciiTheme="minorHAnsi" w:hAnsiTheme="minorHAnsi" w:cstheme="minorHAnsi"/>
        </w:rPr>
        <w:t xml:space="preserve">2 different storage media types (Local </w:t>
      </w:r>
      <w:proofErr w:type="spellStart"/>
      <w:r w:rsidRPr="00367222">
        <w:rPr>
          <w:rFonts w:asciiTheme="minorHAnsi" w:hAnsiTheme="minorHAnsi" w:cstheme="minorHAnsi"/>
        </w:rPr>
        <w:t>NVMe</w:t>
      </w:r>
      <w:proofErr w:type="spellEnd"/>
      <w:r w:rsidRPr="00367222">
        <w:rPr>
          <w:rFonts w:asciiTheme="minorHAnsi" w:hAnsiTheme="minorHAnsi" w:cstheme="minorHAnsi"/>
        </w:rPr>
        <w:t xml:space="preserve"> SAN and Cloud Object Storage).</w:t>
      </w:r>
    </w:p>
    <w:p w14:paraId="6CEB7407" w14:textId="77777777" w:rsidR="00367222" w:rsidRPr="00367222" w:rsidRDefault="00367222" w:rsidP="00367222">
      <w:pPr>
        <w:pStyle w:val="NormalWeb"/>
        <w:numPr>
          <w:ilvl w:val="1"/>
          <w:numId w:val="25"/>
        </w:numPr>
        <w:rPr>
          <w:rFonts w:asciiTheme="minorHAnsi" w:hAnsiTheme="minorHAnsi" w:cstheme="minorHAnsi"/>
        </w:rPr>
      </w:pPr>
      <w:r w:rsidRPr="00367222">
        <w:rPr>
          <w:rFonts w:asciiTheme="minorHAnsi" w:hAnsiTheme="minorHAnsi" w:cstheme="minorHAnsi"/>
        </w:rPr>
        <w:t>1 copy stored offsite.</w:t>
      </w:r>
    </w:p>
    <w:p w14:paraId="1FCF1B78" w14:textId="77777777" w:rsidR="00367222" w:rsidRPr="00367222" w:rsidRDefault="00367222" w:rsidP="00367222">
      <w:pPr>
        <w:pStyle w:val="NormalWeb"/>
        <w:numPr>
          <w:ilvl w:val="1"/>
          <w:numId w:val="25"/>
        </w:numPr>
        <w:rPr>
          <w:rFonts w:asciiTheme="minorHAnsi" w:hAnsiTheme="minorHAnsi" w:cstheme="minorHAnsi"/>
        </w:rPr>
      </w:pPr>
      <w:r w:rsidRPr="00367222">
        <w:rPr>
          <w:rFonts w:asciiTheme="minorHAnsi" w:hAnsiTheme="minorHAnsi" w:cstheme="minorHAnsi"/>
        </w:rPr>
        <w:t>1 copy stored entirely air-gapped and immutable (WORM—Write Once, Read Many).</w:t>
      </w:r>
    </w:p>
    <w:p w14:paraId="675D85DC" w14:textId="77777777" w:rsidR="00367222" w:rsidRPr="00367222" w:rsidRDefault="00367222" w:rsidP="00367222">
      <w:pPr>
        <w:pStyle w:val="NormalWeb"/>
        <w:numPr>
          <w:ilvl w:val="1"/>
          <w:numId w:val="25"/>
        </w:numPr>
        <w:rPr>
          <w:rFonts w:asciiTheme="minorHAnsi" w:hAnsiTheme="minorHAnsi" w:cstheme="minorHAnsi"/>
        </w:rPr>
      </w:pPr>
      <w:r w:rsidRPr="00367222">
        <w:rPr>
          <w:rFonts w:asciiTheme="minorHAnsi" w:hAnsiTheme="minorHAnsi" w:cstheme="minorHAnsi"/>
        </w:rPr>
        <w:t>0 restoration errors verified through automated quarterly disaster recovery dry-runs [19].</w:t>
      </w:r>
    </w:p>
    <w:p w14:paraId="09E53CC4" w14:textId="77777777" w:rsidR="00367222"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t>Monitoring and Incident Response Plan</w:t>
      </w:r>
    </w:p>
    <w:p w14:paraId="3A58D7A3"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Continuous Monitoring Architecture SFM will centralise operational visibility by deploying a combined Security Information and Event Management (SIEM) and Security Orchestration, Automation, and Response (SOAR) platform.</w:t>
      </w:r>
    </w:p>
    <w:p w14:paraId="7D555709"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The SIEM ingests log telemetry from:</w:t>
      </w:r>
    </w:p>
    <w:p w14:paraId="4DF8F7C5" w14:textId="77777777" w:rsidR="00367222" w:rsidRPr="00367222" w:rsidRDefault="00367222" w:rsidP="00367222">
      <w:pPr>
        <w:pStyle w:val="NormalWeb"/>
        <w:numPr>
          <w:ilvl w:val="0"/>
          <w:numId w:val="26"/>
        </w:numPr>
        <w:rPr>
          <w:rFonts w:asciiTheme="minorHAnsi" w:hAnsiTheme="minorHAnsi" w:cstheme="minorHAnsi"/>
        </w:rPr>
      </w:pPr>
      <w:r w:rsidRPr="00367222">
        <w:rPr>
          <w:rFonts w:asciiTheme="minorHAnsi" w:hAnsiTheme="minorHAnsi" w:cstheme="minorHAnsi"/>
        </w:rPr>
        <w:t>Industrial Firewall logs (traffic between Purdue levels).</w:t>
      </w:r>
    </w:p>
    <w:p w14:paraId="63461203" w14:textId="77777777" w:rsidR="00367222" w:rsidRPr="00367222" w:rsidRDefault="00367222" w:rsidP="00367222">
      <w:pPr>
        <w:pStyle w:val="NormalWeb"/>
        <w:numPr>
          <w:ilvl w:val="0"/>
          <w:numId w:val="26"/>
        </w:numPr>
        <w:rPr>
          <w:rFonts w:asciiTheme="minorHAnsi" w:hAnsiTheme="minorHAnsi" w:cstheme="minorHAnsi"/>
        </w:rPr>
      </w:pPr>
      <w:r w:rsidRPr="00367222">
        <w:rPr>
          <w:rFonts w:asciiTheme="minorHAnsi" w:hAnsiTheme="minorHAnsi" w:cstheme="minorHAnsi"/>
        </w:rPr>
        <w:t>Active Directory / Identity Provider authentication logs.</w:t>
      </w:r>
    </w:p>
    <w:p w14:paraId="122DE7F1" w14:textId="77777777" w:rsidR="00367222" w:rsidRPr="00367222" w:rsidRDefault="00367222" w:rsidP="00367222">
      <w:pPr>
        <w:pStyle w:val="NormalWeb"/>
        <w:numPr>
          <w:ilvl w:val="0"/>
          <w:numId w:val="26"/>
        </w:numPr>
        <w:rPr>
          <w:rFonts w:asciiTheme="minorHAnsi" w:hAnsiTheme="minorHAnsi" w:cstheme="minorHAnsi"/>
        </w:rPr>
      </w:pPr>
      <w:r w:rsidRPr="00367222">
        <w:rPr>
          <w:rFonts w:asciiTheme="minorHAnsi" w:hAnsiTheme="minorHAnsi" w:cstheme="minorHAnsi"/>
        </w:rPr>
        <w:t>Cloud PMS access logs and storage bucket audit trails.</w:t>
      </w:r>
    </w:p>
    <w:p w14:paraId="0627BCC8" w14:textId="77777777" w:rsidR="00367222" w:rsidRPr="00367222" w:rsidRDefault="00367222" w:rsidP="00367222">
      <w:pPr>
        <w:pStyle w:val="NormalWeb"/>
        <w:numPr>
          <w:ilvl w:val="0"/>
          <w:numId w:val="26"/>
        </w:numPr>
        <w:rPr>
          <w:rFonts w:asciiTheme="minorHAnsi" w:hAnsiTheme="minorHAnsi" w:cstheme="minorHAnsi"/>
        </w:rPr>
      </w:pPr>
      <w:r w:rsidRPr="00367222">
        <w:rPr>
          <w:rFonts w:asciiTheme="minorHAnsi" w:hAnsiTheme="minorHAnsi" w:cstheme="minorHAnsi"/>
        </w:rPr>
        <w:t>Network Intrusion Detection System (NIDS) sensors placed at key switch span ports on the plant floor.</w:t>
      </w:r>
    </w:p>
    <w:p w14:paraId="3D81E8EC"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Machine learning algorithms analyse baseline network behaviour. Deviations—such as a CNC machine controller initiating an outbound HTTPS request to an external IP, or an administrative account logging in simultaneously from two geographic locations—trigger automated containment playbooks via the SOAR pipeline [20].</w:t>
      </w:r>
    </w:p>
    <w:p w14:paraId="3BD17C47"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Incident Response Process Flow SFM aligns its incident handling lifecycle directly with NIST SP 800-61 Rev. 2 [21].</w:t>
      </w:r>
    </w:p>
    <w:p w14:paraId="6E9981C3"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Preparation Phase Maintain out-of-band communication systems (e.g., encrypted signal groups), ensure pre-approved automated SOAR containment scripts are configured, and maintain offline digital forensics toolkits.</w:t>
      </w:r>
    </w:p>
    <w:p w14:paraId="12140B1B"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Detection and Analysis Phase Inbound security alerts are ingested via the SIEM/SOAR platform. Security Analysts triage the event, assign severity scores (Category 1 to Category 4), validate indicators of compromise (</w:t>
      </w:r>
      <w:proofErr w:type="spellStart"/>
      <w:r w:rsidRPr="00367222">
        <w:rPr>
          <w:rFonts w:asciiTheme="minorHAnsi" w:hAnsiTheme="minorHAnsi" w:cstheme="minorHAnsi"/>
        </w:rPr>
        <w:t>IoCs</w:t>
      </w:r>
      <w:proofErr w:type="spellEnd"/>
      <w:r w:rsidRPr="00367222">
        <w:rPr>
          <w:rFonts w:asciiTheme="minorHAnsi" w:hAnsiTheme="minorHAnsi" w:cstheme="minorHAnsi"/>
        </w:rPr>
        <w:t>), and determine if OT systems are affected.</w:t>
      </w:r>
    </w:p>
    <w:p w14:paraId="25FAC8A0" w14:textId="77777777" w:rsidR="00367222" w:rsidRPr="00583119" w:rsidRDefault="00367222" w:rsidP="00367222">
      <w:pPr>
        <w:pStyle w:val="NormalWeb"/>
        <w:rPr>
          <w:rFonts w:asciiTheme="minorHAnsi" w:hAnsiTheme="minorHAnsi" w:cstheme="minorHAnsi"/>
          <w:b/>
          <w:bCs/>
        </w:rPr>
      </w:pPr>
      <w:r w:rsidRPr="00583119">
        <w:rPr>
          <w:rFonts w:asciiTheme="minorHAnsi" w:hAnsiTheme="minorHAnsi" w:cstheme="minorHAnsi"/>
          <w:b/>
          <w:bCs/>
        </w:rPr>
        <w:lastRenderedPageBreak/>
        <w:t>Containment, Eradication and Recovery Phase</w:t>
      </w:r>
    </w:p>
    <w:p w14:paraId="20EF7659" w14:textId="77777777" w:rsidR="00367222" w:rsidRPr="00367222" w:rsidRDefault="00367222" w:rsidP="00367222">
      <w:pPr>
        <w:pStyle w:val="NormalWeb"/>
        <w:numPr>
          <w:ilvl w:val="0"/>
          <w:numId w:val="27"/>
        </w:numPr>
        <w:rPr>
          <w:rFonts w:asciiTheme="minorHAnsi" w:hAnsiTheme="minorHAnsi" w:cstheme="minorHAnsi"/>
        </w:rPr>
      </w:pPr>
      <w:r w:rsidRPr="00367222">
        <w:rPr>
          <w:rFonts w:asciiTheme="minorHAnsi" w:hAnsiTheme="minorHAnsi" w:cstheme="minorHAnsi"/>
        </w:rPr>
        <w:t>Short-Term Containment: Automated network isolation of affected subnets; revoke compromised Kerberos/OAuth tokens; dynamically block malicious external IP addresses at the perimeter firewalls.</w:t>
      </w:r>
    </w:p>
    <w:p w14:paraId="1D9BEE1B" w14:textId="77777777" w:rsidR="00367222" w:rsidRPr="00367222" w:rsidRDefault="00367222" w:rsidP="00367222">
      <w:pPr>
        <w:pStyle w:val="NormalWeb"/>
        <w:numPr>
          <w:ilvl w:val="0"/>
          <w:numId w:val="27"/>
        </w:numPr>
        <w:rPr>
          <w:rFonts w:asciiTheme="minorHAnsi" w:hAnsiTheme="minorHAnsi" w:cstheme="minorHAnsi"/>
        </w:rPr>
      </w:pPr>
      <w:r w:rsidRPr="00367222">
        <w:rPr>
          <w:rFonts w:asciiTheme="minorHAnsi" w:hAnsiTheme="minorHAnsi" w:cstheme="minorHAnsi"/>
        </w:rPr>
        <w:t>Eradication: Identify root cause exploit vector, purge malware artefacts, rebuild infected systems from clean, golden OS images, and reset all impacted service account credentials.</w:t>
      </w:r>
    </w:p>
    <w:p w14:paraId="020A3703" w14:textId="77777777" w:rsidR="00367222" w:rsidRPr="00367222" w:rsidRDefault="00367222" w:rsidP="00367222">
      <w:pPr>
        <w:pStyle w:val="NormalWeb"/>
        <w:numPr>
          <w:ilvl w:val="0"/>
          <w:numId w:val="27"/>
        </w:numPr>
        <w:rPr>
          <w:rFonts w:asciiTheme="minorHAnsi" w:hAnsiTheme="minorHAnsi" w:cstheme="minorHAnsi"/>
        </w:rPr>
      </w:pPr>
      <w:r w:rsidRPr="00367222">
        <w:rPr>
          <w:rFonts w:asciiTheme="minorHAnsi" w:hAnsiTheme="minorHAnsi" w:cstheme="minorHAnsi"/>
        </w:rPr>
        <w:t>Recovery: Restore operational databases from immutable backups; perform integrity checks on CNC G-code files prior to restarting shop floor machinery; bring systems online incrementally under continuous monitoring.</w:t>
      </w:r>
    </w:p>
    <w:p w14:paraId="5CED2037"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Post-Incident Activity Phase Conduct a formal "Lessons Learned" review within 72 hours of incident closure. Update SIEM correlation rules, modify access policies where necessary, and file regulatory data breach notifications (e.g., GDPR notifications within 72 hours if customer PII was compromised) [14].</w:t>
      </w:r>
    </w:p>
    <w:p w14:paraId="0FF9CBAE"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Staff Training and Security Awareness Programme</w:t>
      </w:r>
    </w:p>
    <w:p w14:paraId="7D0799B0"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Human error represents a leading initial access vector in manufacturing breaches [22]. SFM will replace generic yearly compliance videos with an active, role-based continuous security awareness initiative.</w:t>
      </w:r>
    </w:p>
    <w:p w14:paraId="27A00015" w14:textId="77777777" w:rsidR="00367222" w:rsidRPr="00591F62" w:rsidRDefault="00367222" w:rsidP="00367222">
      <w:pPr>
        <w:pStyle w:val="NormalWeb"/>
        <w:rPr>
          <w:rFonts w:asciiTheme="minorHAnsi" w:hAnsiTheme="minorHAnsi" w:cstheme="minorHAnsi"/>
          <w:b/>
          <w:bCs/>
        </w:rPr>
      </w:pPr>
      <w:r w:rsidRPr="00591F62">
        <w:rPr>
          <w:rFonts w:asciiTheme="minorHAnsi" w:hAnsiTheme="minorHAnsi" w:cstheme="minorHAnsi"/>
          <w:b/>
          <w:bCs/>
        </w:rPr>
        <w:t>Role-Based Training Breakdown</w:t>
      </w:r>
    </w:p>
    <w:p w14:paraId="402FE4F2"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Group: Procurement and Finance Staff Core Focus Areas: Business Email Compromise (BEC), invoice modification scams, spear phishing identification Frequency: Monthly Delivery Mechanism: Interactive simulations, short 5-minute micro-learning modules</w:t>
      </w:r>
    </w:p>
    <w:p w14:paraId="086EDE0D"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Group: Plant Floor Operators Core Focus Areas: Physical security, shoulder surfing, rogue USB drives, unauthorised personal IoT connections Frequency: Bi-Monthly Delivery Mechanism: Hands-on floor workshops, physical red-team walkthrough audits</w:t>
      </w:r>
    </w:p>
    <w:p w14:paraId="20494CCD"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Group: IT and Systems Administrators Core Focus Areas: Cloud security architecture, secure code review, Zero-Trust administration, threat hunting Frequency: Quarterly Delivery Mechanism: Industry certification training (e.g., GIAC, CISSP), cyber-range drills</w:t>
      </w:r>
    </w:p>
    <w:p w14:paraId="3714112A"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Group: Executive Board Core Focus Areas: Industrial espionage trends, supply chain risk management, legal/regulatory liability Frequency: Bi-Annually Delivery Mechanism: Executive tabletop exercises modelling simulated ransomware scenarios</w:t>
      </w:r>
    </w:p>
    <w:p w14:paraId="17E3570B" w14:textId="77777777"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Key Performance Metrics (KPIs) Programme success will be quantitatively evaluated using the following targets:</w:t>
      </w:r>
    </w:p>
    <w:p w14:paraId="078F1239" w14:textId="77777777" w:rsidR="00367222" w:rsidRPr="00367222" w:rsidRDefault="00367222" w:rsidP="00367222">
      <w:pPr>
        <w:pStyle w:val="NormalWeb"/>
        <w:numPr>
          <w:ilvl w:val="0"/>
          <w:numId w:val="28"/>
        </w:numPr>
        <w:rPr>
          <w:rFonts w:asciiTheme="minorHAnsi" w:hAnsiTheme="minorHAnsi" w:cstheme="minorHAnsi"/>
        </w:rPr>
      </w:pPr>
      <w:r w:rsidRPr="00367222">
        <w:rPr>
          <w:rFonts w:asciiTheme="minorHAnsi" w:hAnsiTheme="minorHAnsi" w:cstheme="minorHAnsi"/>
        </w:rPr>
        <w:t>Phish-Prone Percentage (PPP): Reduce company-wide baseline phish-prone click rate from over 22% down to less than 3% within 6 months.</w:t>
      </w:r>
    </w:p>
    <w:p w14:paraId="16BAC44A" w14:textId="77777777" w:rsidR="00367222" w:rsidRPr="00367222" w:rsidRDefault="00367222" w:rsidP="00367222">
      <w:pPr>
        <w:pStyle w:val="NormalWeb"/>
        <w:numPr>
          <w:ilvl w:val="0"/>
          <w:numId w:val="28"/>
        </w:numPr>
        <w:rPr>
          <w:rFonts w:asciiTheme="minorHAnsi" w:hAnsiTheme="minorHAnsi" w:cstheme="minorHAnsi"/>
        </w:rPr>
      </w:pPr>
      <w:r w:rsidRPr="00367222">
        <w:rPr>
          <w:rFonts w:asciiTheme="minorHAnsi" w:hAnsiTheme="minorHAnsi" w:cstheme="minorHAnsi"/>
        </w:rPr>
        <w:lastRenderedPageBreak/>
        <w:t>Reporting Velocity: Achieve a metric where over 80% of employees who receive a simulated phishing email report it via the integrated "Report Phish" client button within 15 minutes of receipt.</w:t>
      </w:r>
    </w:p>
    <w:p w14:paraId="16090B79" w14:textId="77777777" w:rsidR="00367222" w:rsidRPr="00FE6DA9" w:rsidRDefault="00367222" w:rsidP="00367222">
      <w:pPr>
        <w:pStyle w:val="NormalWeb"/>
        <w:rPr>
          <w:rFonts w:asciiTheme="minorHAnsi" w:hAnsiTheme="minorHAnsi" w:cstheme="minorHAnsi"/>
          <w:b/>
          <w:bCs/>
        </w:rPr>
      </w:pPr>
      <w:r w:rsidRPr="00FE6DA9">
        <w:rPr>
          <w:rFonts w:asciiTheme="minorHAnsi" w:hAnsiTheme="minorHAnsi" w:cstheme="minorHAnsi"/>
          <w:b/>
          <w:bCs/>
        </w:rPr>
        <w:t>Conclusion and Strategic Recommendations</w:t>
      </w:r>
    </w:p>
    <w:p w14:paraId="7409EA75" w14:textId="202BC158"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The transition of </w:t>
      </w:r>
      <w:r w:rsidR="00C07D7D" w:rsidRPr="00367222">
        <w:rPr>
          <w:rFonts w:asciiTheme="minorHAnsi" w:hAnsiTheme="minorHAnsi" w:cstheme="minorHAnsi"/>
        </w:rPr>
        <w:t>Steel Form</w:t>
      </w:r>
      <w:r w:rsidRPr="00367222">
        <w:rPr>
          <w:rFonts w:asciiTheme="minorHAnsi" w:hAnsiTheme="minorHAnsi" w:cstheme="minorHAnsi"/>
        </w:rPr>
        <w:t xml:space="preserve"> Manufacturing Ltd into an Industry 4.0 smart manufacturing environment introduces significant cyber risks that threaten the organisation's core physical and intellectual assets. To safeguard company resilience against sophisticated adversaries, the executive leadership team must prioritise funding and authorisation for three immediate initiatives:</w:t>
      </w:r>
    </w:p>
    <w:p w14:paraId="3B7491FA" w14:textId="77777777" w:rsidR="00367222" w:rsidRPr="00367222" w:rsidRDefault="00367222" w:rsidP="00367222">
      <w:pPr>
        <w:pStyle w:val="NormalWeb"/>
        <w:numPr>
          <w:ilvl w:val="0"/>
          <w:numId w:val="29"/>
        </w:numPr>
        <w:rPr>
          <w:rFonts w:asciiTheme="minorHAnsi" w:hAnsiTheme="minorHAnsi" w:cstheme="minorHAnsi"/>
        </w:rPr>
      </w:pPr>
      <w:r w:rsidRPr="00367222">
        <w:rPr>
          <w:rFonts w:asciiTheme="minorHAnsi" w:hAnsiTheme="minorHAnsi" w:cstheme="minorHAnsi"/>
        </w:rPr>
        <w:t>Enforce Physical and Logical Purdue Segmentation: Fully isolate the plant floor OT environment (Purdue Levels 1–3) from enterprise internet traffic by implementing an explicit Industrial DMZ (Level 3.5).</w:t>
      </w:r>
    </w:p>
    <w:p w14:paraId="0210E6E3" w14:textId="77777777" w:rsidR="00367222" w:rsidRPr="00367222" w:rsidRDefault="00367222" w:rsidP="00367222">
      <w:pPr>
        <w:pStyle w:val="NormalWeb"/>
        <w:numPr>
          <w:ilvl w:val="0"/>
          <w:numId w:val="29"/>
        </w:numPr>
        <w:rPr>
          <w:rFonts w:asciiTheme="minorHAnsi" w:hAnsiTheme="minorHAnsi" w:cstheme="minorHAnsi"/>
        </w:rPr>
      </w:pPr>
      <w:r w:rsidRPr="00367222">
        <w:rPr>
          <w:rFonts w:asciiTheme="minorHAnsi" w:hAnsiTheme="minorHAnsi" w:cstheme="minorHAnsi"/>
        </w:rPr>
        <w:t>Deploy Hardware-Based MFA and Zero-Trust Access Controls: Mandate hardware security keys for all cloud PMS, corporate email, and remote administrative connections to neutralise credential-harvesting phishing campaigns.</w:t>
      </w:r>
    </w:p>
    <w:p w14:paraId="5D763561" w14:textId="77777777" w:rsidR="00367222" w:rsidRPr="00367222" w:rsidRDefault="00367222" w:rsidP="00367222">
      <w:pPr>
        <w:pStyle w:val="NormalWeb"/>
        <w:numPr>
          <w:ilvl w:val="0"/>
          <w:numId w:val="29"/>
        </w:numPr>
        <w:rPr>
          <w:rFonts w:asciiTheme="minorHAnsi" w:hAnsiTheme="minorHAnsi" w:cstheme="minorHAnsi"/>
        </w:rPr>
      </w:pPr>
      <w:r w:rsidRPr="00367222">
        <w:rPr>
          <w:rFonts w:asciiTheme="minorHAnsi" w:hAnsiTheme="minorHAnsi" w:cstheme="minorHAnsi"/>
        </w:rPr>
        <w:t>Establish Continuous Monitoring and Air-Gapped Resilience: Integrate 24/7 SIEM/XDR telemetry monitoring backed by WORM immutable offline backups to guarantee rapid operational recovery without paying ransoms in the event of a destructive attack.</w:t>
      </w:r>
    </w:p>
    <w:p w14:paraId="1AEABCCF" w14:textId="77777777" w:rsidR="00367222" w:rsidRPr="00367222" w:rsidRDefault="00367222" w:rsidP="00367222">
      <w:pPr>
        <w:pStyle w:val="NormalWeb"/>
        <w:rPr>
          <w:rFonts w:asciiTheme="minorHAnsi" w:hAnsiTheme="minorHAnsi" w:cstheme="minorHAnsi"/>
          <w:b/>
          <w:bCs/>
        </w:rPr>
      </w:pPr>
      <w:r w:rsidRPr="00367222">
        <w:rPr>
          <w:rFonts w:asciiTheme="minorHAnsi" w:hAnsiTheme="minorHAnsi" w:cstheme="minorHAnsi"/>
          <w:b/>
          <w:bCs/>
        </w:rPr>
        <w:t>References</w:t>
      </w:r>
    </w:p>
    <w:p w14:paraId="30C9AB1F"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 H. </w:t>
      </w:r>
      <w:proofErr w:type="spellStart"/>
      <w:r w:rsidRPr="00367222">
        <w:rPr>
          <w:rFonts w:asciiTheme="minorHAnsi" w:hAnsiTheme="minorHAnsi" w:cstheme="minorHAnsi"/>
        </w:rPr>
        <w:t>Lasi</w:t>
      </w:r>
      <w:proofErr w:type="spellEnd"/>
      <w:r w:rsidRPr="00367222">
        <w:rPr>
          <w:rFonts w:asciiTheme="minorHAnsi" w:hAnsiTheme="minorHAnsi" w:cstheme="minorHAnsi"/>
        </w:rPr>
        <w:t xml:space="preserve">, P. </w:t>
      </w:r>
      <w:proofErr w:type="spellStart"/>
      <w:r w:rsidRPr="00367222">
        <w:rPr>
          <w:rFonts w:asciiTheme="minorHAnsi" w:hAnsiTheme="minorHAnsi" w:cstheme="minorHAnsi"/>
        </w:rPr>
        <w:t>Fettke</w:t>
      </w:r>
      <w:proofErr w:type="spellEnd"/>
      <w:r w:rsidRPr="00367222">
        <w:rPr>
          <w:rFonts w:asciiTheme="minorHAnsi" w:hAnsiTheme="minorHAnsi" w:cstheme="minorHAnsi"/>
        </w:rPr>
        <w:t xml:space="preserve">, H. G. Kemper, T. Feld, and M. Hoffmann, "Industry 4.0," Business &amp; Information Systems Engineering, vol. 6, no. 4, pp. 239–242, 2014. </w:t>
      </w:r>
    </w:p>
    <w:p w14:paraId="4F0766B0"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[2] E. </w:t>
      </w:r>
      <w:proofErr w:type="spellStart"/>
      <w:r w:rsidRPr="00367222">
        <w:rPr>
          <w:rFonts w:asciiTheme="minorHAnsi" w:hAnsiTheme="minorHAnsi" w:cstheme="minorHAnsi"/>
        </w:rPr>
        <w:t>Sisinni</w:t>
      </w:r>
      <w:proofErr w:type="spellEnd"/>
      <w:r w:rsidRPr="00367222">
        <w:rPr>
          <w:rFonts w:asciiTheme="minorHAnsi" w:hAnsiTheme="minorHAnsi" w:cstheme="minorHAnsi"/>
        </w:rPr>
        <w:t xml:space="preserve">, A. Saifullah, S. Han, U. </w:t>
      </w:r>
      <w:proofErr w:type="spellStart"/>
      <w:r w:rsidRPr="00367222">
        <w:rPr>
          <w:rFonts w:asciiTheme="minorHAnsi" w:hAnsiTheme="minorHAnsi" w:cstheme="minorHAnsi"/>
        </w:rPr>
        <w:t>Jennehag</w:t>
      </w:r>
      <w:proofErr w:type="spellEnd"/>
      <w:r w:rsidRPr="00367222">
        <w:rPr>
          <w:rFonts w:asciiTheme="minorHAnsi" w:hAnsiTheme="minorHAnsi" w:cstheme="minorHAnsi"/>
        </w:rPr>
        <w:t xml:space="preserve">, and M. </w:t>
      </w:r>
      <w:proofErr w:type="spellStart"/>
      <w:r w:rsidRPr="00367222">
        <w:rPr>
          <w:rFonts w:asciiTheme="minorHAnsi" w:hAnsiTheme="minorHAnsi" w:cstheme="minorHAnsi"/>
        </w:rPr>
        <w:t>Gidlund</w:t>
      </w:r>
      <w:proofErr w:type="spellEnd"/>
      <w:r w:rsidRPr="00367222">
        <w:rPr>
          <w:rFonts w:asciiTheme="minorHAnsi" w:hAnsiTheme="minorHAnsi" w:cstheme="minorHAnsi"/>
        </w:rPr>
        <w:t xml:space="preserve">, "Industrial Internet of Things: Challenges, opportunities, and directions," IEEE Transactions on Industrial Informatics, vol. 14, no. 11, pp. 4724–4734, 2018. </w:t>
      </w:r>
    </w:p>
    <w:p w14:paraId="67A1731A"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[3] S. Zheng, "Intellectual property protection and industrial espionage in high-tech manufacturing," Journal of Cyber Security Technology, vol. 5, no. 2, pp. 89–104, 2021. </w:t>
      </w:r>
    </w:p>
    <w:p w14:paraId="4BA413FF"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[4] M. </w:t>
      </w:r>
      <w:proofErr w:type="spellStart"/>
      <w:r w:rsidRPr="00367222">
        <w:rPr>
          <w:rFonts w:asciiTheme="minorHAnsi" w:hAnsiTheme="minorHAnsi" w:cstheme="minorHAnsi"/>
        </w:rPr>
        <w:t>Yampolskiy</w:t>
      </w:r>
      <w:proofErr w:type="spellEnd"/>
      <w:r w:rsidRPr="00367222">
        <w:rPr>
          <w:rFonts w:asciiTheme="minorHAnsi" w:hAnsiTheme="minorHAnsi" w:cstheme="minorHAnsi"/>
        </w:rPr>
        <w:t xml:space="preserve"> et al., "Security characteristics of additive manufacturing: Analysis and implications," IEEE Security &amp; Privacy, vol. 16, no. 3, pp. 64–73, 2018. </w:t>
      </w:r>
    </w:p>
    <w:p w14:paraId="472D2F3B"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[5] Cybersecurity and Infrastructure Security Agency (CISA), "Ransomware threats to industrial control systems," CISA Insights, Tech. Rep. CISA-2021-0012, 2021. </w:t>
      </w:r>
    </w:p>
    <w:p w14:paraId="77439BEE"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[6] A. </w:t>
      </w:r>
      <w:proofErr w:type="spellStart"/>
      <w:r w:rsidRPr="00367222">
        <w:rPr>
          <w:rFonts w:asciiTheme="minorHAnsi" w:hAnsiTheme="minorHAnsi" w:cstheme="minorHAnsi"/>
        </w:rPr>
        <w:t>Humayed</w:t>
      </w:r>
      <w:proofErr w:type="spellEnd"/>
      <w:r w:rsidRPr="00367222">
        <w:rPr>
          <w:rFonts w:asciiTheme="minorHAnsi" w:hAnsiTheme="minorHAnsi" w:cstheme="minorHAnsi"/>
        </w:rPr>
        <w:t xml:space="preserve">, J. Lin, F. Li, and B. Luo, "Cyber-physical systems security: A survey," IEEE Internet of Things Journal, vol. 4, no. 6, pp. 1802–1831, 2017. </w:t>
      </w:r>
    </w:p>
    <w:p w14:paraId="655A9A1C"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[7] European Union Agency for Cybersecurity (ENISA), "ENISA threat landscape for supply chain attacks," ENISA Reports, Tech. Rep. 10.2824/49111, 2021. </w:t>
      </w:r>
    </w:p>
    <w:p w14:paraId="58652D88"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lastRenderedPageBreak/>
        <w:t xml:space="preserve">[8] R. </w:t>
      </w:r>
      <w:proofErr w:type="spellStart"/>
      <w:r w:rsidRPr="00367222">
        <w:rPr>
          <w:rFonts w:asciiTheme="minorHAnsi" w:hAnsiTheme="minorHAnsi" w:cstheme="minorHAnsi"/>
        </w:rPr>
        <w:t>Langner</w:t>
      </w:r>
      <w:proofErr w:type="spellEnd"/>
      <w:r w:rsidRPr="00367222">
        <w:rPr>
          <w:rFonts w:asciiTheme="minorHAnsi" w:hAnsiTheme="minorHAnsi" w:cstheme="minorHAnsi"/>
        </w:rPr>
        <w:t xml:space="preserve">, "To kill a centrifuge: A technical analysis of Stuxnet's OPC module," The </w:t>
      </w:r>
      <w:proofErr w:type="spellStart"/>
      <w:r w:rsidRPr="00367222">
        <w:rPr>
          <w:rFonts w:asciiTheme="minorHAnsi" w:hAnsiTheme="minorHAnsi" w:cstheme="minorHAnsi"/>
        </w:rPr>
        <w:t>Langner</w:t>
      </w:r>
      <w:proofErr w:type="spellEnd"/>
      <w:r w:rsidRPr="00367222">
        <w:rPr>
          <w:rFonts w:asciiTheme="minorHAnsi" w:hAnsiTheme="minorHAnsi" w:cstheme="minorHAnsi"/>
        </w:rPr>
        <w:t xml:space="preserve"> Group, Tech. Rep. 2013-01, 2013. </w:t>
      </w:r>
    </w:p>
    <w:p w14:paraId="15AA577D"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[9] International Organization for Standardization, Information security, cybersecurity and privacy protection — Information security management systems — Requirements, ISO/IEC Standard 27001:2022, Oct. 2022. </w:t>
      </w:r>
    </w:p>
    <w:p w14:paraId="4D4062A3"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[10] National Institute of Standards and Technology, The NIST Cybersecurity Framework (CSF) 2.0, NIST Special Publication 1280, Feb. 2024.</w:t>
      </w:r>
    </w:p>
    <w:p w14:paraId="48A0EA9F"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[11] S. Rose, O. Borchert, S. Mitchell, and S. Connelly, "Zero Trust Architecture," National Institute of Standards and Technology, Gaithersburg, MD, USA, NIST Special Publication 800-207, Aug. 2020. </w:t>
      </w:r>
    </w:p>
    <w:p w14:paraId="510AE674"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[12] P. Grassi, M. Garcia, and J. Fenton, "Digital Identity Guidelines: Authentication and Lifecycle Management," National Institute of Standards and Technology, Gaithersburg, MD, USA, NIST Special Publication 800-63B, Jun. 2017. </w:t>
      </w:r>
    </w:p>
    <w:p w14:paraId="3C1273EA"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[13] International Society of Automation, Security for industrial automation and control systems - Part 3-3: System security requirements and security levels, ISA/IEC Standard 62443-3-3, 2018. </w:t>
      </w:r>
    </w:p>
    <w:p w14:paraId="2B92A796"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[14] Regulation (EU) 2016/679 of the European Parliament and of the Council of 27 April 2016 on the protection of natural persons with regard to the processing of personal data (General Data Protection Regulation), Official Journal of the European Union, L 119, pp. 1–88, May 2016. </w:t>
      </w:r>
    </w:p>
    <w:p w14:paraId="499AD444"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[15] P. Mell and T. </w:t>
      </w:r>
      <w:proofErr w:type="spellStart"/>
      <w:r w:rsidRPr="00367222">
        <w:rPr>
          <w:rFonts w:asciiTheme="minorHAnsi" w:hAnsiTheme="minorHAnsi" w:cstheme="minorHAnsi"/>
        </w:rPr>
        <w:t>Grance</w:t>
      </w:r>
      <w:proofErr w:type="spellEnd"/>
      <w:r w:rsidRPr="00367222">
        <w:rPr>
          <w:rFonts w:asciiTheme="minorHAnsi" w:hAnsiTheme="minorHAnsi" w:cstheme="minorHAnsi"/>
        </w:rPr>
        <w:t xml:space="preserve">, "The NIST definition of cloud computing," National Institute of Standards and Technology, Gaithersburg, MD, USA, NIST Special Publication 800-145, Sep. 2011. </w:t>
      </w:r>
    </w:p>
    <w:p w14:paraId="116445AA"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[16] B. Miller and D. Rowe, "A survey of SCADA and critical infrastructure incidents," in Proc. 13th </w:t>
      </w:r>
      <w:proofErr w:type="spellStart"/>
      <w:r w:rsidRPr="00367222">
        <w:rPr>
          <w:rFonts w:asciiTheme="minorHAnsi" w:hAnsiTheme="minorHAnsi" w:cstheme="minorHAnsi"/>
        </w:rPr>
        <w:t>Annu</w:t>
      </w:r>
      <w:proofErr w:type="spellEnd"/>
      <w:r w:rsidRPr="00367222">
        <w:rPr>
          <w:rFonts w:asciiTheme="minorHAnsi" w:hAnsiTheme="minorHAnsi" w:cstheme="minorHAnsi"/>
        </w:rPr>
        <w:t xml:space="preserve">. Conf. Inf. Security Curriculum Courseware, 2012, pp. 47–56. </w:t>
      </w:r>
    </w:p>
    <w:p w14:paraId="24780C01" w14:textId="2C714B58" w:rsidR="00367222" w:rsidRDefault="00367222" w:rsidP="00367222">
      <w:pPr>
        <w:pStyle w:val="NormalWeb"/>
        <w:rPr>
          <w:rFonts w:asciiTheme="minorHAnsi" w:hAnsiTheme="minorHAnsi" w:cstheme="minorHAnsi"/>
        </w:rPr>
      </w:pPr>
      <w:r w:rsidRPr="00367222">
        <w:rPr>
          <w:rFonts w:asciiTheme="minorHAnsi" w:hAnsiTheme="minorHAnsi" w:cstheme="minorHAnsi"/>
        </w:rPr>
        <w:t>[17] G. A. Di Lucca, R. C. A. C. Silva, and A. A. G. de Siqueira, "</w:t>
      </w:r>
      <w:proofErr w:type="spellStart"/>
      <w:r w:rsidRPr="00367222">
        <w:rPr>
          <w:rFonts w:asciiTheme="minorHAnsi" w:hAnsiTheme="minorHAnsi" w:cstheme="minorHAnsi"/>
        </w:rPr>
        <w:t>Behavior</w:t>
      </w:r>
      <w:proofErr w:type="spellEnd"/>
      <w:r w:rsidRPr="00367222">
        <w:rPr>
          <w:rFonts w:asciiTheme="minorHAnsi" w:hAnsiTheme="minorHAnsi" w:cstheme="minorHAnsi"/>
        </w:rPr>
        <w:t>-based intrusion detection systems in industrial networks," IEEE Access, vol. 10, pp. 34120–34135, 2022.</w:t>
      </w:r>
    </w:p>
    <w:p w14:paraId="4D362AFE"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 [18] D. Crocker, "DomainKeys Identified Mail (DKIM) Signatures," RFC Editor, RFC 6376, Sep. 2011. </w:t>
      </w:r>
    </w:p>
    <w:p w14:paraId="7F7BB331" w14:textId="77777777" w:rsid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[19] W. Stallings, Effective Cybersecurity: A Guide to Using Best Practices and Standards. Boston, MA, USA: Addison-Wesley, 2018. </w:t>
      </w:r>
    </w:p>
    <w:p w14:paraId="51ECBE22" w14:textId="77777777" w:rsidR="008E5D43" w:rsidRDefault="00367222" w:rsidP="00367222">
      <w:pPr>
        <w:pStyle w:val="NormalWeb"/>
        <w:rPr>
          <w:rFonts w:asciiTheme="minorHAnsi" w:hAnsiTheme="minorHAnsi" w:cstheme="minorHAnsi"/>
        </w:rPr>
      </w:pPr>
      <w:r w:rsidRPr="00367222">
        <w:rPr>
          <w:rFonts w:asciiTheme="minorHAnsi" w:hAnsiTheme="minorHAnsi" w:cstheme="minorHAnsi"/>
        </w:rPr>
        <w:t>[20] C. Security, "Integrating SIEM and SOAR in industrial control environments," Journal of Critical Infrastructure Protection, vol. 14, no. 1, pp. 45–59, 2022.</w:t>
      </w:r>
    </w:p>
    <w:p w14:paraId="77D47FA9" w14:textId="77777777" w:rsidR="008E5D43" w:rsidRDefault="00367222" w:rsidP="00367222">
      <w:pPr>
        <w:pStyle w:val="NormalWeb"/>
        <w:rPr>
          <w:rFonts w:asciiTheme="minorHAnsi" w:hAnsiTheme="minorHAnsi" w:cstheme="minorHAnsi"/>
        </w:rPr>
      </w:pPr>
      <w:r w:rsidRPr="00367222">
        <w:rPr>
          <w:rFonts w:asciiTheme="minorHAnsi" w:hAnsiTheme="minorHAnsi" w:cstheme="minorHAnsi"/>
        </w:rPr>
        <w:lastRenderedPageBreak/>
        <w:t xml:space="preserve"> [21] P. </w:t>
      </w:r>
      <w:proofErr w:type="spellStart"/>
      <w:r w:rsidRPr="00367222">
        <w:rPr>
          <w:rFonts w:asciiTheme="minorHAnsi" w:hAnsiTheme="minorHAnsi" w:cstheme="minorHAnsi"/>
        </w:rPr>
        <w:t>Cichonski</w:t>
      </w:r>
      <w:proofErr w:type="spellEnd"/>
      <w:r w:rsidRPr="00367222">
        <w:rPr>
          <w:rFonts w:asciiTheme="minorHAnsi" w:hAnsiTheme="minorHAnsi" w:cstheme="minorHAnsi"/>
        </w:rPr>
        <w:t xml:space="preserve">, T. Millar, T. </w:t>
      </w:r>
      <w:proofErr w:type="spellStart"/>
      <w:r w:rsidRPr="00367222">
        <w:rPr>
          <w:rFonts w:asciiTheme="minorHAnsi" w:hAnsiTheme="minorHAnsi" w:cstheme="minorHAnsi"/>
        </w:rPr>
        <w:t>Grance</w:t>
      </w:r>
      <w:proofErr w:type="spellEnd"/>
      <w:r w:rsidRPr="00367222">
        <w:rPr>
          <w:rFonts w:asciiTheme="minorHAnsi" w:hAnsiTheme="minorHAnsi" w:cstheme="minorHAnsi"/>
        </w:rPr>
        <w:t xml:space="preserve">, and K. </w:t>
      </w:r>
      <w:proofErr w:type="spellStart"/>
      <w:r w:rsidRPr="00367222">
        <w:rPr>
          <w:rFonts w:asciiTheme="minorHAnsi" w:hAnsiTheme="minorHAnsi" w:cstheme="minorHAnsi"/>
        </w:rPr>
        <w:t>Scarfone</w:t>
      </w:r>
      <w:proofErr w:type="spellEnd"/>
      <w:r w:rsidRPr="00367222">
        <w:rPr>
          <w:rFonts w:asciiTheme="minorHAnsi" w:hAnsiTheme="minorHAnsi" w:cstheme="minorHAnsi"/>
        </w:rPr>
        <w:t>, "Computer Security Incident Handling Guide," National Institute of Standards and Technology, Gaithersburg, MD, USA, NIST Special Publication 800-61 Revision 2, Aug. 2012.</w:t>
      </w:r>
    </w:p>
    <w:p w14:paraId="3A5A1143" w14:textId="0246F93E" w:rsidR="00367222" w:rsidRPr="00367222" w:rsidRDefault="00367222" w:rsidP="00367222">
      <w:pPr>
        <w:pStyle w:val="NormalWeb"/>
        <w:rPr>
          <w:rFonts w:asciiTheme="minorHAnsi" w:hAnsiTheme="minorHAnsi" w:cstheme="minorHAnsi"/>
        </w:rPr>
      </w:pPr>
      <w:r w:rsidRPr="00367222">
        <w:rPr>
          <w:rFonts w:asciiTheme="minorHAnsi" w:hAnsiTheme="minorHAnsi" w:cstheme="minorHAnsi"/>
        </w:rPr>
        <w:t xml:space="preserve"> [22] Verizon, "2023 Data Breach Investigations Report," Verizon Business Security Solutions, Tech. Rep. DBIR-2023, May 2023.</w:t>
      </w:r>
    </w:p>
    <w:p w14:paraId="10650D0F" w14:textId="015F0F0D" w:rsidR="00DF4526" w:rsidRPr="00B83F8B" w:rsidRDefault="00735E38">
      <w:pPr>
        <w:rPr>
          <w:rFonts w:cstheme="minorHAnsi"/>
          <w:b/>
          <w:bCs/>
          <w:sz w:val="24"/>
          <w:szCs w:val="24"/>
        </w:rPr>
      </w:pPr>
      <w:r w:rsidRPr="00B83F8B">
        <w:rPr>
          <w:rFonts w:cstheme="minorHAnsi"/>
          <w:b/>
          <w:bCs/>
          <w:sz w:val="24"/>
          <w:szCs w:val="24"/>
        </w:rPr>
        <w:t>Appendix</w:t>
      </w:r>
    </w:p>
    <w:p w14:paraId="3CF87084" w14:textId="19438A87" w:rsidR="00B83F8B" w:rsidRPr="00B83F8B" w:rsidRDefault="00B83F8B" w:rsidP="00B83F8B">
      <w:pPr>
        <w:pStyle w:val="NormalWeb"/>
        <w:rPr>
          <w:rFonts w:asciiTheme="minorHAnsi" w:hAnsiTheme="minorHAnsi" w:cstheme="minorHAnsi"/>
        </w:rPr>
      </w:pPr>
      <w:r w:rsidRPr="00B83F8B">
        <w:rPr>
          <w:rFonts w:asciiTheme="minorHAnsi" w:hAnsiTheme="minorHAnsi" w:cstheme="minorHAnsi"/>
          <w:b/>
          <w:bCs/>
          <w:noProof/>
        </w:rPr>
        <w:drawing>
          <wp:anchor distT="0" distB="0" distL="114300" distR="114300" simplePos="0" relativeHeight="251665408" behindDoc="1" locked="0" layoutInCell="1" allowOverlap="1" wp14:anchorId="62EDE04E" wp14:editId="05318F04">
            <wp:simplePos x="0" y="0"/>
            <wp:positionH relativeFrom="margin">
              <wp:align>right</wp:align>
            </wp:positionH>
            <wp:positionV relativeFrom="paragraph">
              <wp:posOffset>381635</wp:posOffset>
            </wp:positionV>
            <wp:extent cx="5731510" cy="3243580"/>
            <wp:effectExtent l="0" t="0" r="2540" b="0"/>
            <wp:wrapTight wrapText="bothSides">
              <wp:wrapPolygon edited="0">
                <wp:start x="0" y="0"/>
                <wp:lineTo x="0" y="21439"/>
                <wp:lineTo x="21538" y="2143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14:sizeRelH relativeFrom="page">
              <wp14:pctWidth>0</wp14:pctWidth>
            </wp14:sizeRelH>
            <wp14:sizeRelV relativeFrom="page">
              <wp14:pctHeight>0</wp14:pctHeight>
            </wp14:sizeRelV>
          </wp:anchor>
        </w:drawing>
      </w:r>
      <w:r w:rsidRPr="00B83F8B">
        <w:rPr>
          <w:rFonts w:asciiTheme="minorHAnsi" w:hAnsiTheme="minorHAnsi" w:cstheme="minorHAnsi"/>
          <w:b/>
          <w:bCs/>
        </w:rPr>
        <w:t>Figure A1:</w:t>
      </w:r>
      <w:r w:rsidRPr="00B83F8B">
        <w:rPr>
          <w:rFonts w:asciiTheme="minorHAnsi" w:hAnsiTheme="minorHAnsi" w:cstheme="minorHAnsi"/>
        </w:rPr>
        <w:t xml:space="preserve"> Board Presentation Slide 1 – Title &amp; Executive Introduction</w:t>
      </w:r>
    </w:p>
    <w:p w14:paraId="259AC237" w14:textId="0CF3747C" w:rsidR="00B83F8B" w:rsidRPr="00B83F8B" w:rsidRDefault="00B83F8B">
      <w:pPr>
        <w:rPr>
          <w:rFonts w:cstheme="minorHAnsi"/>
        </w:rPr>
      </w:pPr>
      <w:r w:rsidRPr="00B83F8B">
        <w:rPr>
          <w:rFonts w:cstheme="minorHAnsi"/>
          <w:b/>
          <w:bCs/>
          <w:noProof/>
          <w:sz w:val="24"/>
          <w:szCs w:val="24"/>
        </w:rPr>
        <w:drawing>
          <wp:anchor distT="0" distB="0" distL="114300" distR="114300" simplePos="0" relativeHeight="251666432" behindDoc="1" locked="0" layoutInCell="1" allowOverlap="1" wp14:anchorId="4DDCBB3C" wp14:editId="3D695520">
            <wp:simplePos x="0" y="0"/>
            <wp:positionH relativeFrom="margin">
              <wp:align>right</wp:align>
            </wp:positionH>
            <wp:positionV relativeFrom="paragraph">
              <wp:posOffset>3526155</wp:posOffset>
            </wp:positionV>
            <wp:extent cx="5731510" cy="3086100"/>
            <wp:effectExtent l="0" t="0" r="2540" b="0"/>
            <wp:wrapTight wrapText="bothSides">
              <wp:wrapPolygon edited="0">
                <wp:start x="0" y="0"/>
                <wp:lineTo x="0" y="21467"/>
                <wp:lineTo x="21538" y="21467"/>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14:sizeRelH relativeFrom="page">
              <wp14:pctWidth>0</wp14:pctWidth>
            </wp14:sizeRelH>
            <wp14:sizeRelV relativeFrom="page">
              <wp14:pctHeight>0</wp14:pctHeight>
            </wp14:sizeRelV>
          </wp:anchor>
        </w:drawing>
      </w:r>
      <w:r w:rsidRPr="00B83F8B">
        <w:rPr>
          <w:rFonts w:cstheme="minorHAnsi"/>
          <w:b/>
          <w:bCs/>
        </w:rPr>
        <w:t>Figure A2:</w:t>
      </w:r>
      <w:r w:rsidRPr="00B83F8B">
        <w:rPr>
          <w:rFonts w:cstheme="minorHAnsi"/>
        </w:rPr>
        <w:t xml:space="preserve"> Board Presentation Slide 2 – Executive Summary &amp; Business Risks</w:t>
      </w:r>
    </w:p>
    <w:p w14:paraId="72D40F9E" w14:textId="77777777" w:rsidR="00B83F8B" w:rsidRPr="00B83F8B" w:rsidRDefault="00B83F8B">
      <w:pPr>
        <w:rPr>
          <w:rFonts w:cstheme="minorHAnsi"/>
          <w:b/>
          <w:bCs/>
        </w:rPr>
      </w:pPr>
    </w:p>
    <w:p w14:paraId="72C873F0" w14:textId="6C5F3448" w:rsidR="00B83F8B" w:rsidRPr="00B83F8B" w:rsidRDefault="00B83F8B">
      <w:pPr>
        <w:rPr>
          <w:rFonts w:cstheme="minorHAnsi"/>
          <w:b/>
          <w:bCs/>
          <w:sz w:val="24"/>
          <w:szCs w:val="24"/>
        </w:rPr>
      </w:pPr>
      <w:r w:rsidRPr="00B83F8B">
        <w:rPr>
          <w:rFonts w:cstheme="minorHAnsi"/>
          <w:b/>
          <w:bCs/>
          <w:noProof/>
          <w:sz w:val="24"/>
          <w:szCs w:val="24"/>
        </w:rPr>
        <w:lastRenderedPageBreak/>
        <w:drawing>
          <wp:anchor distT="0" distB="0" distL="114300" distR="114300" simplePos="0" relativeHeight="251667456" behindDoc="1" locked="0" layoutInCell="1" allowOverlap="1" wp14:anchorId="3D9E5CE1" wp14:editId="1B65B152">
            <wp:simplePos x="0" y="0"/>
            <wp:positionH relativeFrom="margin">
              <wp:align>right</wp:align>
            </wp:positionH>
            <wp:positionV relativeFrom="paragraph">
              <wp:posOffset>254635</wp:posOffset>
            </wp:positionV>
            <wp:extent cx="5731510" cy="3154680"/>
            <wp:effectExtent l="0" t="0" r="2540" b="7620"/>
            <wp:wrapTight wrapText="bothSides">
              <wp:wrapPolygon edited="0">
                <wp:start x="0" y="0"/>
                <wp:lineTo x="0" y="21522"/>
                <wp:lineTo x="21538" y="21522"/>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14:sizeRelH relativeFrom="page">
              <wp14:pctWidth>0</wp14:pctWidth>
            </wp14:sizeRelH>
            <wp14:sizeRelV relativeFrom="page">
              <wp14:pctHeight>0</wp14:pctHeight>
            </wp14:sizeRelV>
          </wp:anchor>
        </w:drawing>
      </w:r>
      <w:r w:rsidRPr="00B83F8B">
        <w:rPr>
          <w:rFonts w:cstheme="minorHAnsi"/>
          <w:b/>
          <w:bCs/>
        </w:rPr>
        <w:t>Figure A3:</w:t>
      </w:r>
      <w:r w:rsidRPr="00B83F8B">
        <w:rPr>
          <w:rFonts w:cstheme="minorHAnsi"/>
        </w:rPr>
        <w:t xml:space="preserve"> Board Presentation Slide 3 – Threat Landscape Facing SFM</w:t>
      </w:r>
    </w:p>
    <w:p w14:paraId="0EDC8FF1" w14:textId="17818F10" w:rsidR="00B83F8B" w:rsidRPr="00B83F8B" w:rsidRDefault="00B83F8B">
      <w:pPr>
        <w:rPr>
          <w:rFonts w:cstheme="minorHAnsi"/>
          <w:b/>
          <w:bCs/>
          <w:sz w:val="24"/>
          <w:szCs w:val="24"/>
        </w:rPr>
      </w:pPr>
    </w:p>
    <w:p w14:paraId="290404AF" w14:textId="6FDD2CCB" w:rsidR="00B83F8B" w:rsidRPr="00B83F8B" w:rsidRDefault="00B83F8B" w:rsidP="00B83F8B">
      <w:pPr>
        <w:pStyle w:val="NormalWeb"/>
        <w:rPr>
          <w:rFonts w:asciiTheme="minorHAnsi" w:hAnsiTheme="minorHAnsi" w:cstheme="minorHAnsi"/>
        </w:rPr>
      </w:pPr>
      <w:r>
        <w:rPr>
          <w:rFonts w:cstheme="minorHAnsi"/>
          <w:b/>
          <w:bCs/>
          <w:noProof/>
        </w:rPr>
        <w:drawing>
          <wp:anchor distT="0" distB="0" distL="114300" distR="114300" simplePos="0" relativeHeight="251668480" behindDoc="1" locked="0" layoutInCell="1" allowOverlap="1" wp14:anchorId="5694953A" wp14:editId="130C4CE7">
            <wp:simplePos x="0" y="0"/>
            <wp:positionH relativeFrom="margin">
              <wp:align>right</wp:align>
            </wp:positionH>
            <wp:positionV relativeFrom="paragraph">
              <wp:posOffset>417195</wp:posOffset>
            </wp:positionV>
            <wp:extent cx="5731510" cy="3218180"/>
            <wp:effectExtent l="0" t="0" r="2540" b="1270"/>
            <wp:wrapTight wrapText="bothSides">
              <wp:wrapPolygon edited="0">
                <wp:start x="0" y="0"/>
                <wp:lineTo x="0" y="21481"/>
                <wp:lineTo x="21538" y="21481"/>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14:sizeRelH relativeFrom="page">
              <wp14:pctWidth>0</wp14:pctWidth>
            </wp14:sizeRelH>
            <wp14:sizeRelV relativeFrom="page">
              <wp14:pctHeight>0</wp14:pctHeight>
            </wp14:sizeRelV>
          </wp:anchor>
        </w:drawing>
      </w:r>
      <w:r w:rsidRPr="00B83F8B">
        <w:rPr>
          <w:rFonts w:asciiTheme="minorHAnsi" w:hAnsiTheme="minorHAnsi" w:cstheme="minorHAnsi"/>
          <w:b/>
          <w:bCs/>
        </w:rPr>
        <w:t>Figure A4:</w:t>
      </w:r>
      <w:r w:rsidRPr="00B83F8B">
        <w:rPr>
          <w:rFonts w:asciiTheme="minorHAnsi" w:hAnsiTheme="minorHAnsi" w:cstheme="minorHAnsi"/>
        </w:rPr>
        <w:t xml:space="preserve"> Board Presentation Slide 4 – Strategic Governance Policies</w:t>
      </w:r>
    </w:p>
    <w:p w14:paraId="48D502E9" w14:textId="562EE2CB" w:rsidR="00B83F8B" w:rsidRDefault="00B83F8B">
      <w:pPr>
        <w:rPr>
          <w:rFonts w:cstheme="minorHAnsi"/>
          <w:b/>
          <w:bCs/>
          <w:sz w:val="24"/>
          <w:szCs w:val="24"/>
        </w:rPr>
      </w:pPr>
    </w:p>
    <w:p w14:paraId="02868A02" w14:textId="2159E9A9" w:rsidR="00B83F8B" w:rsidRDefault="00B83F8B">
      <w:pPr>
        <w:rPr>
          <w:rFonts w:cstheme="minorHAnsi"/>
          <w:b/>
          <w:bCs/>
          <w:sz w:val="24"/>
          <w:szCs w:val="24"/>
        </w:rPr>
      </w:pPr>
    </w:p>
    <w:p w14:paraId="36D12424" w14:textId="59EEF5C9" w:rsidR="00735E38" w:rsidRDefault="00735E38">
      <w:pPr>
        <w:rPr>
          <w:rFonts w:cstheme="minorHAnsi"/>
          <w:b/>
          <w:bCs/>
          <w:sz w:val="24"/>
          <w:szCs w:val="24"/>
        </w:rPr>
      </w:pPr>
    </w:p>
    <w:p w14:paraId="3F57FEE1" w14:textId="42472D08" w:rsidR="00B83F8B" w:rsidRDefault="00B83F8B">
      <w:pPr>
        <w:rPr>
          <w:rFonts w:cstheme="minorHAnsi"/>
          <w:b/>
          <w:bCs/>
          <w:sz w:val="24"/>
          <w:szCs w:val="24"/>
        </w:rPr>
      </w:pPr>
    </w:p>
    <w:p w14:paraId="3F97588F" w14:textId="50F1EA8F" w:rsidR="00B83F8B" w:rsidRDefault="00B83F8B">
      <w:pPr>
        <w:rPr>
          <w:rFonts w:cstheme="minorHAnsi"/>
          <w:b/>
          <w:bCs/>
          <w:sz w:val="24"/>
          <w:szCs w:val="24"/>
        </w:rPr>
      </w:pPr>
      <w:r>
        <w:rPr>
          <w:rFonts w:cstheme="minorHAnsi"/>
          <w:b/>
          <w:bCs/>
          <w:noProof/>
          <w:sz w:val="24"/>
          <w:szCs w:val="24"/>
        </w:rPr>
        <w:lastRenderedPageBreak/>
        <w:drawing>
          <wp:anchor distT="0" distB="0" distL="114300" distR="114300" simplePos="0" relativeHeight="251669504" behindDoc="1" locked="0" layoutInCell="1" allowOverlap="1" wp14:anchorId="29742610" wp14:editId="6BC04C42">
            <wp:simplePos x="0" y="0"/>
            <wp:positionH relativeFrom="margin">
              <wp:align>right</wp:align>
            </wp:positionH>
            <wp:positionV relativeFrom="paragraph">
              <wp:posOffset>330835</wp:posOffset>
            </wp:positionV>
            <wp:extent cx="5731510" cy="3233420"/>
            <wp:effectExtent l="0" t="0" r="2540" b="5080"/>
            <wp:wrapTight wrapText="bothSides">
              <wp:wrapPolygon edited="0">
                <wp:start x="0" y="0"/>
                <wp:lineTo x="0" y="21507"/>
                <wp:lineTo x="21538" y="21507"/>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14:sizeRelH relativeFrom="page">
              <wp14:pctWidth>0</wp14:pctWidth>
            </wp14:sizeRelH>
            <wp14:sizeRelV relativeFrom="page">
              <wp14:pctHeight>0</wp14:pctHeight>
            </wp14:sizeRelV>
          </wp:anchor>
        </w:drawing>
      </w:r>
      <w:r>
        <w:rPr>
          <w:b/>
          <w:bCs/>
        </w:rPr>
        <w:t>Figure A5:</w:t>
      </w:r>
      <w:r>
        <w:t xml:space="preserve"> Board Presentation Slide 5 – 24/7 Threat Visibility and Recover</w:t>
      </w:r>
    </w:p>
    <w:p w14:paraId="12508729" w14:textId="36FACD15" w:rsidR="00B83F8B" w:rsidRDefault="00B83F8B">
      <w:pPr>
        <w:rPr>
          <w:rFonts w:cstheme="minorHAnsi"/>
          <w:b/>
          <w:bCs/>
          <w:sz w:val="24"/>
          <w:szCs w:val="24"/>
        </w:rPr>
      </w:pPr>
    </w:p>
    <w:p w14:paraId="2C83FBF3" w14:textId="77777777" w:rsidR="00B83F8B" w:rsidRDefault="00B83F8B" w:rsidP="00B83F8B">
      <w:pPr>
        <w:pStyle w:val="NormalWeb"/>
      </w:pPr>
      <w:r>
        <w:rPr>
          <w:b/>
          <w:bCs/>
        </w:rPr>
        <w:t>Figure A6:</w:t>
      </w:r>
      <w:r>
        <w:t xml:space="preserve"> Board Presentation Slide 6 – Execution Phases and Board Recommendation</w:t>
      </w:r>
    </w:p>
    <w:p w14:paraId="5DE9A615" w14:textId="08AFA9A0" w:rsidR="00B83F8B" w:rsidRPr="00B83F8B" w:rsidRDefault="00B83F8B">
      <w:pPr>
        <w:rPr>
          <w:rFonts w:cstheme="minorHAnsi"/>
          <w:b/>
          <w:bCs/>
          <w:sz w:val="24"/>
          <w:szCs w:val="24"/>
        </w:rPr>
      </w:pPr>
      <w:r>
        <w:rPr>
          <w:rFonts w:cstheme="minorHAnsi"/>
          <w:b/>
          <w:bCs/>
          <w:noProof/>
          <w:sz w:val="24"/>
          <w:szCs w:val="24"/>
        </w:rPr>
        <w:drawing>
          <wp:anchor distT="0" distB="0" distL="114300" distR="114300" simplePos="0" relativeHeight="251670528" behindDoc="1" locked="0" layoutInCell="1" allowOverlap="1" wp14:anchorId="560B123A" wp14:editId="3D274BF1">
            <wp:simplePos x="0" y="0"/>
            <wp:positionH relativeFrom="column">
              <wp:posOffset>0</wp:posOffset>
            </wp:positionH>
            <wp:positionV relativeFrom="paragraph">
              <wp:posOffset>-3175</wp:posOffset>
            </wp:positionV>
            <wp:extent cx="5731510" cy="3201035"/>
            <wp:effectExtent l="0" t="0" r="2540" b="0"/>
            <wp:wrapTight wrapText="bothSides">
              <wp:wrapPolygon edited="0">
                <wp:start x="0" y="0"/>
                <wp:lineTo x="0" y="21467"/>
                <wp:lineTo x="21538" y="21467"/>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14:sizeRelH relativeFrom="page">
              <wp14:pctWidth>0</wp14:pctWidth>
            </wp14:sizeRelH>
            <wp14:sizeRelV relativeFrom="page">
              <wp14:pctHeight>0</wp14:pctHeight>
            </wp14:sizeRelV>
          </wp:anchor>
        </w:drawing>
      </w:r>
    </w:p>
    <w:sectPr w:rsidR="00B83F8B" w:rsidRPr="00B83F8B" w:rsidSect="00FC76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FCB6A" w14:textId="77777777" w:rsidR="00C747CB" w:rsidRDefault="00C747CB" w:rsidP="00B83F8B">
      <w:pPr>
        <w:spacing w:after="0" w:line="240" w:lineRule="auto"/>
      </w:pPr>
      <w:r>
        <w:separator/>
      </w:r>
    </w:p>
  </w:endnote>
  <w:endnote w:type="continuationSeparator" w:id="0">
    <w:p w14:paraId="542242C6" w14:textId="77777777" w:rsidR="00C747CB" w:rsidRDefault="00C747CB" w:rsidP="00B83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98010" w14:textId="77777777" w:rsidR="00C747CB" w:rsidRDefault="00C747CB" w:rsidP="00B83F8B">
      <w:pPr>
        <w:spacing w:after="0" w:line="240" w:lineRule="auto"/>
      </w:pPr>
      <w:r>
        <w:separator/>
      </w:r>
    </w:p>
  </w:footnote>
  <w:footnote w:type="continuationSeparator" w:id="0">
    <w:p w14:paraId="23FF24C9" w14:textId="77777777" w:rsidR="00C747CB" w:rsidRDefault="00C747CB" w:rsidP="00B83F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6A46"/>
    <w:multiLevelType w:val="multilevel"/>
    <w:tmpl w:val="AD5C47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78135E"/>
    <w:multiLevelType w:val="multilevel"/>
    <w:tmpl w:val="44083D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F26FA7"/>
    <w:multiLevelType w:val="multilevel"/>
    <w:tmpl w:val="3964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906F7"/>
    <w:multiLevelType w:val="multilevel"/>
    <w:tmpl w:val="E752C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07E4B"/>
    <w:multiLevelType w:val="multilevel"/>
    <w:tmpl w:val="D2AA6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605B3"/>
    <w:multiLevelType w:val="multilevel"/>
    <w:tmpl w:val="BACC9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C8694B"/>
    <w:multiLevelType w:val="multilevel"/>
    <w:tmpl w:val="48C2B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27C23"/>
    <w:multiLevelType w:val="multilevel"/>
    <w:tmpl w:val="51D4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5C5C10"/>
    <w:multiLevelType w:val="multilevel"/>
    <w:tmpl w:val="417ED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0677F6"/>
    <w:multiLevelType w:val="multilevel"/>
    <w:tmpl w:val="E80E20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2F3944"/>
    <w:multiLevelType w:val="multilevel"/>
    <w:tmpl w:val="68167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A961B2"/>
    <w:multiLevelType w:val="multilevel"/>
    <w:tmpl w:val="8F5C2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DF6B37"/>
    <w:multiLevelType w:val="multilevel"/>
    <w:tmpl w:val="DF1E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9E6B2B"/>
    <w:multiLevelType w:val="multilevel"/>
    <w:tmpl w:val="5D8E7A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8C0D27"/>
    <w:multiLevelType w:val="multilevel"/>
    <w:tmpl w:val="7C02E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6939CE"/>
    <w:multiLevelType w:val="multilevel"/>
    <w:tmpl w:val="B3903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1A00DA"/>
    <w:multiLevelType w:val="multilevel"/>
    <w:tmpl w:val="B296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AC6D96"/>
    <w:multiLevelType w:val="multilevel"/>
    <w:tmpl w:val="D350602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DD12B8"/>
    <w:multiLevelType w:val="multilevel"/>
    <w:tmpl w:val="A158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D12DA6"/>
    <w:multiLevelType w:val="multilevel"/>
    <w:tmpl w:val="E11EF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0F3EC5"/>
    <w:multiLevelType w:val="multilevel"/>
    <w:tmpl w:val="8E2A4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4639E3"/>
    <w:multiLevelType w:val="multilevel"/>
    <w:tmpl w:val="EFD670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8E2223"/>
    <w:multiLevelType w:val="multilevel"/>
    <w:tmpl w:val="96DE27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C2807F5"/>
    <w:multiLevelType w:val="multilevel"/>
    <w:tmpl w:val="CF6257E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99759A"/>
    <w:multiLevelType w:val="multilevel"/>
    <w:tmpl w:val="B6929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153A67"/>
    <w:multiLevelType w:val="multilevel"/>
    <w:tmpl w:val="7902C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D80643"/>
    <w:multiLevelType w:val="multilevel"/>
    <w:tmpl w:val="C6265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8B0AD8"/>
    <w:multiLevelType w:val="multilevel"/>
    <w:tmpl w:val="50CADF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305CFB"/>
    <w:multiLevelType w:val="multilevel"/>
    <w:tmpl w:val="8A9AC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0"/>
  </w:num>
  <w:num w:numId="3">
    <w:abstractNumId w:val="18"/>
  </w:num>
  <w:num w:numId="4">
    <w:abstractNumId w:val="1"/>
  </w:num>
  <w:num w:numId="5">
    <w:abstractNumId w:val="25"/>
  </w:num>
  <w:num w:numId="6">
    <w:abstractNumId w:val="20"/>
  </w:num>
  <w:num w:numId="7">
    <w:abstractNumId w:val="0"/>
  </w:num>
  <w:num w:numId="8">
    <w:abstractNumId w:val="14"/>
  </w:num>
  <w:num w:numId="9">
    <w:abstractNumId w:val="11"/>
  </w:num>
  <w:num w:numId="10">
    <w:abstractNumId w:val="21"/>
  </w:num>
  <w:num w:numId="11">
    <w:abstractNumId w:val="9"/>
  </w:num>
  <w:num w:numId="12">
    <w:abstractNumId w:val="5"/>
  </w:num>
  <w:num w:numId="13">
    <w:abstractNumId w:val="28"/>
  </w:num>
  <w:num w:numId="14">
    <w:abstractNumId w:val="17"/>
  </w:num>
  <w:num w:numId="15">
    <w:abstractNumId w:val="3"/>
  </w:num>
  <w:num w:numId="16">
    <w:abstractNumId w:val="23"/>
  </w:num>
  <w:num w:numId="17">
    <w:abstractNumId w:val="26"/>
  </w:num>
  <w:num w:numId="18">
    <w:abstractNumId w:val="22"/>
  </w:num>
  <w:num w:numId="19">
    <w:abstractNumId w:val="6"/>
  </w:num>
  <w:num w:numId="20">
    <w:abstractNumId w:val="12"/>
  </w:num>
  <w:num w:numId="21">
    <w:abstractNumId w:val="15"/>
  </w:num>
  <w:num w:numId="22">
    <w:abstractNumId w:val="27"/>
  </w:num>
  <w:num w:numId="23">
    <w:abstractNumId w:val="16"/>
  </w:num>
  <w:num w:numId="24">
    <w:abstractNumId w:val="24"/>
  </w:num>
  <w:num w:numId="25">
    <w:abstractNumId w:val="13"/>
  </w:num>
  <w:num w:numId="26">
    <w:abstractNumId w:val="2"/>
  </w:num>
  <w:num w:numId="27">
    <w:abstractNumId w:val="7"/>
  </w:num>
  <w:num w:numId="28">
    <w:abstractNumId w:val="19"/>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34E"/>
    <w:rsid w:val="00367222"/>
    <w:rsid w:val="00583119"/>
    <w:rsid w:val="00591F62"/>
    <w:rsid w:val="006A0EBE"/>
    <w:rsid w:val="006C751A"/>
    <w:rsid w:val="0073234E"/>
    <w:rsid w:val="00735E38"/>
    <w:rsid w:val="00834177"/>
    <w:rsid w:val="008E5D43"/>
    <w:rsid w:val="00B83F8B"/>
    <w:rsid w:val="00BE6786"/>
    <w:rsid w:val="00C07D7D"/>
    <w:rsid w:val="00C747CB"/>
    <w:rsid w:val="00DD5DD0"/>
    <w:rsid w:val="00DF4526"/>
    <w:rsid w:val="00FC7648"/>
    <w:rsid w:val="00FE6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BDF81"/>
  <w15:chartTrackingRefBased/>
  <w15:docId w15:val="{577EBB38-5186-473B-81B0-D43256C45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D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23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5">
    <w:name w:val="citation-5"/>
    <w:basedOn w:val="DefaultParagraphFont"/>
    <w:rsid w:val="0073234E"/>
  </w:style>
  <w:style w:type="character" w:customStyle="1" w:styleId="citation-4">
    <w:name w:val="citation-4"/>
    <w:basedOn w:val="DefaultParagraphFont"/>
    <w:rsid w:val="0073234E"/>
  </w:style>
  <w:style w:type="character" w:customStyle="1" w:styleId="citation-3">
    <w:name w:val="citation-3"/>
    <w:basedOn w:val="DefaultParagraphFont"/>
    <w:rsid w:val="0073234E"/>
  </w:style>
  <w:style w:type="character" w:customStyle="1" w:styleId="Heading1Char">
    <w:name w:val="Heading 1 Char"/>
    <w:basedOn w:val="DefaultParagraphFont"/>
    <w:link w:val="Heading1"/>
    <w:uiPriority w:val="9"/>
    <w:rsid w:val="00FE6D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6DA9"/>
    <w:pPr>
      <w:outlineLvl w:val="9"/>
    </w:pPr>
    <w:rPr>
      <w:lang w:eastAsia="en-GB"/>
    </w:rPr>
  </w:style>
  <w:style w:type="paragraph" w:styleId="NoSpacing">
    <w:name w:val="No Spacing"/>
    <w:link w:val="NoSpacingChar"/>
    <w:uiPriority w:val="1"/>
    <w:qFormat/>
    <w:rsid w:val="00FC764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FC7648"/>
    <w:rPr>
      <w:rFonts w:eastAsiaTheme="minorEastAsia"/>
      <w:lang w:eastAsia="en-GB"/>
    </w:rPr>
  </w:style>
  <w:style w:type="paragraph" w:styleId="Header">
    <w:name w:val="header"/>
    <w:basedOn w:val="Normal"/>
    <w:link w:val="HeaderChar"/>
    <w:uiPriority w:val="99"/>
    <w:unhideWhenUsed/>
    <w:rsid w:val="00B83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F8B"/>
  </w:style>
  <w:style w:type="paragraph" w:styleId="Footer">
    <w:name w:val="footer"/>
    <w:basedOn w:val="Normal"/>
    <w:link w:val="FooterChar"/>
    <w:uiPriority w:val="99"/>
    <w:unhideWhenUsed/>
    <w:rsid w:val="00B83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F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660098">
      <w:bodyDiv w:val="1"/>
      <w:marLeft w:val="0"/>
      <w:marRight w:val="0"/>
      <w:marTop w:val="0"/>
      <w:marBottom w:val="0"/>
      <w:divBdr>
        <w:top w:val="none" w:sz="0" w:space="0" w:color="auto"/>
        <w:left w:val="none" w:sz="0" w:space="0" w:color="auto"/>
        <w:bottom w:val="none" w:sz="0" w:space="0" w:color="auto"/>
        <w:right w:val="none" w:sz="0" w:space="0" w:color="auto"/>
      </w:divBdr>
    </w:div>
    <w:div w:id="1136338329">
      <w:bodyDiv w:val="1"/>
      <w:marLeft w:val="0"/>
      <w:marRight w:val="0"/>
      <w:marTop w:val="0"/>
      <w:marBottom w:val="0"/>
      <w:divBdr>
        <w:top w:val="none" w:sz="0" w:space="0" w:color="auto"/>
        <w:left w:val="none" w:sz="0" w:space="0" w:color="auto"/>
        <w:bottom w:val="none" w:sz="0" w:space="0" w:color="auto"/>
        <w:right w:val="none" w:sz="0" w:space="0" w:color="auto"/>
      </w:divBdr>
    </w:div>
    <w:div w:id="1145395437">
      <w:bodyDiv w:val="1"/>
      <w:marLeft w:val="0"/>
      <w:marRight w:val="0"/>
      <w:marTop w:val="0"/>
      <w:marBottom w:val="0"/>
      <w:divBdr>
        <w:top w:val="none" w:sz="0" w:space="0" w:color="auto"/>
        <w:left w:val="none" w:sz="0" w:space="0" w:color="auto"/>
        <w:bottom w:val="none" w:sz="0" w:space="0" w:color="auto"/>
        <w:right w:val="none" w:sz="0" w:space="0" w:color="auto"/>
      </w:divBdr>
    </w:div>
    <w:div w:id="1625967939">
      <w:bodyDiv w:val="1"/>
      <w:marLeft w:val="0"/>
      <w:marRight w:val="0"/>
      <w:marTop w:val="0"/>
      <w:marBottom w:val="0"/>
      <w:divBdr>
        <w:top w:val="none" w:sz="0" w:space="0" w:color="auto"/>
        <w:left w:val="none" w:sz="0" w:space="0" w:color="auto"/>
        <w:bottom w:val="none" w:sz="0" w:space="0" w:color="auto"/>
        <w:right w:val="none" w:sz="0" w:space="0" w:color="auto"/>
      </w:divBdr>
    </w:div>
    <w:div w:id="1683893555">
      <w:bodyDiv w:val="1"/>
      <w:marLeft w:val="0"/>
      <w:marRight w:val="0"/>
      <w:marTop w:val="0"/>
      <w:marBottom w:val="0"/>
      <w:divBdr>
        <w:top w:val="none" w:sz="0" w:space="0" w:color="auto"/>
        <w:left w:val="none" w:sz="0" w:space="0" w:color="auto"/>
        <w:bottom w:val="none" w:sz="0" w:space="0" w:color="auto"/>
        <w:right w:val="none" w:sz="0" w:space="0" w:color="auto"/>
      </w:divBdr>
    </w:div>
    <w:div w:id="1821968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6CAE3-C0EB-451E-A467-0BFA0F180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and Data Governance Policy for Smart Manufacturing Environments: A Risk-Mitigation Framework for Steel Form Manufacturing Ltd</dc:title>
  <dc:subject/>
  <dc:creator>Netloan User</dc:creator>
  <cp:keywords/>
  <dc:description/>
  <cp:lastModifiedBy>Netloan User</cp:lastModifiedBy>
  <cp:revision>13</cp:revision>
  <dcterms:created xsi:type="dcterms:W3CDTF">2026-08-03T17:11:00Z</dcterms:created>
  <dcterms:modified xsi:type="dcterms:W3CDTF">2026-08-03T17:54:00Z</dcterms:modified>
</cp:coreProperties>
</file>