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61E02" w14:textId="77777777" w:rsidR="00CD71EA" w:rsidRDefault="00C15C99">
      <w:pPr>
        <w:jc w:val="center"/>
      </w:pPr>
      <w:r>
        <w:rPr>
          <w:noProof/>
        </w:rPr>
        <mc:AlternateContent>
          <mc:Choice Requires="wpg">
            <w:drawing>
              <wp:anchor distT="0" distB="0" distL="114300" distR="114300" simplePos="0" relativeHeight="251659264" behindDoc="1" locked="0" layoutInCell="1" allowOverlap="1" wp14:anchorId="31461E03" wp14:editId="31461E04">
                <wp:simplePos x="0" y="0"/>
                <wp:positionH relativeFrom="margin">
                  <wp:align>left</wp:align>
                </wp:positionH>
                <wp:positionV relativeFrom="margin">
                  <wp:align>bottom</wp:align>
                </wp:positionV>
                <wp:extent cx="6864821" cy="9060871"/>
                <wp:effectExtent l="0" t="0" r="0" b="6929"/>
                <wp:wrapNone/>
                <wp:docPr id="130552822" name="Group 198"/>
                <wp:cNvGraphicFramePr/>
                <a:graphic xmlns:a="http://schemas.openxmlformats.org/drawingml/2006/main">
                  <a:graphicData uri="http://schemas.microsoft.com/office/word/2010/wordprocessingGroup">
                    <wpg:wgp>
                      <wpg:cNvGrpSpPr/>
                      <wpg:grpSpPr>
                        <a:xfrm>
                          <a:off x="0" y="0"/>
                          <a:ext cx="6864821" cy="9060871"/>
                          <a:chOff x="0" y="0"/>
                          <a:chExt cx="6864821" cy="9060871"/>
                        </a:xfrm>
                      </wpg:grpSpPr>
                      <wps:wsp>
                        <wps:cNvPr id="1572813911" name="Rectangle 194"/>
                        <wps:cNvSpPr/>
                        <wps:spPr>
                          <a:xfrm>
                            <a:off x="0" y="0"/>
                            <a:ext cx="6858000" cy="1362181"/>
                          </a:xfrm>
                          <a:prstGeom prst="rect">
                            <a:avLst/>
                          </a:prstGeom>
                          <a:solidFill>
                            <a:srgbClr val="156082"/>
                          </a:solidFill>
                          <a:ln cap="flat">
                            <a:noFill/>
                            <a:prstDash val="solid"/>
                          </a:ln>
                        </wps:spPr>
                        <wps:bodyPr lIns="0" tIns="0" rIns="0" bIns="0"/>
                      </wps:wsp>
                      <wps:wsp>
                        <wps:cNvPr id="1781696884" name="Rectangle 195"/>
                        <wps:cNvSpPr/>
                        <wps:spPr>
                          <a:xfrm>
                            <a:off x="0" y="4066208"/>
                            <a:ext cx="6858000" cy="4994663"/>
                          </a:xfrm>
                          <a:prstGeom prst="rect">
                            <a:avLst/>
                          </a:prstGeom>
                          <a:solidFill>
                            <a:srgbClr val="156082"/>
                          </a:solidFill>
                          <a:ln cap="flat">
                            <a:noFill/>
                            <a:prstDash val="solid"/>
                          </a:ln>
                        </wps:spPr>
                        <wps:txbx>
                          <w:txbxContent>
                            <w:p w14:paraId="31461E07" w14:textId="77777777" w:rsidR="00CD71EA" w:rsidRDefault="00CD71EA">
                              <w:pPr>
                                <w:pStyle w:val="NoSpacing"/>
                                <w:spacing w:before="120"/>
                                <w:rPr>
                                  <w:color w:val="FFFFFF"/>
                                </w:rPr>
                              </w:pPr>
                            </w:p>
                          </w:txbxContent>
                        </wps:txbx>
                        <wps:bodyPr vert="horz" wrap="square" lIns="457200" tIns="731520" rIns="457200" bIns="457200" anchor="b" anchorCtr="0" compatLnSpc="1">
                          <a:noAutofit/>
                        </wps:bodyPr>
                      </wps:wsp>
                      <wps:wsp>
                        <wps:cNvPr id="917644315" name="Text Box 196"/>
                        <wps:cNvSpPr txBox="1"/>
                        <wps:spPr>
                          <a:xfrm>
                            <a:off x="6821" y="1362181"/>
                            <a:ext cx="6858000" cy="2704027"/>
                          </a:xfrm>
                          <a:prstGeom prst="rect">
                            <a:avLst/>
                          </a:prstGeom>
                        </wps:spPr>
                        <wps:txbx>
                          <w:txbxContent>
                            <w:p w14:paraId="31461E09" w14:textId="77777777" w:rsidR="00CD71EA" w:rsidRDefault="00CD71EA">
                              <w:pPr>
                                <w:pStyle w:val="NoSpacing"/>
                                <w:rPr>
                                  <w:rFonts w:ascii="Aptos Display" w:hAnsi="Aptos Display"/>
                                  <w:caps/>
                                  <w:color w:val="156082"/>
                                  <w:sz w:val="72"/>
                                  <w:szCs w:val="72"/>
                                </w:rPr>
                              </w:pPr>
                            </w:p>
                          </w:txbxContent>
                        </wps:txbx>
                        <wps:bodyPr vert="horz" wrap="square" lIns="457200" tIns="91440" rIns="457200" bIns="91440" anchor="ctr" anchorCtr="0" compatLnSpc="1">
                          <a:noAutofit/>
                        </wps:bodyPr>
                      </wps:wsp>
                    </wpg:wgp>
                  </a:graphicData>
                </a:graphic>
              </wp:anchor>
            </w:drawing>
          </mc:Choice>
          <mc:Fallback>
            <w:pict>
              <v:group w14:anchorId="31461E03" id="Group 198" o:spid="_x0000_s1026" style="position:absolute;left:0;text-align:left;margin-left:0;margin-top:0;width:540.55pt;height:713.45pt;z-index:-251657216;mso-position-horizontal:left;mso-position-horizontal-relative:margin;mso-position-vertical:bottom;mso-position-vertical-relative:margin" coordsize="68648,906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">
                <v:rect id="Rectangle 194" o:spid="_x0000_s1027" style="position:absolute;width:68580;height:13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" fillcolor="#156082" stroked="f">
                  <v:textbox inset="0,0,0,0"/>
                </v:rect>
                <v:rect id="Rectangle 195" o:spid="_x0000_s1028" style="position:absolute;top:40662;width:68580;height:4994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" fillcolor="#156082" stroked="f">
                  <v:textbox inset="36pt,57.6pt,36pt,36pt">
                    <w:txbxContent>
                      <w:p w14:paraId="31461E07" w14:textId="77777777" w:rsidR="00CD71EA" w:rsidRDefault="00CD71EA">
                        <w:pPr>
                          <w:pStyle w:val="NoSpacing"/>
                          <w:spacing w:before="120"/>
                          <w:rPr>
                            <w:color w:val="FFFFFF"/>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621;width:68580;height:270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" filled="f" stroked="f">
                  <v:textbox inset="36pt,7.2pt,36pt,7.2pt">
                    <w:txbxContent>
                      <w:p w14:paraId="31461E09" w14:textId="77777777" w:rsidR="00CD71EA" w:rsidRDefault="00CD71EA">
                        <w:pPr>
                          <w:pStyle w:val="NoSpacing"/>
                          <w:rPr>
                            <w:rFonts w:ascii="Aptos Display" w:hAnsi="Aptos Display"/>
                            <w:caps/>
                            <w:color w:val="156082"/>
                            <w:sz w:val="72"/>
                            <w:szCs w:val="72"/>
                          </w:rPr>
                        </w:pPr>
                      </w:p>
                    </w:txbxContent>
                  </v:textbox>
                </v:shape>
                <w10:wrap anchorx="margin" anchory="margin"/>
              </v:group>
            </w:pict>
          </mc:Fallback>
        </mc:AlternateContent>
      </w:r>
      <w:r>
        <w:rPr>
          <w:rFonts w:ascii="Segoe UI" w:hAnsi="Segoe UI" w:cs="Segoe UI"/>
          <w:b/>
          <w:bCs/>
          <w:color w:val="1D2125"/>
          <w:sz w:val="36"/>
          <w:szCs w:val="36"/>
          <w:shd w:val="clear" w:color="auto" w:fill="FFFFFF"/>
        </w:rPr>
        <w:t>Changemakers: Creativity and Value Creation</w:t>
      </w:r>
    </w:p>
    <w:p w14:paraId="31461E03" w14:textId="77777777" w:rsidR="00CD71EA" w:rsidRDefault="00C15C99">
      <w:pPr>
        <w:jc w:val="center"/>
        <w:rPr>
          <w:rFonts w:ascii="Arial" w:hAnsi="Arial" w:cs="Arial"/>
          <w:b/>
          <w:bCs/>
          <w:color w:val="1D2125"/>
          <w:sz w:val="36"/>
          <w:szCs w:val="36"/>
        </w:rPr>
      </w:pPr>
      <w:r>
        <w:rPr>
          <w:rFonts w:ascii="Arial" w:hAnsi="Arial" w:cs="Arial"/>
          <w:b/>
          <w:bCs/>
          <w:color w:val="1D2125"/>
          <w:sz w:val="36"/>
          <w:szCs w:val="36"/>
        </w:rPr>
        <w:t>Professions (BMHP5014)</w:t>
      </w:r>
    </w:p>
    <w:p w14:paraId="31461E04" w14:textId="77777777" w:rsidR="00CD71EA" w:rsidRDefault="00CD71EA">
      <w:pPr>
        <w:jc w:val="center"/>
        <w:rPr>
          <w:rFonts w:ascii="Arial" w:hAnsi="Arial" w:cs="Arial"/>
          <w:b/>
          <w:bCs/>
          <w:color w:val="1D2125"/>
          <w:sz w:val="36"/>
          <w:szCs w:val="36"/>
        </w:rPr>
      </w:pPr>
    </w:p>
    <w:p w14:paraId="31461E05" w14:textId="77777777" w:rsidR="00CD71EA" w:rsidRDefault="00C15C99">
      <w:r>
        <w:rPr>
          <w:rFonts w:ascii="Arial" w:hAnsi="Arial" w:cs="Arial"/>
          <w:b/>
          <w:bCs/>
          <w:color w:val="000000"/>
          <w:sz w:val="32"/>
          <w:szCs w:val="32"/>
        </w:rPr>
        <w:t>Component 1:</w:t>
      </w:r>
      <w:r>
        <w:rPr>
          <w:sz w:val="24"/>
          <w:szCs w:val="24"/>
        </w:rPr>
        <w:t xml:space="preserve"> </w:t>
      </w:r>
      <w:r>
        <w:rPr>
          <w:rFonts w:ascii="Arial" w:hAnsi="Arial" w:cs="Arial"/>
          <w:b/>
          <w:bCs/>
          <w:color w:val="000000"/>
          <w:sz w:val="32"/>
          <w:szCs w:val="32"/>
        </w:rPr>
        <w:t>Online portfolio of set exercises</w:t>
      </w:r>
    </w:p>
    <w:p w14:paraId="31461E06" w14:textId="77777777" w:rsidR="00CD71EA" w:rsidRDefault="00C15C99">
      <w:pPr>
        <w:rPr>
          <w:rFonts w:ascii="Arial" w:hAnsi="Arial" w:cs="Arial"/>
          <w:b/>
          <w:bCs/>
          <w:color w:val="1D2125"/>
          <w:sz w:val="32"/>
          <w:szCs w:val="32"/>
        </w:rPr>
      </w:pPr>
      <w:r>
        <w:rPr>
          <w:rFonts w:ascii="Arial" w:hAnsi="Arial" w:cs="Arial"/>
          <w:b/>
          <w:bCs/>
          <w:color w:val="1D2125"/>
          <w:sz w:val="32"/>
          <w:szCs w:val="32"/>
        </w:rPr>
        <w:t>Student name: OMOLOLA SONOLA</w:t>
      </w:r>
    </w:p>
    <w:p w14:paraId="31461E07" w14:textId="77777777" w:rsidR="00CD71EA" w:rsidRDefault="00C15C99">
      <w:pPr>
        <w:rPr>
          <w:rFonts w:ascii="Arial" w:hAnsi="Arial" w:cs="Arial"/>
          <w:b/>
          <w:bCs/>
          <w:color w:val="1D2125"/>
          <w:sz w:val="32"/>
          <w:szCs w:val="32"/>
        </w:rPr>
      </w:pPr>
      <w:r>
        <w:rPr>
          <w:rFonts w:ascii="Arial" w:hAnsi="Arial" w:cs="Arial"/>
          <w:b/>
          <w:bCs/>
          <w:color w:val="1D2125"/>
          <w:sz w:val="32"/>
          <w:szCs w:val="32"/>
        </w:rPr>
        <w:t>Student number: 2423672</w:t>
      </w:r>
    </w:p>
    <w:p w14:paraId="31461E08" w14:textId="77777777" w:rsidR="00CD71EA" w:rsidRDefault="00C15C99">
      <w:pPr>
        <w:rPr>
          <w:rFonts w:ascii="Arial" w:hAnsi="Arial" w:cs="Arial"/>
          <w:b/>
          <w:bCs/>
          <w:color w:val="1D2125"/>
          <w:sz w:val="32"/>
          <w:szCs w:val="32"/>
        </w:rPr>
      </w:pPr>
      <w:r>
        <w:rPr>
          <w:rFonts w:ascii="Arial" w:hAnsi="Arial" w:cs="Arial"/>
          <w:b/>
          <w:bCs/>
          <w:color w:val="1D2125"/>
          <w:sz w:val="32"/>
          <w:szCs w:val="32"/>
        </w:rPr>
        <w:t>Lecturer’s Name: Caroline Salami</w:t>
      </w:r>
    </w:p>
    <w:p w14:paraId="31461E09" w14:textId="77777777" w:rsidR="00CD71EA" w:rsidRDefault="00C15C99">
      <w:pPr>
        <w:pageBreakBefore/>
        <w:rPr>
          <w:rFonts w:ascii="Arial" w:hAnsi="Arial" w:cs="Arial"/>
          <w:b/>
          <w:bCs/>
          <w:color w:val="1D2125"/>
          <w:sz w:val="28"/>
          <w:szCs w:val="28"/>
        </w:rPr>
      </w:pPr>
      <w:r>
        <w:rPr>
          <w:rFonts w:ascii="Arial" w:hAnsi="Arial" w:cs="Arial"/>
          <w:b/>
          <w:bCs/>
          <w:color w:val="1D2125"/>
          <w:sz w:val="28"/>
          <w:szCs w:val="28"/>
        </w:rPr>
        <w:lastRenderedPageBreak/>
        <w:t>Table of contents</w:t>
      </w:r>
    </w:p>
    <w:p w14:paraId="31461E0A" w14:textId="77777777" w:rsidR="00CD71EA" w:rsidRDefault="00C15C99">
      <w:pPr>
        <w:pStyle w:val="TOC3"/>
        <w:tabs>
          <w:tab w:val="right" w:leader="dot" w:pos="9016"/>
        </w:tabs>
      </w:pPr>
      <w:r>
        <w:fldChar w:fldCharType="begin"/>
      </w:r>
      <w:r>
        <w:instrText xml:space="preserve"> TOC \o "1-3" \u \h </w:instrText>
      </w:r>
      <w:r>
        <w:fldChar w:fldCharType="separate"/>
      </w:r>
      <w:hyperlink w:anchor="_Toc232836594" w:history="1">
        <w:r>
          <w:rPr>
            <w:rStyle w:val="Hyperlink"/>
            <w:rFonts w:ascii="Arial" w:eastAsia="DengXian" w:hAnsi="Arial" w:cs="Arial"/>
            <w:kern w:val="0"/>
            <w:lang w:eastAsia="en-GB"/>
          </w:rPr>
          <w:t>Innovation</w:t>
        </w:r>
        <w:r>
          <w:rPr>
            <w:rFonts w:ascii="Arial" w:hAnsi="Arial" w:cs="Arial"/>
          </w:rPr>
          <w:tab/>
          <w:t>2</w:t>
        </w:r>
      </w:hyperlink>
    </w:p>
    <w:p w14:paraId="31461E0B" w14:textId="77777777" w:rsidR="00CD71EA" w:rsidRDefault="00C15C99">
      <w:pPr>
        <w:pStyle w:val="TOC3"/>
        <w:tabs>
          <w:tab w:val="right" w:leader="dot" w:pos="9016"/>
        </w:tabs>
      </w:pPr>
      <w:hyperlink w:anchor="_Toc232836595" w:history="1">
        <w:r>
          <w:rPr>
            <w:rStyle w:val="Hyperlink"/>
            <w:rFonts w:ascii="Arial" w:eastAsia="DengXian" w:hAnsi="Arial" w:cs="Arial"/>
            <w:kern w:val="0"/>
            <w:lang w:eastAsia="en-GB"/>
          </w:rPr>
          <w:t>Creativity</w:t>
        </w:r>
        <w:r>
          <w:rPr>
            <w:rFonts w:ascii="Arial" w:hAnsi="Arial" w:cs="Arial"/>
          </w:rPr>
          <w:tab/>
          <w:t>2</w:t>
        </w:r>
      </w:hyperlink>
    </w:p>
    <w:p w14:paraId="31461E0C" w14:textId="77777777" w:rsidR="00CD71EA" w:rsidRDefault="00C15C99">
      <w:pPr>
        <w:pStyle w:val="TOC3"/>
        <w:tabs>
          <w:tab w:val="right" w:leader="dot" w:pos="9016"/>
        </w:tabs>
      </w:pPr>
      <w:hyperlink w:anchor="_Toc232836596" w:history="1">
        <w:r>
          <w:rPr>
            <w:rStyle w:val="Hyperlink"/>
            <w:rFonts w:ascii="Arial" w:eastAsia="DengXian" w:hAnsi="Arial" w:cs="Arial"/>
            <w:kern w:val="0"/>
            <w:lang w:eastAsia="en-GB"/>
          </w:rPr>
          <w:t>Value Creation</w:t>
        </w:r>
        <w:r>
          <w:rPr>
            <w:rFonts w:ascii="Arial" w:hAnsi="Arial" w:cs="Arial"/>
          </w:rPr>
          <w:tab/>
          <w:t>3</w:t>
        </w:r>
      </w:hyperlink>
    </w:p>
    <w:p w14:paraId="31461E0D" w14:textId="77777777" w:rsidR="00CD71EA" w:rsidRDefault="00C15C99">
      <w:pPr>
        <w:pStyle w:val="TOC3"/>
        <w:tabs>
          <w:tab w:val="right" w:leader="dot" w:pos="9016"/>
        </w:tabs>
      </w:pPr>
      <w:hyperlink w:anchor="_Toc232836597" w:history="1">
        <w:r>
          <w:rPr>
            <w:rStyle w:val="Hyperlink"/>
            <w:rFonts w:ascii="Arial" w:eastAsia="DengXian" w:hAnsi="Arial" w:cs="Arial"/>
            <w:kern w:val="0"/>
            <w:lang w:eastAsia="en-GB"/>
          </w:rPr>
          <w:t>Change</w:t>
        </w:r>
        <w:bookmarkStart w:id="0" w:name="_Hlt234745679"/>
        <w:bookmarkStart w:id="1" w:name="_Hlt234745680"/>
        <w:bookmarkEnd w:id="0"/>
        <w:bookmarkEnd w:id="1"/>
        <w:r>
          <w:rPr>
            <w:rFonts w:ascii="Arial" w:hAnsi="Arial" w:cs="Arial"/>
          </w:rPr>
          <w:tab/>
          <w:t>3</w:t>
        </w:r>
      </w:hyperlink>
    </w:p>
    <w:p w14:paraId="31461E0E" w14:textId="77777777" w:rsidR="00CD71EA" w:rsidRDefault="00C15C99">
      <w:pPr>
        <w:tabs>
          <w:tab w:val="right" w:leader="dot" w:pos="9360"/>
        </w:tabs>
      </w:pPr>
      <w:r>
        <w:rPr>
          <w:rFonts w:ascii="Arial" w:hAnsi="Arial" w:cs="Arial"/>
        </w:rPr>
        <w:t xml:space="preserve">       Mind map………………………………………………………………………………………..4</w:t>
      </w:r>
    </w:p>
    <w:p w14:paraId="31461E0F" w14:textId="77777777" w:rsidR="00CD71EA" w:rsidRDefault="00C15C99">
      <w:r>
        <w:fldChar w:fldCharType="end"/>
      </w:r>
      <w:r>
        <w:t xml:space="preserve">         </w:t>
      </w:r>
      <w:r>
        <w:rPr>
          <w:rFonts w:ascii="Arial" w:hAnsi="Arial" w:cs="Arial"/>
        </w:rPr>
        <w:t>Self-Reflection…………………………………………………………………………………..5</w:t>
      </w:r>
    </w:p>
    <w:p w14:paraId="31461E10" w14:textId="77777777" w:rsidR="00CD71EA" w:rsidRDefault="00C15C99">
      <w:r>
        <w:rPr>
          <w:rFonts w:ascii="Arial" w:hAnsi="Arial" w:cs="Arial"/>
          <w:color w:val="1D2125"/>
        </w:rPr>
        <w:t xml:space="preserve">      Case study……………………………………………………………………………………….6</w:t>
      </w:r>
    </w:p>
    <w:p w14:paraId="31461E11" w14:textId="77777777" w:rsidR="00CD71EA" w:rsidRDefault="00C15C99">
      <w:r>
        <w:rPr>
          <w:rFonts w:ascii="Arial" w:hAnsi="Arial" w:cs="Arial"/>
          <w:color w:val="1D2125"/>
        </w:rPr>
        <w:t xml:space="preserve">      Research………………………………………………………………………………………….7</w:t>
      </w:r>
    </w:p>
    <w:p w14:paraId="31461E12" w14:textId="77777777" w:rsidR="00CD71EA" w:rsidRDefault="00C15C99">
      <w:pPr>
        <w:rPr>
          <w:rFonts w:ascii="Arial" w:hAnsi="Arial" w:cs="Arial"/>
          <w:color w:val="1D2125"/>
        </w:rPr>
      </w:pPr>
      <w:r>
        <w:rPr>
          <w:rFonts w:ascii="Arial" w:hAnsi="Arial" w:cs="Arial"/>
          <w:color w:val="1D2125"/>
        </w:rPr>
        <w:t xml:space="preserve">      Digital Innovation………………………………………………………………………………... 8</w:t>
      </w:r>
    </w:p>
    <w:p w14:paraId="31461E13" w14:textId="77777777" w:rsidR="00CD71EA" w:rsidRDefault="00C15C99">
      <w:pPr>
        <w:rPr>
          <w:rFonts w:ascii="Arial" w:hAnsi="Arial" w:cs="Arial"/>
          <w:color w:val="1D2125"/>
        </w:rPr>
      </w:pPr>
      <w:r>
        <w:rPr>
          <w:rFonts w:ascii="Arial" w:hAnsi="Arial" w:cs="Arial"/>
          <w:color w:val="1D2125"/>
        </w:rPr>
        <w:t xml:space="preserve">      NHS Leadership…………………………………………………………………………… 8 &amp; 9</w:t>
      </w:r>
    </w:p>
    <w:p w14:paraId="31461E14" w14:textId="77777777" w:rsidR="00CD71EA" w:rsidRDefault="00C15C99">
      <w:pPr>
        <w:rPr>
          <w:rFonts w:ascii="Arial" w:hAnsi="Arial" w:cs="Arial"/>
          <w:color w:val="1D2125"/>
        </w:rPr>
      </w:pPr>
      <w:r>
        <w:rPr>
          <w:rFonts w:ascii="Arial" w:hAnsi="Arial" w:cs="Arial"/>
          <w:color w:val="1D2125"/>
        </w:rPr>
        <w:t xml:space="preserve">       Self-Reflection………………………………………………………………………………….10</w:t>
      </w:r>
    </w:p>
    <w:p w14:paraId="31461E15" w14:textId="77777777" w:rsidR="00CD71EA" w:rsidRDefault="00C15C99">
      <w:pPr>
        <w:rPr>
          <w:rFonts w:ascii="Arial" w:hAnsi="Arial" w:cs="Arial"/>
          <w:color w:val="1D2125"/>
        </w:rPr>
      </w:pPr>
      <w:r>
        <w:rPr>
          <w:rFonts w:ascii="Arial" w:hAnsi="Arial" w:cs="Arial"/>
          <w:color w:val="1D2125"/>
        </w:rPr>
        <w:t xml:space="preserve">      References………………………………………………………………………………….11&amp;12</w:t>
      </w:r>
    </w:p>
    <w:p w14:paraId="31461E16" w14:textId="77777777" w:rsidR="00CD71EA" w:rsidRDefault="00CD71EA">
      <w:pPr>
        <w:rPr>
          <w:rFonts w:ascii="Arial" w:hAnsi="Arial" w:cs="Arial"/>
          <w:b/>
          <w:bCs/>
          <w:color w:val="1D2125"/>
          <w:sz w:val="32"/>
          <w:szCs w:val="32"/>
        </w:rPr>
      </w:pPr>
    </w:p>
    <w:p w14:paraId="31461E17" w14:textId="77777777" w:rsidR="00CD71EA" w:rsidRDefault="00CD71EA">
      <w:pPr>
        <w:rPr>
          <w:rFonts w:ascii="Arial" w:hAnsi="Arial" w:cs="Arial"/>
          <w:b/>
          <w:bCs/>
          <w:color w:val="1D2125"/>
          <w:sz w:val="32"/>
          <w:szCs w:val="32"/>
        </w:rPr>
      </w:pPr>
    </w:p>
    <w:p w14:paraId="31461E18" w14:textId="77777777" w:rsidR="00CD71EA" w:rsidRDefault="00CD71EA">
      <w:pPr>
        <w:rPr>
          <w:rFonts w:ascii="Arial" w:hAnsi="Arial" w:cs="Arial"/>
          <w:b/>
          <w:bCs/>
          <w:color w:val="1D2125"/>
          <w:sz w:val="32"/>
          <w:szCs w:val="32"/>
        </w:rPr>
      </w:pPr>
    </w:p>
    <w:p w14:paraId="31461E19" w14:textId="77777777" w:rsidR="00CD71EA" w:rsidRDefault="00CD71EA">
      <w:pPr>
        <w:rPr>
          <w:rFonts w:ascii="Arial" w:hAnsi="Arial" w:cs="Arial"/>
          <w:b/>
          <w:bCs/>
          <w:color w:val="1D2125"/>
          <w:sz w:val="32"/>
          <w:szCs w:val="32"/>
        </w:rPr>
      </w:pPr>
    </w:p>
    <w:p w14:paraId="31461E1A" w14:textId="77777777" w:rsidR="00CD71EA" w:rsidRDefault="00CD71EA">
      <w:pPr>
        <w:rPr>
          <w:rFonts w:ascii="Arial" w:hAnsi="Arial" w:cs="Arial"/>
          <w:b/>
          <w:bCs/>
          <w:color w:val="1D2125"/>
          <w:sz w:val="32"/>
          <w:szCs w:val="32"/>
        </w:rPr>
      </w:pPr>
    </w:p>
    <w:p w14:paraId="31461E1B" w14:textId="77777777" w:rsidR="00CD71EA" w:rsidRDefault="00CD71EA">
      <w:pPr>
        <w:rPr>
          <w:rFonts w:ascii="Arial" w:hAnsi="Arial" w:cs="Arial"/>
          <w:b/>
          <w:bCs/>
          <w:color w:val="1D2125"/>
          <w:sz w:val="32"/>
          <w:szCs w:val="32"/>
        </w:rPr>
      </w:pPr>
    </w:p>
    <w:p w14:paraId="31461E1C" w14:textId="77777777" w:rsidR="00CD71EA" w:rsidRDefault="00CD71EA">
      <w:pPr>
        <w:rPr>
          <w:rFonts w:ascii="Arial" w:hAnsi="Arial" w:cs="Arial"/>
          <w:b/>
          <w:bCs/>
          <w:color w:val="1D2125"/>
          <w:sz w:val="32"/>
          <w:szCs w:val="32"/>
        </w:rPr>
      </w:pPr>
    </w:p>
    <w:p w14:paraId="31461E1D" w14:textId="77777777" w:rsidR="00CD71EA" w:rsidRDefault="00CD71EA">
      <w:pPr>
        <w:rPr>
          <w:rFonts w:ascii="Arial" w:hAnsi="Arial" w:cs="Arial"/>
          <w:b/>
          <w:bCs/>
          <w:color w:val="1D2125"/>
          <w:sz w:val="32"/>
          <w:szCs w:val="32"/>
        </w:rPr>
      </w:pPr>
    </w:p>
    <w:p w14:paraId="31461E1E" w14:textId="77777777" w:rsidR="00CD71EA" w:rsidRDefault="00CD71EA">
      <w:pPr>
        <w:rPr>
          <w:rFonts w:ascii="Arial" w:eastAsia="DengXian" w:hAnsi="Arial" w:cs="Arial"/>
          <w:b/>
          <w:bCs/>
          <w:kern w:val="0"/>
          <w:sz w:val="28"/>
          <w:szCs w:val="28"/>
          <w:lang w:eastAsia="en-GB"/>
        </w:rPr>
      </w:pPr>
    </w:p>
    <w:p w14:paraId="31461E1F" w14:textId="77777777" w:rsidR="00CD71EA" w:rsidRDefault="00CD71EA">
      <w:pPr>
        <w:rPr>
          <w:rFonts w:ascii="Arial" w:eastAsia="DengXian" w:hAnsi="Arial" w:cs="Arial"/>
          <w:b/>
          <w:bCs/>
          <w:kern w:val="0"/>
          <w:sz w:val="28"/>
          <w:szCs w:val="28"/>
          <w:lang w:eastAsia="en-GB"/>
        </w:rPr>
      </w:pPr>
    </w:p>
    <w:p w14:paraId="31461E20" w14:textId="77777777" w:rsidR="00CD71EA" w:rsidRDefault="00CD71EA">
      <w:pPr>
        <w:rPr>
          <w:rFonts w:ascii="Arial" w:eastAsia="DengXian" w:hAnsi="Arial" w:cs="Arial"/>
          <w:b/>
          <w:bCs/>
          <w:kern w:val="0"/>
          <w:sz w:val="28"/>
          <w:szCs w:val="28"/>
          <w:lang w:eastAsia="en-GB"/>
        </w:rPr>
      </w:pPr>
    </w:p>
    <w:p w14:paraId="31461E21" w14:textId="77777777" w:rsidR="00CD71EA" w:rsidRDefault="00CD71EA">
      <w:pPr>
        <w:rPr>
          <w:rFonts w:ascii="Arial" w:eastAsia="DengXian" w:hAnsi="Arial" w:cs="Arial"/>
          <w:b/>
          <w:bCs/>
          <w:kern w:val="0"/>
          <w:sz w:val="28"/>
          <w:szCs w:val="28"/>
          <w:lang w:eastAsia="en-GB"/>
        </w:rPr>
      </w:pPr>
    </w:p>
    <w:p w14:paraId="31461E22" w14:textId="77777777" w:rsidR="00CD71EA" w:rsidRDefault="00C15C99">
      <w:r>
        <w:rPr>
          <w:rFonts w:ascii="Arial" w:eastAsia="DengXian" w:hAnsi="Arial" w:cs="Arial"/>
          <w:b/>
          <w:bCs/>
          <w:kern w:val="0"/>
          <w:sz w:val="28"/>
          <w:szCs w:val="28"/>
          <w:lang w:eastAsia="en-GB"/>
        </w:rPr>
        <w:t>Introduction</w:t>
      </w:r>
    </w:p>
    <w:p w14:paraId="31461E23" w14:textId="77777777" w:rsidR="00CD71EA" w:rsidRPr="00CC044B" w:rsidRDefault="00C15C99" w:rsidP="00B83690">
      <w:pPr>
        <w:spacing w:before="120" w:after="120"/>
        <w:rPr>
          <w:rFonts w:ascii="Arial" w:eastAsia="DengXian" w:hAnsi="Arial" w:cs="Arial"/>
          <w:kern w:val="0"/>
          <w:lang w:eastAsia="en-GB"/>
        </w:rPr>
      </w:pPr>
      <w:r w:rsidRPr="00CC044B">
        <w:rPr>
          <w:rFonts w:ascii="Arial" w:eastAsia="DengXian" w:hAnsi="Arial" w:cs="Arial"/>
          <w:kern w:val="0"/>
          <w:lang w:eastAsia="en-GB"/>
        </w:rPr>
        <w:t>This assignment explores four fundamental concepts that shape modern health and social care: innovation, creativity, value creation, and change. In a sector facing evolving needs, rising demand, and new professional challenges, these ideas are essential for delivering safe, effective, and person-</w:t>
      </w:r>
      <w:proofErr w:type="spellStart"/>
      <w:r w:rsidRPr="00CC044B">
        <w:rPr>
          <w:rFonts w:ascii="Arial" w:eastAsia="DengXian" w:hAnsi="Arial" w:cs="Arial"/>
          <w:kern w:val="0"/>
          <w:lang w:eastAsia="en-GB"/>
        </w:rPr>
        <w:t>centered</w:t>
      </w:r>
      <w:proofErr w:type="spellEnd"/>
      <w:r w:rsidRPr="00CC044B">
        <w:rPr>
          <w:rFonts w:ascii="Arial" w:eastAsia="DengXian" w:hAnsi="Arial" w:cs="Arial"/>
          <w:kern w:val="0"/>
          <w:lang w:eastAsia="en-GB"/>
        </w:rPr>
        <w:t xml:space="preserve"> services. This work defines each concept using established academic sources, outlines its relevance to practice, provides real-world examples, and references recognised theories and frameworks to demonstrate how they support continuous improvement and better outcomes for service users.</w:t>
      </w:r>
    </w:p>
    <w:p w14:paraId="31461E24" w14:textId="77777777" w:rsidR="00CD71EA" w:rsidRPr="00135075" w:rsidRDefault="00C15C99">
      <w:pPr>
        <w:rPr>
          <w:rFonts w:ascii="Arial" w:hAnsi="Arial" w:cs="Arial"/>
          <w:sz w:val="28"/>
          <w:szCs w:val="28"/>
        </w:rPr>
      </w:pPr>
      <w:r w:rsidRPr="00135075">
        <w:rPr>
          <w:rFonts w:ascii="Arial" w:eastAsia="DengXian" w:hAnsi="Arial" w:cs="Arial"/>
          <w:b/>
          <w:bCs/>
          <w:kern w:val="0"/>
          <w:sz w:val="28"/>
          <w:szCs w:val="28"/>
          <w:lang w:eastAsia="en-GB"/>
        </w:rPr>
        <w:t>Task 1: Defining Key Concepts in Practice</w:t>
      </w:r>
    </w:p>
    <w:p w14:paraId="31461E25" w14:textId="77777777" w:rsidR="00CD71EA" w:rsidRPr="00CC044B" w:rsidRDefault="00C15C99">
      <w:pPr>
        <w:spacing w:before="300" w:after="120"/>
        <w:outlineLvl w:val="2"/>
        <w:rPr>
          <w:rFonts w:ascii="Arial" w:eastAsia="DengXian" w:hAnsi="Arial" w:cs="Arial"/>
          <w:b/>
          <w:bCs/>
          <w:kern w:val="0"/>
          <w:lang w:eastAsia="en-GB"/>
        </w:rPr>
      </w:pPr>
      <w:bookmarkStart w:id="2" w:name="_Toc232836594"/>
      <w:r w:rsidRPr="00CC044B">
        <w:rPr>
          <w:rFonts w:ascii="Arial" w:eastAsia="DengXian" w:hAnsi="Arial" w:cs="Arial"/>
          <w:b/>
          <w:bCs/>
          <w:kern w:val="0"/>
          <w:lang w:eastAsia="en-GB"/>
        </w:rPr>
        <w:t>Innovation</w:t>
      </w:r>
      <w:bookmarkEnd w:id="2"/>
    </w:p>
    <w:p w14:paraId="31461E26" w14:textId="77777777" w:rsidR="00CD71EA" w:rsidRPr="00CC044B" w:rsidRDefault="00C15C99">
      <w:pPr>
        <w:spacing w:before="120" w:after="120"/>
        <w:rPr>
          <w:rFonts w:ascii="Arial" w:eastAsia="DengXian" w:hAnsi="Arial" w:cs="Arial"/>
          <w:kern w:val="0"/>
          <w:lang w:eastAsia="en-GB"/>
        </w:rPr>
      </w:pPr>
      <w:r w:rsidRPr="00CC044B">
        <w:rPr>
          <w:rFonts w:ascii="Arial" w:eastAsia="DengXian" w:hAnsi="Arial" w:cs="Arial"/>
          <w:kern w:val="0"/>
          <w:lang w:eastAsia="en-GB"/>
        </w:rPr>
        <w:t>Innovation can be defined as the process of successfully implementing new ideas, methods, or technologies to deliver real, measurable improvements (West &amp; Farr, 1990). It is not just about having original thoughts; it means turning them into sustainable, usable solutions.</w:t>
      </w:r>
    </w:p>
    <w:p w14:paraId="31461E27"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Theory</w:t>
      </w:r>
      <w:r w:rsidRPr="00CC044B">
        <w:rPr>
          <w:rFonts w:ascii="Arial" w:eastAsia="DengXian" w:hAnsi="Arial" w:cs="Arial"/>
          <w:kern w:val="0"/>
          <w:lang w:eastAsia="en-GB"/>
        </w:rPr>
        <w:t>: Rogers’ Diffusion of Innovation Theory explains how new ways of working spread across organisations and become accepted by staff over time (Rogers, 2003).</w:t>
      </w:r>
    </w:p>
    <w:p w14:paraId="31461E28"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Why it matters</w:t>
      </w:r>
      <w:r w:rsidRPr="00CC044B">
        <w:rPr>
          <w:rFonts w:ascii="Arial" w:eastAsia="DengXian" w:hAnsi="Arial" w:cs="Arial"/>
          <w:kern w:val="0"/>
          <w:lang w:eastAsia="en-GB"/>
        </w:rPr>
        <w:t>: In health and social care, innovation helps services keep pace with growing demand, raise safety standards, and offer more personalised care while making the best use of available resources.</w:t>
      </w:r>
    </w:p>
    <w:p w14:paraId="31461E29"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Example</w:t>
      </w:r>
      <w:r w:rsidRPr="00CC044B">
        <w:rPr>
          <w:rFonts w:ascii="Arial" w:eastAsia="DengXian" w:hAnsi="Arial" w:cs="Arial"/>
          <w:kern w:val="0"/>
          <w:lang w:eastAsia="en-GB"/>
        </w:rPr>
        <w:t>: Adopting digital health tools that allow patients living with chronic conditions to monitor their own health from home, reducing unnecessary hospital visits and giving people greater control over their well-being.</w:t>
      </w:r>
    </w:p>
    <w:p w14:paraId="31461E2A" w14:textId="77777777" w:rsidR="00CD71EA" w:rsidRPr="00CC044B" w:rsidRDefault="00C15C99">
      <w:pPr>
        <w:spacing w:before="300" w:after="120"/>
        <w:outlineLvl w:val="2"/>
        <w:rPr>
          <w:rFonts w:ascii="Arial" w:eastAsia="DengXian" w:hAnsi="Arial" w:cs="Arial"/>
          <w:b/>
          <w:bCs/>
          <w:kern w:val="0"/>
          <w:lang w:eastAsia="en-GB"/>
        </w:rPr>
      </w:pPr>
      <w:bookmarkStart w:id="3" w:name="_Toc232836595"/>
      <w:r w:rsidRPr="00CC044B">
        <w:rPr>
          <w:rFonts w:ascii="Arial" w:eastAsia="DengXian" w:hAnsi="Arial" w:cs="Arial"/>
          <w:b/>
          <w:bCs/>
          <w:kern w:val="0"/>
          <w:lang w:eastAsia="en-GB"/>
        </w:rPr>
        <w:t>Creativity</w:t>
      </w:r>
      <w:bookmarkEnd w:id="3"/>
    </w:p>
    <w:p w14:paraId="31461E2B" w14:textId="77777777" w:rsidR="00CD71EA" w:rsidRPr="00CC044B" w:rsidRDefault="00C15C99">
      <w:pPr>
        <w:spacing w:before="120" w:after="120"/>
        <w:rPr>
          <w:rFonts w:ascii="Arial" w:eastAsia="DengXian" w:hAnsi="Arial" w:cs="Arial"/>
          <w:kern w:val="0"/>
          <w:lang w:eastAsia="en-GB"/>
        </w:rPr>
      </w:pPr>
      <w:r w:rsidRPr="00CC044B">
        <w:rPr>
          <w:rFonts w:ascii="Arial" w:eastAsia="DengXian" w:hAnsi="Arial" w:cs="Arial"/>
          <w:kern w:val="0"/>
          <w:lang w:eastAsia="en-GB"/>
        </w:rPr>
        <w:t xml:space="preserve">Creativity refers to the ability to develop original, thoughtful, and practical ideas to solve problems or enhance current practice (Sternberg &amp; </w:t>
      </w:r>
      <w:proofErr w:type="spellStart"/>
      <w:r w:rsidRPr="00CC044B">
        <w:rPr>
          <w:rFonts w:ascii="Arial" w:eastAsia="DengXian" w:hAnsi="Arial" w:cs="Arial"/>
          <w:kern w:val="0"/>
          <w:lang w:eastAsia="en-GB"/>
        </w:rPr>
        <w:t>Lubart</w:t>
      </w:r>
      <w:proofErr w:type="spellEnd"/>
      <w:r w:rsidRPr="00CC044B">
        <w:rPr>
          <w:rFonts w:ascii="Arial" w:eastAsia="DengXian" w:hAnsi="Arial" w:cs="Arial"/>
          <w:kern w:val="0"/>
          <w:lang w:eastAsia="en-GB"/>
        </w:rPr>
        <w:t>, 1999). It acts as the vital starting point for all meaningful innovation.</w:t>
      </w:r>
    </w:p>
    <w:p w14:paraId="31461E2C"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Theory</w:t>
      </w:r>
      <w:r w:rsidRPr="00CC044B">
        <w:rPr>
          <w:rFonts w:ascii="Arial" w:eastAsia="DengXian" w:hAnsi="Arial" w:cs="Arial"/>
          <w:kern w:val="0"/>
          <w:lang w:eastAsia="en-GB"/>
        </w:rPr>
        <w:t>: Amabile’s Componential Theory of Creativity explains that creative thinking emerges when individuals combine their knowledge, skills, and personal motivation to produce useful new approaches (Amabile, 1996).</w:t>
      </w:r>
    </w:p>
    <w:p w14:paraId="31461E2D"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lastRenderedPageBreak/>
        <w:t>Why it matters</w:t>
      </w:r>
      <w:r w:rsidRPr="00CC044B">
        <w:rPr>
          <w:rFonts w:ascii="Arial" w:eastAsia="DengXian" w:hAnsi="Arial" w:cs="Arial"/>
          <w:kern w:val="0"/>
          <w:lang w:eastAsia="en-GB"/>
        </w:rPr>
        <w:t>: Care work is rarely routine; every service user has unique needs. Creative thinking enables staff to find flexible, tailored solutions when standard procedures are not enough.</w:t>
      </w:r>
    </w:p>
    <w:p w14:paraId="31461E2E"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Example</w:t>
      </w:r>
      <w:r w:rsidRPr="00CC044B">
        <w:rPr>
          <w:rFonts w:ascii="Arial" w:eastAsia="DengXian" w:hAnsi="Arial" w:cs="Arial"/>
          <w:kern w:val="0"/>
          <w:lang w:eastAsia="en-GB"/>
        </w:rPr>
        <w:t>: A care team developing a customised daily routine for someone living with dementia, built around their former career, favourite hobbies, and memories, which significantly boosts their confidence and quality of life.</w:t>
      </w:r>
    </w:p>
    <w:p w14:paraId="31461E2F" w14:textId="77777777" w:rsidR="00CD71EA" w:rsidRPr="00CC044B" w:rsidRDefault="00C15C99">
      <w:pPr>
        <w:spacing w:before="300" w:after="120"/>
        <w:outlineLvl w:val="2"/>
        <w:rPr>
          <w:rFonts w:ascii="Arial" w:eastAsia="DengXian" w:hAnsi="Arial" w:cs="Arial"/>
          <w:b/>
          <w:bCs/>
          <w:kern w:val="0"/>
          <w:lang w:eastAsia="en-GB"/>
        </w:rPr>
      </w:pPr>
      <w:bookmarkStart w:id="4" w:name="_Toc232836596"/>
      <w:r w:rsidRPr="00CC044B">
        <w:rPr>
          <w:rFonts w:ascii="Arial" w:eastAsia="DengXian" w:hAnsi="Arial" w:cs="Arial"/>
          <w:b/>
          <w:bCs/>
          <w:kern w:val="0"/>
          <w:lang w:eastAsia="en-GB"/>
        </w:rPr>
        <w:t>Value Creation</w:t>
      </w:r>
      <w:bookmarkEnd w:id="4"/>
    </w:p>
    <w:p w14:paraId="31461E30" w14:textId="77777777" w:rsidR="00CD71EA" w:rsidRPr="00CC044B" w:rsidRDefault="00C15C99">
      <w:pPr>
        <w:spacing w:before="120" w:after="120"/>
        <w:rPr>
          <w:rFonts w:ascii="Arial" w:eastAsia="DengXian" w:hAnsi="Arial" w:cs="Arial"/>
          <w:kern w:val="0"/>
          <w:lang w:eastAsia="en-GB"/>
        </w:rPr>
      </w:pPr>
      <w:r w:rsidRPr="00CC044B">
        <w:rPr>
          <w:rFonts w:ascii="Arial" w:eastAsia="DengXian" w:hAnsi="Arial" w:cs="Arial"/>
          <w:kern w:val="0"/>
          <w:lang w:eastAsia="en-GB"/>
        </w:rPr>
        <w:t>Value creation in care means providing services that improve health, support independence, and uphold dignity, while ensuring resources are used responsibly and fairly (Mintzberg, 2012). It focuses on what matters most to the person receiving care.</w:t>
      </w:r>
    </w:p>
    <w:p w14:paraId="31461E31"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Theory</w:t>
      </w:r>
      <w:r w:rsidRPr="00CC044B">
        <w:rPr>
          <w:rFonts w:ascii="Arial" w:eastAsia="DengXian" w:hAnsi="Arial" w:cs="Arial"/>
          <w:kern w:val="0"/>
          <w:lang w:eastAsia="en-GB"/>
        </w:rPr>
        <w:t>: Porter describes healthcare value as the improvement in patient outcomes achieved relative to the resources and costs required to deliver that care (Porter, 2010).</w:t>
      </w:r>
    </w:p>
    <w:p w14:paraId="31461E32"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Why it matters</w:t>
      </w:r>
      <w:r w:rsidRPr="00CC044B">
        <w:rPr>
          <w:rFonts w:ascii="Arial" w:eastAsia="DengXian" w:hAnsi="Arial" w:cs="Arial"/>
          <w:kern w:val="0"/>
          <w:lang w:eastAsia="en-GB"/>
        </w:rPr>
        <w:t>: It shifts the focus from simply completing tasks to delivering meaningful benefits, ensuring services remain sustainable and truly person-centred.</w:t>
      </w:r>
    </w:p>
    <w:p w14:paraId="31461E33" w14:textId="77777777" w:rsidR="00CD71EA" w:rsidRPr="00CC044B" w:rsidRDefault="00C15C99">
      <w:pPr>
        <w:spacing w:before="120" w:after="120"/>
        <w:rPr>
          <w:rFonts w:ascii="Arial" w:hAnsi="Arial" w:cs="Arial"/>
        </w:rPr>
      </w:pPr>
      <w:r w:rsidRPr="00CC044B">
        <w:rPr>
          <w:rFonts w:ascii="Arial" w:eastAsia="DengXian" w:hAnsi="Arial" w:cs="Arial"/>
          <w:b/>
          <w:bCs/>
          <w:kern w:val="0"/>
          <w:lang w:eastAsia="en-GB"/>
        </w:rPr>
        <w:t>Example</w:t>
      </w:r>
      <w:r w:rsidRPr="00CC044B">
        <w:rPr>
          <w:rFonts w:ascii="Arial" w:eastAsia="DengXian" w:hAnsi="Arial" w:cs="Arial"/>
          <w:kern w:val="0"/>
          <w:lang w:eastAsia="en-GB"/>
        </w:rPr>
        <w:t>: Setting up integrated community care teams that bring together doctors, nurses, social workers, and therapists to support older people, which reduces delays, prevents crises, and helps people stay independent in their own homes.</w:t>
      </w:r>
    </w:p>
    <w:p w14:paraId="31461E34" w14:textId="77777777" w:rsidR="00CD71EA" w:rsidRPr="00CC044B" w:rsidRDefault="00C15C99">
      <w:pPr>
        <w:suppressAutoHyphens w:val="0"/>
        <w:spacing w:before="300" w:after="120"/>
        <w:outlineLvl w:val="2"/>
        <w:rPr>
          <w:rFonts w:ascii="Arial" w:eastAsia="DengXian" w:hAnsi="Arial" w:cs="Arial"/>
          <w:b/>
          <w:bCs/>
          <w:kern w:val="0"/>
          <w:lang w:eastAsia="en-GB"/>
        </w:rPr>
      </w:pPr>
      <w:bookmarkStart w:id="5" w:name="_Toc232836597"/>
      <w:r w:rsidRPr="00CC044B">
        <w:rPr>
          <w:rFonts w:ascii="Arial" w:eastAsia="DengXian" w:hAnsi="Arial" w:cs="Arial"/>
          <w:b/>
          <w:bCs/>
          <w:kern w:val="0"/>
          <w:lang w:eastAsia="en-GB"/>
        </w:rPr>
        <w:t>Change</w:t>
      </w:r>
      <w:bookmarkEnd w:id="5"/>
    </w:p>
    <w:p w14:paraId="31461E35" w14:textId="77777777" w:rsidR="00CD71EA" w:rsidRPr="00CC044B" w:rsidRDefault="00C15C99">
      <w:pPr>
        <w:suppressAutoHyphens w:val="0"/>
        <w:spacing w:before="120" w:after="120"/>
        <w:rPr>
          <w:rFonts w:ascii="Arial" w:eastAsia="DengXian" w:hAnsi="Arial" w:cs="Arial"/>
          <w:kern w:val="0"/>
          <w:lang w:eastAsia="en-GB"/>
        </w:rPr>
      </w:pPr>
      <w:r w:rsidRPr="00CC044B">
        <w:rPr>
          <w:rFonts w:ascii="Arial" w:eastAsia="DengXian" w:hAnsi="Arial" w:cs="Arial"/>
          <w:kern w:val="0"/>
          <w:lang w:eastAsia="en-GB"/>
        </w:rPr>
        <w:t>Change is the process of moving from existing ways of working to new, improved practices in response to new research, policy, technology, or changing service requirements (Paton &amp; McCalman, 2015).</w:t>
      </w:r>
    </w:p>
    <w:p w14:paraId="31461E36" w14:textId="77777777" w:rsidR="00CD71EA" w:rsidRPr="00CC044B" w:rsidRDefault="00C15C99">
      <w:pPr>
        <w:suppressAutoHyphens w:val="0"/>
        <w:spacing w:before="120" w:after="120"/>
        <w:rPr>
          <w:rFonts w:ascii="Arial" w:hAnsi="Arial" w:cs="Arial"/>
        </w:rPr>
      </w:pPr>
      <w:r w:rsidRPr="00CC044B">
        <w:rPr>
          <w:rFonts w:ascii="Arial" w:eastAsia="DengXian" w:hAnsi="Arial" w:cs="Arial"/>
          <w:b/>
          <w:bCs/>
          <w:kern w:val="0"/>
          <w:lang w:eastAsia="en-GB"/>
        </w:rPr>
        <w:t>Theory</w:t>
      </w:r>
      <w:r w:rsidRPr="00CC044B">
        <w:rPr>
          <w:rFonts w:ascii="Arial" w:eastAsia="DengXian" w:hAnsi="Arial" w:cs="Arial"/>
          <w:kern w:val="0"/>
          <w:lang w:eastAsia="en-GB"/>
        </w:rPr>
        <w:t>: Lewin’s Change Management Model, as developed by Burnes, outlines successful change as a three-stage process: preparing people to let go of old habits, introducing new ways of working, and then embedding them as the new standard (Burnes, 2017).</w:t>
      </w:r>
    </w:p>
    <w:p w14:paraId="31461E37" w14:textId="77777777" w:rsidR="00CD71EA" w:rsidRPr="00CC044B" w:rsidRDefault="00C15C99">
      <w:pPr>
        <w:suppressAutoHyphens w:val="0"/>
        <w:spacing w:before="120" w:after="120"/>
        <w:rPr>
          <w:rFonts w:ascii="Arial" w:hAnsi="Arial" w:cs="Arial"/>
        </w:rPr>
      </w:pPr>
      <w:r w:rsidRPr="00CC044B">
        <w:rPr>
          <w:rFonts w:ascii="Arial" w:eastAsia="DengXian" w:hAnsi="Arial" w:cs="Arial"/>
          <w:b/>
          <w:bCs/>
          <w:kern w:val="0"/>
          <w:lang w:eastAsia="en-GB"/>
        </w:rPr>
        <w:t>Why it matters</w:t>
      </w:r>
      <w:r w:rsidRPr="00CC044B">
        <w:rPr>
          <w:rFonts w:ascii="Arial" w:eastAsia="DengXian" w:hAnsi="Arial" w:cs="Arial"/>
          <w:kern w:val="0"/>
          <w:lang w:eastAsia="en-GB"/>
        </w:rPr>
        <w:t>: Health and social care are always evolving; effective change ensures services remain safe, up-to-date, and responsive to the needs of service users and their families.</w:t>
      </w:r>
    </w:p>
    <w:p w14:paraId="31461E38" w14:textId="77777777" w:rsidR="00CD71EA" w:rsidRPr="00CC044B" w:rsidRDefault="00C15C99">
      <w:pPr>
        <w:suppressAutoHyphens w:val="0"/>
        <w:spacing w:before="120" w:after="120"/>
        <w:rPr>
          <w:rFonts w:ascii="Arial" w:hAnsi="Arial" w:cs="Arial"/>
        </w:rPr>
      </w:pPr>
      <w:r w:rsidRPr="00CC044B">
        <w:rPr>
          <w:rFonts w:ascii="Arial" w:eastAsia="DengXian" w:hAnsi="Arial" w:cs="Arial"/>
          <w:b/>
          <w:bCs/>
          <w:kern w:val="0"/>
          <w:lang w:eastAsia="en-GB"/>
        </w:rPr>
        <w:t>Example</w:t>
      </w:r>
      <w:r w:rsidRPr="00CC044B">
        <w:rPr>
          <w:rFonts w:ascii="Arial" w:eastAsia="DengXian" w:hAnsi="Arial" w:cs="Arial"/>
          <w:kern w:val="0"/>
          <w:lang w:eastAsia="en-GB"/>
        </w:rPr>
        <w:t>: Updating hand hygiene and infection control procedures following new public health guidelines, with training and ongoing support to help all staff adopt and consistently follow the new standards.</w:t>
      </w:r>
    </w:p>
    <w:p w14:paraId="31461E39" w14:textId="77777777" w:rsidR="00CD71EA" w:rsidRPr="00CC044B" w:rsidRDefault="00CD71EA">
      <w:pPr>
        <w:pBdr>
          <w:bottom w:val="single" w:sz="6" w:space="1" w:color="000000"/>
        </w:pBdr>
        <w:suppressAutoHyphens w:val="0"/>
        <w:spacing w:after="0" w:line="240" w:lineRule="auto"/>
        <w:rPr>
          <w:rFonts w:ascii="Arial" w:eastAsia="Times New Roman" w:hAnsi="Arial" w:cs="Arial"/>
          <w:kern w:val="0"/>
          <w:lang w:eastAsia="en-GB"/>
        </w:rPr>
      </w:pPr>
    </w:p>
    <w:p w14:paraId="31461E3A" w14:textId="77777777" w:rsidR="00CD71EA" w:rsidRPr="00CC044B" w:rsidRDefault="00C15C99">
      <w:pPr>
        <w:pStyle w:val="Heading2"/>
        <w:rPr>
          <w:rFonts w:ascii="Arial" w:hAnsi="Arial" w:cs="Arial"/>
          <w:sz w:val="22"/>
          <w:szCs w:val="22"/>
        </w:rPr>
      </w:pPr>
      <w:r w:rsidRPr="00135075">
        <w:rPr>
          <w:rFonts w:ascii="Arial" w:hAnsi="Arial" w:cs="Arial"/>
          <w:b/>
          <w:bCs/>
          <w:color w:val="auto"/>
          <w:sz w:val="28"/>
          <w:szCs w:val="28"/>
        </w:rPr>
        <w:lastRenderedPageBreak/>
        <w:t>Task 2: Mind map</w:t>
      </w:r>
      <w:r w:rsidRPr="00CC044B">
        <w:rPr>
          <w:rFonts w:ascii="Arial" w:hAnsi="Arial" w:cs="Arial"/>
          <w:color w:val="auto"/>
          <w:sz w:val="22"/>
          <w:szCs w:val="22"/>
        </w:rPr>
        <w:t xml:space="preserve"> </w:t>
      </w:r>
      <w:r w:rsidRPr="00CC044B">
        <w:rPr>
          <w:rFonts w:ascii="Arial" w:hAnsi="Arial" w:cs="Arial"/>
          <w:noProof/>
          <w:sz w:val="22"/>
          <w:szCs w:val="22"/>
        </w:rPr>
        <w:drawing>
          <wp:inline distT="0" distB="0" distL="0" distR="0" wp14:anchorId="31461E05" wp14:editId="31461E06">
            <wp:extent cx="6309405" cy="4199839"/>
            <wp:effectExtent l="0" t="0" r="0" b="0"/>
            <wp:docPr id="211892219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309405" cy="4199839"/>
                    </a:xfrm>
                    <a:prstGeom prst="rect">
                      <a:avLst/>
                    </a:prstGeom>
                    <a:noFill/>
                    <a:ln>
                      <a:noFill/>
                      <a:prstDash/>
                    </a:ln>
                  </pic:spPr>
                </pic:pic>
              </a:graphicData>
            </a:graphic>
          </wp:inline>
        </w:drawing>
      </w:r>
    </w:p>
    <w:p w14:paraId="31461E3B" w14:textId="77777777" w:rsidR="00CD71EA" w:rsidRPr="00CC044B" w:rsidRDefault="00C15C99">
      <w:pPr>
        <w:suppressAutoHyphens w:val="0"/>
        <w:spacing w:after="0"/>
        <w:rPr>
          <w:rFonts w:ascii="Arial" w:eastAsia="Times New Roman" w:hAnsi="Arial" w:cs="Arial"/>
          <w:kern w:val="0"/>
          <w:lang w:eastAsia="en-GB"/>
        </w:rPr>
      </w:pPr>
      <w:r w:rsidRPr="00CC044B">
        <w:rPr>
          <w:rFonts w:ascii="Arial" w:eastAsia="Times New Roman" w:hAnsi="Arial" w:cs="Arial"/>
          <w:kern w:val="0"/>
          <w:lang w:eastAsia="en-GB"/>
        </w:rPr>
        <w:t> </w:t>
      </w:r>
    </w:p>
    <w:p w14:paraId="31461E3C" w14:textId="77777777" w:rsidR="00CD71EA" w:rsidRPr="00CC044B" w:rsidRDefault="00C15C99">
      <w:pPr>
        <w:suppressAutoHyphens w:val="0"/>
        <w:spacing w:after="0"/>
        <w:rPr>
          <w:rFonts w:ascii="Arial" w:eastAsia="Times New Roman" w:hAnsi="Arial" w:cs="Arial"/>
          <w:kern w:val="0"/>
          <w:lang w:eastAsia="en-GB"/>
        </w:rPr>
      </w:pPr>
      <w:r w:rsidRPr="00CC044B">
        <w:rPr>
          <w:rFonts w:ascii="Arial" w:eastAsia="Times New Roman" w:hAnsi="Arial" w:cs="Arial"/>
          <w:kern w:val="0"/>
          <w:lang w:eastAsia="en-GB"/>
        </w:rPr>
        <w:t>Extended waiting periods within NHS primary care represent a significant systemic challenge. Drawing on systems thinking theory (Meadows, 2008), this issue is best understood as a result of interconnected factors rather than one single problem. The mind map is structured into four key areas: root causes, impacts, groups most affected, and potential solutions.</w:t>
      </w:r>
    </w:p>
    <w:p w14:paraId="31461E3D" w14:textId="77777777" w:rsidR="00CD71EA" w:rsidRPr="00CC044B" w:rsidRDefault="00C15C99">
      <w:pPr>
        <w:suppressAutoHyphens w:val="0"/>
        <w:spacing w:after="0"/>
        <w:rPr>
          <w:rFonts w:ascii="Arial" w:eastAsia="Times New Roman" w:hAnsi="Arial" w:cs="Arial"/>
          <w:kern w:val="0"/>
          <w:lang w:eastAsia="en-GB"/>
        </w:rPr>
      </w:pPr>
      <w:r w:rsidRPr="00CC044B">
        <w:rPr>
          <w:rFonts w:ascii="Arial" w:eastAsia="Times New Roman" w:hAnsi="Arial" w:cs="Arial"/>
          <w:kern w:val="0"/>
          <w:lang w:eastAsia="en-GB"/>
        </w:rPr>
        <w:t>Key underlying issues include long-term funding gaps, staffing shortages, and rising patient demand, which collectively lead to overwork and reduced service capacity (Buchan et al., 2021). The burden falls most heavily on vulnerable individuals, including older adults and those living with chronic illnesses. Left unresolved, delays can result in late diagnosis, poorer health outcomes, and greater pressure on emergency services (NHS England, 2024). Meaningful improvement requires coordinated investment, better workforce support, and modernised access to care.</w:t>
      </w:r>
    </w:p>
    <w:p w14:paraId="31461E3E" w14:textId="77777777" w:rsidR="00CD71EA" w:rsidRPr="00CC044B" w:rsidRDefault="00CD71EA">
      <w:pPr>
        <w:suppressAutoHyphens w:val="0"/>
        <w:spacing w:after="0"/>
        <w:outlineLvl w:val="2"/>
        <w:rPr>
          <w:rFonts w:ascii="Arial" w:eastAsia="Times New Roman" w:hAnsi="Arial" w:cs="Arial"/>
          <w:b/>
          <w:bCs/>
          <w:kern w:val="0"/>
          <w:lang w:eastAsia="en-GB"/>
        </w:rPr>
      </w:pPr>
    </w:p>
    <w:p w14:paraId="31461E3F" w14:textId="77777777" w:rsidR="00CD71EA" w:rsidRPr="00CC044B" w:rsidRDefault="00CD71EA">
      <w:pPr>
        <w:suppressAutoHyphens w:val="0"/>
        <w:spacing w:after="0"/>
        <w:outlineLvl w:val="2"/>
        <w:rPr>
          <w:rFonts w:ascii="Arial" w:eastAsia="Times New Roman" w:hAnsi="Arial" w:cs="Arial"/>
          <w:b/>
          <w:bCs/>
          <w:kern w:val="0"/>
          <w:lang w:eastAsia="en-GB"/>
        </w:rPr>
      </w:pPr>
    </w:p>
    <w:p w14:paraId="31461E40" w14:textId="77777777" w:rsidR="00CD71EA" w:rsidRPr="00CC044B" w:rsidRDefault="00CD71EA">
      <w:pPr>
        <w:suppressAutoHyphens w:val="0"/>
        <w:spacing w:after="0"/>
        <w:outlineLvl w:val="2"/>
        <w:rPr>
          <w:rFonts w:ascii="Arial" w:eastAsia="Times New Roman" w:hAnsi="Arial" w:cs="Arial"/>
          <w:b/>
          <w:bCs/>
          <w:kern w:val="0"/>
          <w:lang w:eastAsia="en-GB"/>
        </w:rPr>
      </w:pPr>
    </w:p>
    <w:p w14:paraId="45B517E1" w14:textId="77777777" w:rsidR="00CC044B" w:rsidRDefault="00CC044B">
      <w:pPr>
        <w:suppressAutoHyphens w:val="0"/>
        <w:spacing w:after="0"/>
        <w:outlineLvl w:val="2"/>
        <w:rPr>
          <w:rFonts w:ascii="Arial" w:eastAsia="Times New Roman" w:hAnsi="Arial" w:cs="Arial"/>
          <w:b/>
          <w:bCs/>
          <w:kern w:val="0"/>
          <w:lang w:eastAsia="en-GB"/>
        </w:rPr>
      </w:pPr>
    </w:p>
    <w:p w14:paraId="7BD76EC3" w14:textId="77777777" w:rsidR="00CC044B" w:rsidRDefault="00CC044B">
      <w:pPr>
        <w:suppressAutoHyphens w:val="0"/>
        <w:spacing w:after="0"/>
        <w:outlineLvl w:val="2"/>
        <w:rPr>
          <w:rFonts w:ascii="Arial" w:eastAsia="Times New Roman" w:hAnsi="Arial" w:cs="Arial"/>
          <w:b/>
          <w:bCs/>
          <w:kern w:val="0"/>
          <w:lang w:eastAsia="en-GB"/>
        </w:rPr>
      </w:pPr>
    </w:p>
    <w:p w14:paraId="31461E41" w14:textId="4F61F3EB" w:rsidR="00CD71EA" w:rsidRPr="00135075" w:rsidRDefault="00C15C99">
      <w:pPr>
        <w:suppressAutoHyphens w:val="0"/>
        <w:spacing w:after="0"/>
        <w:outlineLvl w:val="2"/>
        <w:rPr>
          <w:rFonts w:ascii="Arial" w:hAnsi="Arial" w:cs="Arial"/>
          <w:sz w:val="28"/>
          <w:szCs w:val="28"/>
        </w:rPr>
      </w:pPr>
      <w:r w:rsidRPr="00135075">
        <w:rPr>
          <w:rFonts w:ascii="Arial" w:eastAsia="Times New Roman" w:hAnsi="Arial" w:cs="Arial"/>
          <w:b/>
          <w:bCs/>
          <w:kern w:val="0"/>
          <w:sz w:val="28"/>
          <w:szCs w:val="28"/>
          <w:lang w:eastAsia="en-GB"/>
        </w:rPr>
        <w:t>Task 3</w:t>
      </w:r>
      <w:r w:rsidRPr="00135075">
        <w:rPr>
          <w:rFonts w:ascii="Arial" w:eastAsia="Times New Roman" w:hAnsi="Arial" w:cs="Arial"/>
          <w:color w:val="000000"/>
          <w:kern w:val="0"/>
          <w:sz w:val="28"/>
          <w:szCs w:val="28"/>
          <w:lang w:eastAsia="en-GB"/>
        </w:rPr>
        <w:t xml:space="preserve">: </w:t>
      </w:r>
      <w:r w:rsidRPr="00135075">
        <w:rPr>
          <w:rFonts w:ascii="Arial" w:eastAsia="Times New Roman" w:hAnsi="Arial" w:cs="Arial"/>
          <w:b/>
          <w:bCs/>
          <w:color w:val="000000"/>
          <w:kern w:val="0"/>
          <w:sz w:val="28"/>
          <w:szCs w:val="28"/>
          <w:lang w:eastAsia="en-GB"/>
        </w:rPr>
        <w:t>Self-Reflection: Convergent and Divergent Thinking Activity</w:t>
      </w:r>
    </w:p>
    <w:p w14:paraId="31461E42" w14:textId="77777777" w:rsidR="00CD71EA" w:rsidRPr="00CC044B" w:rsidRDefault="00C15C99">
      <w:pPr>
        <w:suppressAutoHyphens w:val="0"/>
        <w:spacing w:after="0"/>
        <w:rPr>
          <w:rFonts w:ascii="Arial" w:hAnsi="Arial" w:cs="Arial"/>
        </w:rPr>
      </w:pPr>
      <w:r w:rsidRPr="00CC044B">
        <w:rPr>
          <w:rFonts w:ascii="Arial" w:eastAsia="Times New Roman" w:hAnsi="Arial" w:cs="Arial"/>
          <w:i/>
          <w:iCs/>
          <w:color w:val="000000"/>
          <w:kern w:val="0"/>
          <w:lang w:eastAsia="en-GB"/>
        </w:rPr>
        <w:t>Reflective model applied: Gibbs’ Reflective Cycle (Gibbs, 1988)</w:t>
      </w:r>
    </w:p>
    <w:p w14:paraId="31461E43"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Description</w:t>
      </w:r>
    </w:p>
    <w:p w14:paraId="31461E44"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Divergent thinking is the process of producing a wide range of original, open-ended ideas without immediate criticism. In contrast, convergent thinking focuses on analysing, filtering, and selecting the most logical or workable solution from those ideas (Guilford, 1967). During our group task to develop an improvement for a care service, we began with open brainstorming — I put forward suggestions such as enhanced staff training and more flexible appointment times. At one point, the group could not reach a consensus, so I proposed creating a list of pros and cons. This shifted our work into convergent thinking, helping us assess each option and agree on the most realistic plan.</w:t>
      </w:r>
    </w:p>
    <w:p w14:paraId="31461E45"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Feelings</w:t>
      </w:r>
    </w:p>
    <w:p w14:paraId="31461E46"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 found the creative stage exciting and engaging, but I felt uncertain when discussions became stuck. Once we moved to structured evaluation, I felt more assured and able to contribute to moving the task forward.</w:t>
      </w:r>
    </w:p>
    <w:p w14:paraId="31461E47"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Evaluation</w:t>
      </w:r>
    </w:p>
    <w:p w14:paraId="31461E48"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Generating ideas came easily to me, yet I found it hard to stop exploring new possibilities and switch to decision</w:t>
      </w:r>
      <w:r w:rsidRPr="00CC044B">
        <w:rPr>
          <w:rFonts w:ascii="Arial" w:eastAsia="Times New Roman" w:hAnsi="Arial" w:cs="Arial"/>
          <w:color w:val="000000"/>
          <w:kern w:val="0"/>
          <w:lang w:eastAsia="en-GB"/>
        </w:rPr>
        <w:noBreakHyphen/>
        <w:t>making. Our collaboration was positive overall, though we spent longer than necessary generating options before starting to narrow them down.</w:t>
      </w:r>
    </w:p>
    <w:p w14:paraId="31461E49"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4A" w14:textId="77777777" w:rsidR="00CD71EA" w:rsidRPr="00CC044B" w:rsidRDefault="00C15C99">
      <w:pPr>
        <w:suppressAutoHyphens w:val="0"/>
        <w:spacing w:after="0"/>
        <w:rPr>
          <w:rFonts w:ascii="Arial" w:eastAsia="Times New Roman" w:hAnsi="Arial" w:cs="Arial"/>
          <w:b/>
          <w:bCs/>
          <w:color w:val="000000"/>
          <w:kern w:val="0"/>
          <w:lang w:eastAsia="en-GB"/>
        </w:rPr>
      </w:pPr>
      <w:r w:rsidRPr="00CC044B">
        <w:rPr>
          <w:rFonts w:ascii="Arial" w:eastAsia="Times New Roman" w:hAnsi="Arial" w:cs="Arial"/>
          <w:b/>
          <w:bCs/>
          <w:color w:val="000000"/>
          <w:kern w:val="0"/>
          <w:lang w:eastAsia="en-GB"/>
        </w:rPr>
        <w:t>Analysis</w:t>
      </w:r>
    </w:p>
    <w:p w14:paraId="31461E4B"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My natural tendency towards creativity meant I added plenty of suggestions, but this sometimes slowed progress. Using clear evaluation criteria helped balance exploration and focus; as Moon (2004) explains, reflection helps us identify our strengths and adjust how we think and work with others.</w:t>
      </w:r>
    </w:p>
    <w:p w14:paraId="31461E4C"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4D"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Conclusion</w:t>
      </w:r>
    </w:p>
    <w:p w14:paraId="31461E4E"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 realised I am confident in idea generation, but I need to develop my ability to guide the group towards conclusions. I also understood that using both thinking styles together leads to stronger, more well-rounded results.</w:t>
      </w:r>
    </w:p>
    <w:p w14:paraId="31461E4F"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Action Plan</w:t>
      </w:r>
    </w:p>
    <w:p w14:paraId="31461E50"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In future activities, I will propose setting a time limit for idea generation and introducing evaluation standards earlier. This will help keep the group balanced, productive, and focused on the task goal.</w:t>
      </w:r>
    </w:p>
    <w:p w14:paraId="31461E51" w14:textId="77777777" w:rsidR="00CD71EA" w:rsidRPr="00CC044B" w:rsidRDefault="00CD71EA">
      <w:pPr>
        <w:suppressAutoHyphens w:val="0"/>
        <w:spacing w:after="0"/>
        <w:rPr>
          <w:rFonts w:ascii="Arial" w:eastAsia="Times New Roman" w:hAnsi="Arial" w:cs="Arial"/>
          <w:color w:val="000000"/>
          <w:kern w:val="0"/>
          <w:lang w:eastAsia="en-GB"/>
        </w:rPr>
      </w:pPr>
    </w:p>
    <w:p w14:paraId="31461E52" w14:textId="77777777" w:rsidR="00CD71EA" w:rsidRPr="00CC044B" w:rsidRDefault="00CD71EA">
      <w:pPr>
        <w:suppressAutoHyphens w:val="0"/>
        <w:spacing w:after="0" w:line="360" w:lineRule="atLeast"/>
        <w:outlineLvl w:val="2"/>
        <w:rPr>
          <w:rFonts w:ascii="Arial" w:eastAsia="Times New Roman" w:hAnsi="Arial" w:cs="Arial"/>
          <w:color w:val="000000"/>
          <w:kern w:val="0"/>
          <w:lang w:eastAsia="en-GB"/>
        </w:rPr>
      </w:pPr>
    </w:p>
    <w:p w14:paraId="151D2E71" w14:textId="77777777" w:rsidR="00CC044B" w:rsidRDefault="00CC044B">
      <w:pPr>
        <w:suppressAutoHyphens w:val="0"/>
        <w:spacing w:after="0"/>
        <w:outlineLvl w:val="2"/>
        <w:rPr>
          <w:rFonts w:ascii="Arial" w:eastAsia="Times New Roman" w:hAnsi="Arial" w:cs="Arial"/>
          <w:b/>
          <w:bCs/>
          <w:color w:val="000000"/>
          <w:kern w:val="0"/>
          <w:lang w:eastAsia="en-GB"/>
        </w:rPr>
      </w:pPr>
    </w:p>
    <w:p w14:paraId="31461E53" w14:textId="12C11A5D" w:rsidR="00CD71EA" w:rsidRPr="00135075" w:rsidRDefault="00C15C99">
      <w:pPr>
        <w:suppressAutoHyphens w:val="0"/>
        <w:spacing w:after="0"/>
        <w:outlineLvl w:val="2"/>
        <w:rPr>
          <w:rFonts w:ascii="Arial" w:eastAsia="Times New Roman" w:hAnsi="Arial" w:cs="Arial"/>
          <w:b/>
          <w:bCs/>
          <w:color w:val="000000"/>
          <w:kern w:val="0"/>
          <w:sz w:val="28"/>
          <w:szCs w:val="28"/>
          <w:lang w:eastAsia="en-GB"/>
        </w:rPr>
      </w:pPr>
      <w:r w:rsidRPr="00135075">
        <w:rPr>
          <w:rFonts w:ascii="Arial" w:eastAsia="Times New Roman" w:hAnsi="Arial" w:cs="Arial"/>
          <w:b/>
          <w:bCs/>
          <w:color w:val="000000"/>
          <w:kern w:val="0"/>
          <w:sz w:val="28"/>
          <w:szCs w:val="28"/>
          <w:lang w:eastAsia="en-GB"/>
        </w:rPr>
        <w:t>Task 4: Case Study: NHS Virtual Wards – Medway SMART Acute Virtual Hospital</w:t>
      </w:r>
    </w:p>
    <w:p w14:paraId="31461E54" w14:textId="77777777" w:rsidR="00CD71EA" w:rsidRPr="00CC044B" w:rsidRDefault="00CD71EA">
      <w:pPr>
        <w:suppressAutoHyphens w:val="0"/>
        <w:spacing w:after="0"/>
        <w:rPr>
          <w:rFonts w:ascii="Arial" w:eastAsia="Times New Roman" w:hAnsi="Arial" w:cs="Arial"/>
          <w:color w:val="000000"/>
          <w:kern w:val="0"/>
          <w:lang w:eastAsia="en-GB"/>
        </w:rPr>
      </w:pPr>
    </w:p>
    <w:p w14:paraId="31461E55"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What was the need?</w:t>
      </w:r>
    </w:p>
    <w:p w14:paraId="31461E56"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The NHS has long struggled with limited hospital beds, long waiting times, and risks like infections or loss of strength when patients stay in hospital unnecessarily. Before this innovation, people with stable but acute health issues often had to remain in hospital, which could slow their recovery and reduce their independence.</w:t>
      </w:r>
    </w:p>
    <w:p w14:paraId="31461E57"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How creativity helped</w:t>
      </w:r>
    </w:p>
    <w:p w14:paraId="31461E58"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Instead of seeing a “ward” as only a physical space, Medway NHS Trust reimagined care: they brought hospital-standard support into patients’ own homes. Patients receive simple monitoring equipment, regular check-ins by phone or video, and clear plans to get help quickly if their condition changes.</w:t>
      </w:r>
    </w:p>
    <w:p w14:paraId="31461E59"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Value created</w:t>
      </w:r>
    </w:p>
    <w:p w14:paraId="31461E5A" w14:textId="77777777" w:rsidR="00CD71EA" w:rsidRPr="00CC044B" w:rsidRDefault="00C15C99">
      <w:pPr>
        <w:numPr>
          <w:ilvl w:val="0"/>
          <w:numId w:val="1"/>
        </w:numPr>
        <w:suppressAutoHyphens w:val="0"/>
        <w:spacing w:after="0"/>
        <w:rPr>
          <w:rFonts w:ascii="Arial" w:hAnsi="Arial" w:cs="Arial"/>
        </w:rPr>
      </w:pPr>
      <w:r w:rsidRPr="00CC044B">
        <w:rPr>
          <w:rFonts w:ascii="Arial" w:eastAsia="Times New Roman" w:hAnsi="Arial" w:cs="Arial"/>
          <w:b/>
          <w:bCs/>
          <w:color w:val="000000"/>
          <w:kern w:val="0"/>
          <w:lang w:eastAsia="en-GB"/>
        </w:rPr>
        <w:t>For patients</w:t>
      </w:r>
      <w:r w:rsidRPr="00CC044B">
        <w:rPr>
          <w:rFonts w:ascii="Arial" w:eastAsia="Times New Roman" w:hAnsi="Arial" w:cs="Arial"/>
          <w:color w:val="000000"/>
          <w:kern w:val="0"/>
          <w:lang w:eastAsia="en-GB"/>
        </w:rPr>
        <w:t>: They recover faster, stay in familiar surroundings, and face far fewer risks of infection or becoming less mobile.</w:t>
      </w:r>
    </w:p>
    <w:p w14:paraId="31461E5B" w14:textId="77777777" w:rsidR="00CD71EA" w:rsidRPr="00CC044B" w:rsidRDefault="00C15C99">
      <w:pPr>
        <w:numPr>
          <w:ilvl w:val="0"/>
          <w:numId w:val="1"/>
        </w:numPr>
        <w:suppressAutoHyphens w:val="0"/>
        <w:spacing w:after="0"/>
        <w:rPr>
          <w:rFonts w:ascii="Arial" w:hAnsi="Arial" w:cs="Arial"/>
        </w:rPr>
      </w:pPr>
      <w:r w:rsidRPr="00CC044B">
        <w:rPr>
          <w:rFonts w:ascii="Arial" w:eastAsia="Times New Roman" w:hAnsi="Arial" w:cs="Arial"/>
          <w:b/>
          <w:bCs/>
          <w:color w:val="000000"/>
          <w:kern w:val="0"/>
          <w:lang w:eastAsia="en-GB"/>
        </w:rPr>
        <w:t>For staff</w:t>
      </w:r>
      <w:r w:rsidRPr="00CC044B">
        <w:rPr>
          <w:rFonts w:ascii="Arial" w:eastAsia="Times New Roman" w:hAnsi="Arial" w:cs="Arial"/>
          <w:color w:val="000000"/>
          <w:kern w:val="0"/>
          <w:lang w:eastAsia="en-GB"/>
        </w:rPr>
        <w:t>: Work becomes more flexible and focused on what matters most.</w:t>
      </w:r>
    </w:p>
    <w:p w14:paraId="31461E5C" w14:textId="77777777" w:rsidR="00CD71EA" w:rsidRPr="00CC044B" w:rsidRDefault="00C15C99">
      <w:pPr>
        <w:numPr>
          <w:ilvl w:val="0"/>
          <w:numId w:val="1"/>
        </w:numPr>
        <w:suppressAutoHyphens w:val="0"/>
        <w:spacing w:after="0"/>
        <w:rPr>
          <w:rFonts w:ascii="Arial" w:hAnsi="Arial" w:cs="Arial"/>
        </w:rPr>
      </w:pPr>
      <w:r w:rsidRPr="00CC044B">
        <w:rPr>
          <w:rFonts w:ascii="Arial" w:eastAsia="Times New Roman" w:hAnsi="Arial" w:cs="Arial"/>
          <w:b/>
          <w:bCs/>
          <w:color w:val="000000"/>
          <w:kern w:val="0"/>
          <w:lang w:eastAsia="en-GB"/>
        </w:rPr>
        <w:t>For the NHS</w:t>
      </w:r>
      <w:r w:rsidRPr="00CC044B">
        <w:rPr>
          <w:rFonts w:ascii="Arial" w:eastAsia="Times New Roman" w:hAnsi="Arial" w:cs="Arial"/>
          <w:color w:val="000000"/>
          <w:kern w:val="0"/>
          <w:lang w:eastAsia="en-GB"/>
        </w:rPr>
        <w:t>: It frees up beds and saves money — around £1,135 per person treated.</w:t>
      </w:r>
    </w:p>
    <w:p w14:paraId="31461E5D"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Reported results</w:t>
      </w:r>
    </w:p>
    <w:p w14:paraId="31461E5E"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In just three months, the service saved nearly 4,900 bed days, created the equivalent of 54 extra beds every month, and 99% of patients said they would recommend it.</w:t>
      </w:r>
    </w:p>
    <w:p w14:paraId="31461E5F"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Theory link</w:t>
      </w:r>
    </w:p>
    <w:p w14:paraId="31461E60" w14:textId="77777777" w:rsidR="00CD71EA" w:rsidRPr="00CC044B" w:rsidRDefault="00C15C99">
      <w:pPr>
        <w:suppressAutoHyphens w:val="0"/>
        <w:spacing w:after="0"/>
        <w:rPr>
          <w:rFonts w:ascii="Arial" w:hAnsi="Arial" w:cs="Arial"/>
        </w:rPr>
      </w:pPr>
      <w:r w:rsidRPr="00CC044B">
        <w:rPr>
          <w:rFonts w:ascii="Arial" w:eastAsia="Times New Roman" w:hAnsi="Arial" w:cs="Arial"/>
          <w:color w:val="000000"/>
          <w:kern w:val="0"/>
          <w:lang w:eastAsia="en-GB"/>
        </w:rPr>
        <w:t xml:space="preserve">This fits </w:t>
      </w:r>
      <w:r w:rsidRPr="00CC044B">
        <w:rPr>
          <w:rFonts w:ascii="Arial" w:eastAsia="Times New Roman" w:hAnsi="Arial" w:cs="Arial"/>
          <w:b/>
          <w:bCs/>
          <w:color w:val="000000"/>
          <w:kern w:val="0"/>
          <w:lang w:eastAsia="en-GB"/>
        </w:rPr>
        <w:t>Rogers’ Diffusion of Innovation Theory (2003)</w:t>
      </w:r>
      <w:r w:rsidRPr="00CC044B">
        <w:rPr>
          <w:rFonts w:ascii="Arial" w:eastAsia="Times New Roman" w:hAnsi="Arial" w:cs="Arial"/>
          <w:color w:val="000000"/>
          <w:kern w:val="0"/>
          <w:lang w:eastAsia="en-GB"/>
        </w:rPr>
        <w:t>: it spread because it was clearly useful, easy to understand, and brought real benefits to everyone involved.</w:t>
      </w:r>
    </w:p>
    <w:p w14:paraId="31461E61"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Sources</w:t>
      </w:r>
      <w:r w:rsidRPr="00CC044B">
        <w:rPr>
          <w:rFonts w:ascii="Arial" w:eastAsia="Times New Roman" w:hAnsi="Arial" w:cs="Arial"/>
          <w:color w:val="000000"/>
          <w:kern w:val="0"/>
          <w:lang w:eastAsia="en-GB"/>
        </w:rPr>
        <w:t>: NHS England (2026); Getting It Right First Time (GIRFT, 2024)</w:t>
      </w:r>
    </w:p>
    <w:p w14:paraId="31461E62"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3"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4"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5"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6"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7"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8" w14:textId="77777777" w:rsidR="00CD71EA" w:rsidRPr="00CC044B" w:rsidRDefault="00CD71EA">
      <w:pPr>
        <w:suppressAutoHyphens w:val="0"/>
        <w:spacing w:after="0"/>
        <w:rPr>
          <w:rFonts w:ascii="Arial" w:eastAsia="Times New Roman" w:hAnsi="Arial" w:cs="Arial"/>
          <w:b/>
          <w:bCs/>
          <w:color w:val="000000"/>
          <w:kern w:val="0"/>
          <w:lang w:eastAsia="en-GB"/>
        </w:rPr>
      </w:pPr>
    </w:p>
    <w:p w14:paraId="31461E69" w14:textId="77777777" w:rsidR="00CD71EA" w:rsidRPr="00CC044B" w:rsidRDefault="00CD71EA">
      <w:pPr>
        <w:suppressAutoHyphens w:val="0"/>
        <w:spacing w:after="0"/>
        <w:rPr>
          <w:rFonts w:ascii="Arial" w:eastAsia="Times New Roman" w:hAnsi="Arial" w:cs="Arial"/>
          <w:b/>
          <w:bCs/>
          <w:color w:val="000000"/>
          <w:kern w:val="0"/>
          <w:lang w:eastAsia="en-GB"/>
        </w:rPr>
      </w:pPr>
    </w:p>
    <w:p w14:paraId="4AC4B0BE" w14:textId="77777777" w:rsidR="00CC044B" w:rsidRDefault="00CC044B">
      <w:pPr>
        <w:suppressAutoHyphens w:val="0"/>
        <w:spacing w:after="0"/>
        <w:rPr>
          <w:rFonts w:ascii="Arial" w:eastAsia="Times New Roman" w:hAnsi="Arial" w:cs="Arial"/>
          <w:b/>
          <w:bCs/>
          <w:color w:val="000000"/>
          <w:kern w:val="0"/>
          <w:lang w:eastAsia="en-GB"/>
        </w:rPr>
      </w:pPr>
    </w:p>
    <w:p w14:paraId="559B4B61" w14:textId="77777777" w:rsidR="00CC044B" w:rsidRDefault="00CC044B">
      <w:pPr>
        <w:suppressAutoHyphens w:val="0"/>
        <w:spacing w:after="0"/>
        <w:rPr>
          <w:rFonts w:ascii="Arial" w:eastAsia="Times New Roman" w:hAnsi="Arial" w:cs="Arial"/>
          <w:b/>
          <w:bCs/>
          <w:color w:val="000000"/>
          <w:kern w:val="0"/>
          <w:lang w:eastAsia="en-GB"/>
        </w:rPr>
      </w:pPr>
    </w:p>
    <w:p w14:paraId="57FE9F8E" w14:textId="77777777" w:rsidR="00CC044B" w:rsidRDefault="00CC044B">
      <w:pPr>
        <w:suppressAutoHyphens w:val="0"/>
        <w:spacing w:after="0"/>
        <w:rPr>
          <w:rFonts w:ascii="Arial" w:eastAsia="Times New Roman" w:hAnsi="Arial" w:cs="Arial"/>
          <w:b/>
          <w:bCs/>
          <w:color w:val="000000"/>
          <w:kern w:val="0"/>
          <w:lang w:eastAsia="en-GB"/>
        </w:rPr>
      </w:pPr>
    </w:p>
    <w:p w14:paraId="3DCA97D6" w14:textId="77777777" w:rsidR="00CC044B" w:rsidRDefault="00CC044B">
      <w:pPr>
        <w:suppressAutoHyphens w:val="0"/>
        <w:spacing w:after="0"/>
        <w:rPr>
          <w:rFonts w:ascii="Arial" w:eastAsia="Times New Roman" w:hAnsi="Arial" w:cs="Arial"/>
          <w:b/>
          <w:bCs/>
          <w:color w:val="000000"/>
          <w:kern w:val="0"/>
          <w:lang w:eastAsia="en-GB"/>
        </w:rPr>
      </w:pPr>
    </w:p>
    <w:p w14:paraId="31461E6A" w14:textId="5E3BF8F4" w:rsidR="00CD71EA" w:rsidRPr="00135075" w:rsidRDefault="00C15C99">
      <w:pPr>
        <w:suppressAutoHyphens w:val="0"/>
        <w:spacing w:after="0"/>
        <w:rPr>
          <w:rFonts w:ascii="Arial" w:eastAsia="Times New Roman" w:hAnsi="Arial" w:cs="Arial"/>
          <w:b/>
          <w:bCs/>
          <w:color w:val="000000"/>
          <w:kern w:val="0"/>
          <w:sz w:val="28"/>
          <w:szCs w:val="28"/>
          <w:lang w:eastAsia="en-GB"/>
        </w:rPr>
      </w:pPr>
      <w:r w:rsidRPr="00135075">
        <w:rPr>
          <w:rFonts w:ascii="Arial" w:eastAsia="Times New Roman" w:hAnsi="Arial" w:cs="Arial"/>
          <w:b/>
          <w:bCs/>
          <w:color w:val="000000"/>
          <w:kern w:val="0"/>
          <w:sz w:val="28"/>
          <w:szCs w:val="28"/>
          <w:lang w:eastAsia="en-GB"/>
        </w:rPr>
        <w:t xml:space="preserve">Task 5: Research </w:t>
      </w:r>
    </w:p>
    <w:p w14:paraId="31461E6B" w14:textId="77777777" w:rsidR="00CD71EA" w:rsidRPr="00CC044B" w:rsidRDefault="00C15C99">
      <w:pPr>
        <w:suppressAutoHyphens w:val="0"/>
        <w:spacing w:after="0"/>
        <w:outlineLvl w:val="2"/>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Issue: Work-Related Stress and Burnout Among Care Staff</w:t>
      </w:r>
    </w:p>
    <w:p w14:paraId="31461E6C" w14:textId="77777777" w:rsidR="00CD71EA" w:rsidRPr="00CC044B" w:rsidRDefault="00C15C99">
      <w:pPr>
        <w:suppressAutoHyphens w:val="0"/>
        <w:spacing w:after="0"/>
        <w:outlineLvl w:val="2"/>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Article 1</w:t>
      </w:r>
    </w:p>
    <w:p w14:paraId="31461E6D" w14:textId="77777777" w:rsidR="00CD71EA" w:rsidRPr="00CC044B" w:rsidRDefault="00C15C99">
      <w:pPr>
        <w:suppressAutoHyphens w:val="0"/>
        <w:spacing w:after="0"/>
        <w:outlineLvl w:val="2"/>
        <w:rPr>
          <w:rFonts w:ascii="Arial" w:hAnsi="Arial" w:cs="Arial"/>
        </w:rPr>
      </w:pPr>
      <w:r w:rsidRPr="00CC044B">
        <w:rPr>
          <w:rFonts w:ascii="Arial" w:eastAsia="Times New Roman" w:hAnsi="Arial" w:cs="Arial"/>
          <w:color w:val="000000"/>
          <w:kern w:val="0"/>
          <w:lang w:eastAsia="en-GB"/>
        </w:rPr>
        <w:t xml:space="preserve"> </w:t>
      </w:r>
      <w:r w:rsidRPr="00CC044B">
        <w:rPr>
          <w:rStyle w:val="Strong"/>
          <w:rFonts w:ascii="Arial" w:hAnsi="Arial" w:cs="Arial"/>
          <w:color w:val="000000"/>
        </w:rPr>
        <w:t>Source</w:t>
      </w:r>
      <w:r w:rsidRPr="00CC044B">
        <w:rPr>
          <w:rFonts w:ascii="Arial" w:hAnsi="Arial" w:cs="Arial"/>
        </w:rPr>
        <w:t xml:space="preserve">: </w:t>
      </w:r>
      <w:proofErr w:type="spellStart"/>
      <w:r w:rsidRPr="00CC044B">
        <w:rPr>
          <w:rFonts w:ascii="Arial" w:hAnsi="Arial" w:cs="Arial"/>
        </w:rPr>
        <w:t>Ravalier</w:t>
      </w:r>
      <w:proofErr w:type="spellEnd"/>
      <w:r w:rsidRPr="00CC044B">
        <w:rPr>
          <w:rFonts w:ascii="Arial" w:hAnsi="Arial" w:cs="Arial"/>
        </w:rPr>
        <w:t xml:space="preserve"> &amp; Walsh (2023)</w:t>
      </w:r>
    </w:p>
    <w:p w14:paraId="31461E6E"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Theory</w:t>
      </w:r>
      <w:r w:rsidRPr="00CC044B">
        <w:rPr>
          <w:rFonts w:ascii="Arial" w:eastAsia="Times New Roman" w:hAnsi="Arial" w:cs="Arial"/>
          <w:color w:val="000000"/>
          <w:kern w:val="0"/>
          <w:lang w:eastAsia="en-GB"/>
        </w:rPr>
        <w:t>: Job Demands-Resources Model and Maslach Burnout Theory</w:t>
      </w:r>
    </w:p>
    <w:p w14:paraId="31461E6F"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What it found</w:t>
      </w:r>
      <w:r w:rsidRPr="00CC044B">
        <w:rPr>
          <w:rFonts w:ascii="Arial" w:eastAsia="Times New Roman" w:hAnsi="Arial" w:cs="Arial"/>
          <w:color w:val="000000"/>
          <w:kern w:val="0"/>
          <w:lang w:eastAsia="en-GB"/>
        </w:rPr>
        <w:t>: The study shows that stress builds up when care workers face heavy workloads, too few colleagues on shift, low pay, and not enough guidance. It also points out that having little control over their work, poor managerial support, and gaps in training make</w:t>
      </w:r>
    </w:p>
    <w:p w14:paraId="31461E70"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things worse. Over time, this combination leads to emotional tiredness, feeling detached from the job, and a drop in how effective staff feel.</w:t>
      </w:r>
    </w:p>
    <w:p w14:paraId="31461E71"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What this teaches us</w:t>
      </w:r>
      <w:r w:rsidRPr="00CC044B">
        <w:rPr>
          <w:rFonts w:ascii="Arial" w:eastAsia="Times New Roman" w:hAnsi="Arial" w:cs="Arial"/>
          <w:color w:val="000000"/>
          <w:kern w:val="0"/>
          <w:lang w:eastAsia="en-GB"/>
        </w:rPr>
        <w:t>: It makes clear that burnout isn’t caused by staff being “not strong enough"; it comes from a mismatch between what is expected of them and what help and resources they actually get.</w:t>
      </w:r>
    </w:p>
    <w:p w14:paraId="31461E72" w14:textId="77777777" w:rsidR="00CD71EA" w:rsidRPr="00CC044B" w:rsidRDefault="00C15C99">
      <w:pPr>
        <w:suppressAutoHyphens w:val="0"/>
        <w:spacing w:after="0"/>
        <w:outlineLvl w:val="3"/>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 xml:space="preserve">Article 2 </w:t>
      </w:r>
    </w:p>
    <w:p w14:paraId="31461E73" w14:textId="77777777" w:rsidR="00CD71EA" w:rsidRPr="00CC044B" w:rsidRDefault="00C15C99">
      <w:pPr>
        <w:suppressAutoHyphens w:val="0"/>
        <w:spacing w:after="0"/>
        <w:outlineLvl w:val="3"/>
        <w:rPr>
          <w:rFonts w:ascii="Arial" w:hAnsi="Arial" w:cs="Arial"/>
        </w:rPr>
      </w:pPr>
      <w:r w:rsidRPr="00CC044B">
        <w:rPr>
          <w:rFonts w:ascii="Arial" w:eastAsia="Times New Roman" w:hAnsi="Arial" w:cs="Arial"/>
          <w:color w:val="000000"/>
          <w:kern w:val="0"/>
          <w:lang w:eastAsia="en-GB"/>
        </w:rPr>
        <w:t>Source:</w:t>
      </w:r>
      <w:r w:rsidRPr="00CC044B">
        <w:rPr>
          <w:rFonts w:ascii="Arial" w:hAnsi="Arial" w:cs="Arial"/>
          <w:color w:val="000000"/>
        </w:rPr>
        <w:t xml:space="preserve"> </w:t>
      </w:r>
      <w:proofErr w:type="spellStart"/>
      <w:r w:rsidRPr="00CC044B">
        <w:rPr>
          <w:rFonts w:ascii="Arial" w:hAnsi="Arial" w:cs="Arial"/>
          <w:color w:val="000000"/>
        </w:rPr>
        <w:t>Fauville</w:t>
      </w:r>
      <w:proofErr w:type="spellEnd"/>
      <w:r w:rsidRPr="00CC044B">
        <w:rPr>
          <w:rFonts w:ascii="Arial" w:hAnsi="Arial" w:cs="Arial"/>
          <w:color w:val="000000"/>
        </w:rPr>
        <w:t xml:space="preserve"> et al. (2025)</w:t>
      </w:r>
    </w:p>
    <w:p w14:paraId="31461E74"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Theory</w:t>
      </w:r>
      <w:r w:rsidRPr="00CC044B">
        <w:rPr>
          <w:rFonts w:ascii="Arial" w:eastAsia="Times New Roman" w:hAnsi="Arial" w:cs="Arial"/>
          <w:color w:val="000000"/>
          <w:kern w:val="0"/>
          <w:lang w:eastAsia="en-GB"/>
        </w:rPr>
        <w:t>: Systems Theory and Job Demands-Resources Model</w:t>
      </w:r>
    </w:p>
    <w:p w14:paraId="31461E75"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What it found</w:t>
      </w:r>
      <w:r w:rsidRPr="00CC044B">
        <w:rPr>
          <w:rFonts w:ascii="Arial" w:eastAsia="Times New Roman" w:hAnsi="Arial" w:cs="Arial"/>
          <w:color w:val="000000"/>
          <w:kern w:val="0"/>
          <w:lang w:eastAsia="en-GB"/>
        </w:rPr>
        <w:t>: This research looks at the bigger picture. It highlights that unstable funding, temporary or insecure contracts, and the general workplace culture add to the pressure. It also notes that regularly dealing with difficult situations or trauma from clients, plus confusion over exactly what their role involves, pushes stress levels higher. Burnout acts as the link between these conditions and poor mental health.</w:t>
      </w:r>
    </w:p>
    <w:p w14:paraId="31461E76"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What this teaches us</w:t>
      </w:r>
      <w:r w:rsidRPr="00CC044B">
        <w:rPr>
          <w:rFonts w:ascii="Arial" w:eastAsia="Times New Roman" w:hAnsi="Arial" w:cs="Arial"/>
          <w:color w:val="000000"/>
          <w:kern w:val="0"/>
          <w:lang w:eastAsia="en-GB"/>
        </w:rPr>
        <w:t xml:space="preserve">: It helps us see that problems don’t just come from daily </w:t>
      </w:r>
      <w:r w:rsidRPr="00CC044B">
        <w:rPr>
          <w:rFonts w:ascii="Arial" w:hAnsi="Arial" w:cs="Arial"/>
          <w:lang w:eastAsia="en-GB"/>
        </w:rPr>
        <w:t>tasks; wider</w:t>
      </w:r>
      <w:r w:rsidRPr="00CC044B">
        <w:rPr>
          <w:rFonts w:ascii="Arial" w:eastAsia="Times New Roman" w:hAnsi="Arial" w:cs="Arial"/>
          <w:color w:val="000000"/>
          <w:kern w:val="0"/>
          <w:lang w:eastAsia="en-GB"/>
        </w:rPr>
        <w:t xml:space="preserve"> organisational and economic factors play a major part too.</w:t>
      </w:r>
    </w:p>
    <w:p w14:paraId="31461E77" w14:textId="77777777" w:rsidR="00CD71EA" w:rsidRPr="00CC044B" w:rsidRDefault="00C15C99">
      <w:pPr>
        <w:suppressAutoHyphens w:val="0"/>
        <w:spacing w:after="0"/>
        <w:outlineLvl w:val="3"/>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Similarities and Differences</w:t>
      </w:r>
    </w:p>
    <w:p w14:paraId="31461E78" w14:textId="77777777" w:rsidR="00CD71EA" w:rsidRPr="00CC044B" w:rsidRDefault="00C15C99">
      <w:pPr>
        <w:numPr>
          <w:ilvl w:val="0"/>
          <w:numId w:val="2"/>
        </w:numPr>
        <w:suppressAutoHyphens w:val="0"/>
        <w:spacing w:after="0"/>
        <w:rPr>
          <w:rFonts w:ascii="Arial" w:hAnsi="Arial" w:cs="Arial"/>
        </w:rPr>
      </w:pPr>
      <w:r w:rsidRPr="00CC044B">
        <w:rPr>
          <w:rFonts w:ascii="Arial" w:eastAsia="Times New Roman" w:hAnsi="Arial" w:cs="Arial"/>
          <w:b/>
          <w:bCs/>
          <w:color w:val="000000"/>
          <w:kern w:val="0"/>
          <w:lang w:eastAsia="en-GB"/>
        </w:rPr>
        <w:t>Agreement</w:t>
      </w:r>
      <w:r w:rsidRPr="00CC044B">
        <w:rPr>
          <w:rFonts w:ascii="Arial" w:eastAsia="Times New Roman" w:hAnsi="Arial" w:cs="Arial"/>
          <w:color w:val="000000"/>
          <w:kern w:val="0"/>
          <w:lang w:eastAsia="en-GB"/>
        </w:rPr>
        <w:t>: Both studies agree that stress and burnout happen when demands are too high and support is too low.</w:t>
      </w:r>
    </w:p>
    <w:p w14:paraId="31461E79" w14:textId="77777777" w:rsidR="00CD71EA" w:rsidRPr="00CC044B" w:rsidRDefault="00C15C99">
      <w:pPr>
        <w:numPr>
          <w:ilvl w:val="0"/>
          <w:numId w:val="2"/>
        </w:numPr>
        <w:suppressAutoHyphens w:val="0"/>
        <w:spacing w:after="0"/>
        <w:rPr>
          <w:rFonts w:ascii="Arial" w:hAnsi="Arial" w:cs="Arial"/>
        </w:rPr>
      </w:pPr>
      <w:r w:rsidRPr="00CC044B">
        <w:rPr>
          <w:rFonts w:ascii="Arial" w:eastAsia="Times New Roman" w:hAnsi="Arial" w:cs="Arial"/>
          <w:b/>
          <w:bCs/>
          <w:color w:val="000000"/>
          <w:kern w:val="0"/>
          <w:lang w:eastAsia="en-GB"/>
        </w:rPr>
        <w:t>Difference</w:t>
      </w:r>
      <w:r w:rsidRPr="00CC044B">
        <w:rPr>
          <w:rFonts w:ascii="Arial" w:eastAsia="Times New Roman" w:hAnsi="Arial" w:cs="Arial"/>
          <w:color w:val="000000"/>
          <w:kern w:val="0"/>
          <w:lang w:eastAsia="en-GB"/>
        </w:rPr>
        <w:t>: The first focuses more on day</w:t>
      </w:r>
      <w:r w:rsidRPr="00CC044B">
        <w:rPr>
          <w:rFonts w:ascii="Arial" w:eastAsia="Times New Roman" w:hAnsi="Arial" w:cs="Arial"/>
          <w:color w:val="000000"/>
          <w:kern w:val="0"/>
          <w:lang w:eastAsia="en-GB"/>
        </w:rPr>
        <w:noBreakHyphen/>
        <w:t>to</w:t>
      </w:r>
      <w:r w:rsidRPr="00CC044B">
        <w:rPr>
          <w:rFonts w:ascii="Arial" w:eastAsia="Times New Roman" w:hAnsi="Arial" w:cs="Arial"/>
          <w:color w:val="000000"/>
          <w:kern w:val="0"/>
          <w:lang w:eastAsia="en-GB"/>
        </w:rPr>
        <w:noBreakHyphen/>
        <w:t>day job conditions, while the second looks further out at how the whole system affects staff.</w:t>
      </w:r>
    </w:p>
    <w:p w14:paraId="31461E7A" w14:textId="77777777" w:rsidR="00CD71EA" w:rsidRPr="00CC044B" w:rsidRDefault="00C15C99">
      <w:pPr>
        <w:suppressAutoHyphens w:val="0"/>
        <w:spacing w:after="0"/>
        <w:outlineLvl w:val="3"/>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In Real Care Settings</w:t>
      </w:r>
    </w:p>
    <w:p w14:paraId="31461E7B"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In UK residential or home care, this shows itself in simple but important ways: staff often skip breaks to keep up, have to rush care, leave their jobs quickly, become less able to connect kindly with people they support, and are more likely to make mistakes or receive complaints.</w:t>
      </w:r>
    </w:p>
    <w:p w14:paraId="31461E7C" w14:textId="77777777" w:rsidR="00CD71EA" w:rsidRPr="00135075" w:rsidRDefault="00C15C99">
      <w:pPr>
        <w:pStyle w:val="Heading3"/>
        <w:spacing w:before="0" w:after="0"/>
        <w:rPr>
          <w:rFonts w:ascii="Arial" w:hAnsi="Arial" w:cs="Arial"/>
          <w:b/>
          <w:bCs/>
          <w:color w:val="000000"/>
          <w:kern w:val="0"/>
          <w:lang w:eastAsia="en-GB"/>
        </w:rPr>
      </w:pPr>
      <w:r w:rsidRPr="00135075">
        <w:rPr>
          <w:rFonts w:ascii="Arial" w:hAnsi="Arial" w:cs="Arial"/>
          <w:b/>
          <w:bCs/>
          <w:color w:val="000000"/>
          <w:kern w:val="0"/>
          <w:lang w:eastAsia="en-GB"/>
        </w:rPr>
        <w:lastRenderedPageBreak/>
        <w:t>Task 6: Digital Innovation</w:t>
      </w:r>
    </w:p>
    <w:p w14:paraId="31461E7D" w14:textId="77777777" w:rsidR="00CD71EA" w:rsidRPr="00CC044B" w:rsidRDefault="00C15C99">
      <w:pPr>
        <w:pStyle w:val="Heading3"/>
        <w:spacing w:before="0" w:after="0"/>
        <w:rPr>
          <w:rFonts w:ascii="Arial" w:hAnsi="Arial" w:cs="Arial"/>
          <w:color w:val="000000"/>
          <w:kern w:val="0"/>
          <w:sz w:val="22"/>
          <w:szCs w:val="22"/>
          <w:lang w:eastAsia="en-GB"/>
        </w:rPr>
      </w:pPr>
      <w:r w:rsidRPr="00CC044B">
        <w:rPr>
          <w:rFonts w:ascii="Arial" w:hAnsi="Arial" w:cs="Arial"/>
          <w:color w:val="000000"/>
          <w:kern w:val="0"/>
          <w:sz w:val="22"/>
          <w:szCs w:val="22"/>
          <w:lang w:eastAsia="en-GB"/>
        </w:rPr>
        <w:t>1. Wearable Health Technologies for Chronic Conditions</w:t>
      </w:r>
    </w:p>
    <w:p w14:paraId="31461E7E" w14:textId="77777777" w:rsidR="00CD71EA" w:rsidRPr="00CC044B" w:rsidRDefault="00C15C99">
      <w:pPr>
        <w:pStyle w:val="Heading3"/>
        <w:spacing w:before="0" w:after="0"/>
        <w:rPr>
          <w:rFonts w:ascii="Arial" w:hAnsi="Arial" w:cs="Arial"/>
          <w:sz w:val="22"/>
          <w:szCs w:val="22"/>
        </w:rPr>
      </w:pPr>
      <w:r w:rsidRPr="00CC044B">
        <w:rPr>
          <w:rFonts w:ascii="Arial" w:hAnsi="Arial" w:cs="Arial"/>
          <w:color w:val="000000"/>
          <w:kern w:val="0"/>
          <w:sz w:val="22"/>
          <w:szCs w:val="22"/>
          <w:lang w:eastAsia="en-GB"/>
        </w:rPr>
        <w:t xml:space="preserve">One key benefit of wearables like smartwatches and continuous glucose monitors is that they allow </w:t>
      </w:r>
      <w:r w:rsidRPr="00CC044B">
        <w:rPr>
          <w:rFonts w:ascii="Arial" w:hAnsi="Arial" w:cs="Arial"/>
          <w:b/>
          <w:bCs/>
          <w:color w:val="000000"/>
          <w:kern w:val="0"/>
          <w:sz w:val="22"/>
          <w:szCs w:val="22"/>
          <w:lang w:eastAsia="en-GB"/>
        </w:rPr>
        <w:t>ongoing, real-time tracking</w:t>
      </w:r>
      <w:r w:rsidRPr="00CC044B">
        <w:rPr>
          <w:rFonts w:ascii="Arial" w:hAnsi="Arial" w:cs="Arial"/>
          <w:color w:val="000000"/>
          <w:kern w:val="0"/>
          <w:sz w:val="22"/>
          <w:szCs w:val="22"/>
          <w:lang w:eastAsia="en-GB"/>
        </w:rPr>
        <w:t xml:space="preserve"> of health metrics, which helps people manage long-term conditions more effectively. Instead of only checking health during clinic visits, users can keep an eye on levels like blood sugar, heart rate, or blood pressure every day. For instance, devices such as the Freestyle Libre let those living with diabetes see their glucose levels instantly and get alerts if they go too high or too low. This means problems can be spotted early, which lowers the chance of serious complications and hospital stays. Research confirms that this kind of monitoring helps improve long</w:t>
      </w:r>
      <w:r w:rsidRPr="00CC044B">
        <w:rPr>
          <w:rFonts w:ascii="Arial" w:hAnsi="Arial" w:cs="Arial"/>
          <w:color w:val="000000"/>
          <w:kern w:val="0"/>
          <w:sz w:val="22"/>
          <w:szCs w:val="22"/>
          <w:lang w:eastAsia="en-GB"/>
        </w:rPr>
        <w:noBreakHyphen/>
        <w:t xml:space="preserve">term health outcomes. </w:t>
      </w:r>
    </w:p>
    <w:p w14:paraId="31461E7F" w14:textId="77777777" w:rsidR="00CD71EA" w:rsidRPr="00CC044B" w:rsidRDefault="00C15C99">
      <w:pPr>
        <w:pStyle w:val="Heading3"/>
        <w:spacing w:before="0" w:after="0"/>
        <w:rPr>
          <w:rFonts w:ascii="Arial" w:hAnsi="Arial" w:cs="Arial"/>
          <w:color w:val="000000"/>
          <w:kern w:val="0"/>
          <w:sz w:val="22"/>
          <w:szCs w:val="22"/>
          <w:lang w:eastAsia="en-GB"/>
        </w:rPr>
      </w:pPr>
      <w:r w:rsidRPr="00CC044B">
        <w:rPr>
          <w:rFonts w:ascii="Arial" w:hAnsi="Arial" w:cs="Arial"/>
          <w:color w:val="000000"/>
          <w:kern w:val="0"/>
          <w:sz w:val="22"/>
          <w:szCs w:val="22"/>
          <w:lang w:eastAsia="en-GB"/>
        </w:rPr>
        <w:t>2. Electronic Health Records (EHRs) and Care Collaboration</w:t>
      </w:r>
    </w:p>
    <w:p w14:paraId="31461E80"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Electronic Health Records make sharing information between different care teams much easier and more reliable. Instead of relying on paper notes or faxes that can get lost or delayed, all authorised staff can access the same up-to-date information at any time. In the UK, the NHS Summary Care Record is a good example; it lets GPs, hospital doctors, and pharmacists see a patient’s medications, allergies, and past treatments securely. This reduces mistakes such as prescribing medicines that clash, stops unnecessary repeat tests, and helps everyone work together more smoothly to give safer, faster care.</w:t>
      </w:r>
    </w:p>
    <w:p w14:paraId="31461E81" w14:textId="77777777" w:rsidR="00CD71EA" w:rsidRPr="00CC044B" w:rsidRDefault="00C15C99">
      <w:pPr>
        <w:suppressAutoHyphens w:val="0"/>
        <w:spacing w:after="0"/>
        <w:outlineLvl w:val="2"/>
        <w:rPr>
          <w:rFonts w:ascii="Arial" w:hAnsi="Arial" w:cs="Arial"/>
        </w:rPr>
      </w:pPr>
      <w:r w:rsidRPr="00CC044B">
        <w:rPr>
          <w:rFonts w:ascii="Arial" w:eastAsia="Times New Roman" w:hAnsi="Arial" w:cs="Arial"/>
          <w:color w:val="000000"/>
          <w:kern w:val="0"/>
          <w:lang w:eastAsia="en-GB"/>
        </w:rPr>
        <w:t>3. Digital Technology for Preventative Care</w:t>
      </w:r>
    </w:p>
    <w:p w14:paraId="31461E82"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000000"/>
          <w:kern w:val="0"/>
          <w:lang w:eastAsia="en-GB"/>
        </w:rPr>
        <w:t>Digital tools enable early risk detection and personalized health promotion</w:t>
      </w:r>
      <w:r w:rsidRPr="00CC044B">
        <w:rPr>
          <w:rFonts w:ascii="Arial" w:eastAsia="Times New Roman" w:hAnsi="Arial" w:cs="Arial"/>
          <w:color w:val="000000"/>
          <w:kern w:val="0"/>
          <w:lang w:eastAsia="en-GB"/>
        </w:rPr>
        <w:t xml:space="preserve">. By using apps, AI analytics, and mobile screening, services can reach more people, identify risks early, and encourage healthy habits before illness develops. A real example is </w:t>
      </w:r>
      <w:r w:rsidRPr="00CC044B">
        <w:rPr>
          <w:rFonts w:ascii="Arial" w:eastAsia="Times New Roman" w:hAnsi="Arial" w:cs="Arial"/>
          <w:b/>
          <w:bCs/>
          <w:color w:val="000000"/>
          <w:kern w:val="0"/>
          <w:lang w:eastAsia="en-GB"/>
        </w:rPr>
        <w:t xml:space="preserve">Vanuatu’s </w:t>
      </w:r>
      <w:proofErr w:type="spellStart"/>
      <w:r w:rsidRPr="00CC044B">
        <w:rPr>
          <w:rFonts w:ascii="Arial" w:eastAsia="Times New Roman" w:hAnsi="Arial" w:cs="Arial"/>
          <w:b/>
          <w:bCs/>
          <w:color w:val="000000"/>
          <w:kern w:val="0"/>
          <w:lang w:eastAsia="en-GB"/>
        </w:rPr>
        <w:t>HeartCare</w:t>
      </w:r>
      <w:proofErr w:type="spellEnd"/>
      <w:r w:rsidRPr="00CC044B">
        <w:rPr>
          <w:rFonts w:ascii="Arial" w:eastAsia="Times New Roman" w:hAnsi="Arial" w:cs="Arial"/>
          <w:b/>
          <w:bCs/>
          <w:color w:val="000000"/>
          <w:kern w:val="0"/>
          <w:lang w:eastAsia="en-GB"/>
        </w:rPr>
        <w:t xml:space="preserve"> app</w:t>
      </w:r>
      <w:r w:rsidRPr="00CC044B">
        <w:rPr>
          <w:rFonts w:ascii="Arial" w:eastAsia="Times New Roman" w:hAnsi="Arial" w:cs="Arial"/>
          <w:color w:val="000000"/>
          <w:kern w:val="0"/>
          <w:lang w:eastAsia="en-GB"/>
        </w:rPr>
        <w:t>, developed with WHO support: community workers input blood pressure, BMI, smoking status, and blood sugar, and the app automatically calculates cardiovascular risk and suggests next steps. This brings screening to remote villages, flags high-risk individuals, and sends personalized advice to users. The WHO reports such tools increase early detection rates and help reduce premature deaths from non-communicable diseases.</w:t>
      </w:r>
    </w:p>
    <w:p w14:paraId="31461E83" w14:textId="77777777" w:rsidR="00CD71EA" w:rsidRPr="00CC044B" w:rsidRDefault="00CD71EA">
      <w:pPr>
        <w:suppressAutoHyphens w:val="0"/>
        <w:spacing w:after="0"/>
        <w:rPr>
          <w:rFonts w:ascii="Arial" w:hAnsi="Arial" w:cs="Arial"/>
        </w:rPr>
      </w:pPr>
    </w:p>
    <w:p w14:paraId="31461E84" w14:textId="77777777" w:rsidR="00CD71EA" w:rsidRPr="00135075" w:rsidRDefault="00C15C99">
      <w:pPr>
        <w:suppressAutoHyphens w:val="0"/>
        <w:spacing w:after="0"/>
        <w:outlineLvl w:val="2"/>
        <w:rPr>
          <w:rFonts w:ascii="Arial" w:eastAsia="Times New Roman" w:hAnsi="Arial" w:cs="Arial"/>
          <w:b/>
          <w:bCs/>
          <w:color w:val="1C1F23"/>
          <w:kern w:val="0"/>
          <w:sz w:val="28"/>
          <w:szCs w:val="28"/>
          <w:lang w:eastAsia="en-GB"/>
        </w:rPr>
      </w:pPr>
      <w:r w:rsidRPr="00135075">
        <w:rPr>
          <w:rFonts w:ascii="Arial" w:eastAsia="Times New Roman" w:hAnsi="Arial" w:cs="Arial"/>
          <w:b/>
          <w:bCs/>
          <w:color w:val="1C1F23"/>
          <w:kern w:val="0"/>
          <w:sz w:val="28"/>
          <w:szCs w:val="28"/>
          <w:lang w:eastAsia="en-GB"/>
        </w:rPr>
        <w:t>Task 7: Summary- NHS Leadership Framework</w:t>
      </w:r>
    </w:p>
    <w:p w14:paraId="31461E85" w14:textId="77777777" w:rsidR="00CD71EA" w:rsidRPr="00CC044B" w:rsidRDefault="00C15C99">
      <w:pPr>
        <w:suppressAutoHyphens w:val="0"/>
        <w:spacing w:after="0"/>
        <w:rPr>
          <w:rFonts w:ascii="Arial" w:hAnsi="Arial" w:cs="Arial"/>
        </w:rPr>
      </w:pPr>
      <w:r w:rsidRPr="00CC044B">
        <w:rPr>
          <w:rFonts w:ascii="Arial" w:eastAsia="Times New Roman" w:hAnsi="Arial" w:cs="Arial"/>
          <w:b/>
          <w:bCs/>
          <w:color w:val="1C1F23"/>
          <w:kern w:val="0"/>
          <w:lang w:eastAsia="en-GB"/>
        </w:rPr>
        <w:t>1.</w:t>
      </w:r>
      <w:r w:rsidRPr="00CC044B">
        <w:rPr>
          <w:rFonts w:ascii="Arial" w:eastAsia="Times New Roman" w:hAnsi="Arial" w:cs="Arial"/>
          <w:color w:val="1C1F23"/>
          <w:kern w:val="0"/>
          <w:lang w:eastAsia="en-GB"/>
        </w:rPr>
        <w:t xml:space="preserve">The NHS Leadership and Management Framework is a unified national standard setting out the knowledge, skills, and behaviours expected of all leaders and managers across health and social care. Organised around four areas: Self, Team, Organisation, and Wider System, it defines 12 core competencies and a progression pathway across five career stages. Grounded in NHS values of compassion, respect, and excellence, it provides a shared framework for development, appraisal, and accountability. Strong leadership directly </w:t>
      </w:r>
      <w:r w:rsidRPr="00CC044B">
        <w:rPr>
          <w:rFonts w:ascii="Arial" w:eastAsia="Times New Roman" w:hAnsi="Arial" w:cs="Arial"/>
          <w:color w:val="1C1F23"/>
          <w:kern w:val="0"/>
          <w:lang w:eastAsia="en-GB"/>
        </w:rPr>
        <w:lastRenderedPageBreak/>
        <w:t>supports staff well-being, reduces turnover, builds psychological safety, and improves patient outcomes, reduces inequalities, and ensures sustainable service quality (NHS England, 2026; London Leadership Academy, 2024).</w:t>
      </w:r>
    </w:p>
    <w:p w14:paraId="31461E86" w14:textId="77777777" w:rsidR="00CD71EA" w:rsidRPr="00CC044B" w:rsidRDefault="00C15C99">
      <w:pPr>
        <w:suppressAutoHyphens w:val="0"/>
        <w:spacing w:line="360" w:lineRule="atLeast"/>
        <w:rPr>
          <w:rFonts w:ascii="Arial" w:hAnsi="Arial" w:cs="Arial"/>
        </w:rPr>
      </w:pPr>
      <w:r w:rsidRPr="00CC044B">
        <w:rPr>
          <w:rFonts w:ascii="Arial" w:eastAsia="Times New Roman" w:hAnsi="Arial" w:cs="Arial"/>
          <w:b/>
          <w:bCs/>
          <w:color w:val="1C1F23"/>
          <w:kern w:val="0"/>
          <w:lang w:eastAsia="en-GB"/>
        </w:rPr>
        <w:t>2</w:t>
      </w:r>
      <w:r w:rsidRPr="00CC044B">
        <w:rPr>
          <w:rFonts w:ascii="Arial" w:eastAsia="Times New Roman" w:hAnsi="Arial" w:cs="Arial"/>
          <w:color w:val="1C1F23"/>
          <w:kern w:val="0"/>
          <w:lang w:eastAsia="en-GB"/>
        </w:rPr>
        <w:t>. Leadership Behaviour: Inspiring Shared Purpose</w:t>
      </w:r>
    </w:p>
    <w:p w14:paraId="31461E87" w14:textId="77777777" w:rsidR="00CD71EA" w:rsidRPr="00CC044B" w:rsidRDefault="00C15C99">
      <w:pPr>
        <w:suppressAutoHyphens w:val="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This method unites teams around a clear, patient-focused goal. Instead of delegating tasks alone, leaders explain the reasoning behind changes and invite frontline staff to share ideas. Listening openly, valuing new ways of working, and removing obstacles builds psychological safety so people feel comfortable suggesting improvements. This is transformational leadership: vision and support drive innovation and better care (Bass &amp; Avolio, 1994; NHS England, 2026).</w:t>
      </w:r>
    </w:p>
    <w:p w14:paraId="31461E88" w14:textId="77777777" w:rsidR="00CD71EA" w:rsidRPr="00CC044B" w:rsidRDefault="00C15C99">
      <w:pPr>
        <w:suppressAutoHyphens w:val="0"/>
        <w:spacing w:after="0"/>
        <w:rPr>
          <w:rFonts w:ascii="Arial" w:eastAsia="Times New Roman" w:hAnsi="Arial" w:cs="Arial"/>
          <w:color w:val="000000"/>
          <w:kern w:val="0"/>
          <w:lang w:eastAsia="en-GB"/>
        </w:rPr>
      </w:pPr>
      <w:r w:rsidRPr="00CC044B">
        <w:rPr>
          <w:rFonts w:ascii="Arial" w:eastAsia="Times New Roman" w:hAnsi="Arial" w:cs="Arial"/>
          <w:color w:val="000000"/>
          <w:kern w:val="0"/>
          <w:lang w:eastAsia="en-GB"/>
        </w:rPr>
        <w:t>My perspective has changed: I once thought innovation belonged only to leaders or tech projects. Now I see it means daily improvements for safer, kinder, more efficient care. Inspired by frameworks and co-production, I will raise dialogue and experimentation to turn ideas into real patient value.</w:t>
      </w:r>
    </w:p>
    <w:p w14:paraId="31461E89" w14:textId="77777777" w:rsidR="00CD71EA" w:rsidRPr="00CC044B" w:rsidRDefault="00CD71EA">
      <w:pPr>
        <w:suppressAutoHyphens w:val="0"/>
        <w:spacing w:after="0"/>
        <w:outlineLvl w:val="3"/>
        <w:rPr>
          <w:rFonts w:ascii="Arial" w:eastAsia="Times New Roman" w:hAnsi="Arial" w:cs="Arial"/>
          <w:color w:val="1C1F23"/>
          <w:kern w:val="0"/>
          <w:lang w:eastAsia="en-GB"/>
        </w:rPr>
      </w:pPr>
    </w:p>
    <w:p w14:paraId="31461E8A" w14:textId="77777777" w:rsidR="00CD71EA" w:rsidRPr="00CC044B" w:rsidRDefault="00CD71EA">
      <w:pPr>
        <w:suppressAutoHyphens w:val="0"/>
        <w:spacing w:after="0"/>
        <w:rPr>
          <w:rFonts w:ascii="Arial" w:eastAsia="Times New Roman" w:hAnsi="Arial" w:cs="Arial"/>
          <w:color w:val="1C1F23"/>
          <w:kern w:val="0"/>
          <w:lang w:eastAsia="en-GB"/>
        </w:rPr>
      </w:pPr>
    </w:p>
    <w:p w14:paraId="31461E8B" w14:textId="77777777" w:rsidR="00CD71EA" w:rsidRPr="00CC044B" w:rsidRDefault="00CD71EA">
      <w:pPr>
        <w:suppressAutoHyphens w:val="0"/>
        <w:spacing w:after="0"/>
        <w:rPr>
          <w:rFonts w:ascii="Arial" w:eastAsia="Times New Roman" w:hAnsi="Arial" w:cs="Arial"/>
          <w:color w:val="1C1F23"/>
          <w:kern w:val="0"/>
          <w:lang w:eastAsia="en-GB"/>
        </w:rPr>
      </w:pPr>
    </w:p>
    <w:p w14:paraId="31461E8C" w14:textId="77777777" w:rsidR="00CD71EA" w:rsidRPr="00CC044B" w:rsidRDefault="00CD71EA">
      <w:pPr>
        <w:suppressAutoHyphens w:val="0"/>
        <w:spacing w:after="0"/>
        <w:rPr>
          <w:rFonts w:ascii="Arial" w:eastAsia="Times New Roman" w:hAnsi="Arial" w:cs="Arial"/>
          <w:color w:val="1C1F23"/>
          <w:kern w:val="0"/>
          <w:lang w:eastAsia="en-GB"/>
        </w:rPr>
      </w:pPr>
    </w:p>
    <w:p w14:paraId="31461E8D" w14:textId="77777777" w:rsidR="00CD71EA" w:rsidRPr="00CC044B" w:rsidRDefault="00CD71EA">
      <w:pPr>
        <w:suppressAutoHyphens w:val="0"/>
        <w:spacing w:after="0"/>
        <w:rPr>
          <w:rFonts w:ascii="Arial" w:eastAsia="Times New Roman" w:hAnsi="Arial" w:cs="Arial"/>
          <w:color w:val="1C1F23"/>
          <w:kern w:val="0"/>
          <w:lang w:eastAsia="en-GB"/>
        </w:rPr>
      </w:pPr>
    </w:p>
    <w:p w14:paraId="31461E8E" w14:textId="77777777" w:rsidR="00CD71EA" w:rsidRPr="00CC044B" w:rsidRDefault="00CD71EA">
      <w:pPr>
        <w:suppressAutoHyphens w:val="0"/>
        <w:spacing w:after="0"/>
        <w:rPr>
          <w:rFonts w:ascii="Arial" w:eastAsia="Times New Roman" w:hAnsi="Arial" w:cs="Arial"/>
          <w:color w:val="1C1F23"/>
          <w:kern w:val="0"/>
          <w:lang w:eastAsia="en-GB"/>
        </w:rPr>
      </w:pPr>
    </w:p>
    <w:p w14:paraId="31461E8F" w14:textId="77777777" w:rsidR="00CD71EA" w:rsidRPr="00CC044B" w:rsidRDefault="00CD71EA">
      <w:pPr>
        <w:suppressAutoHyphens w:val="0"/>
        <w:spacing w:after="0"/>
        <w:rPr>
          <w:rFonts w:ascii="Arial" w:eastAsia="Times New Roman" w:hAnsi="Arial" w:cs="Arial"/>
          <w:color w:val="1C1F23"/>
          <w:kern w:val="0"/>
          <w:lang w:eastAsia="en-GB"/>
        </w:rPr>
      </w:pPr>
    </w:p>
    <w:p w14:paraId="31461E90" w14:textId="77777777" w:rsidR="00CD71EA" w:rsidRPr="00CC044B" w:rsidRDefault="00CD71EA">
      <w:pPr>
        <w:suppressAutoHyphens w:val="0"/>
        <w:spacing w:after="0"/>
        <w:rPr>
          <w:rFonts w:ascii="Arial" w:eastAsia="Times New Roman" w:hAnsi="Arial" w:cs="Arial"/>
          <w:color w:val="1C1F23"/>
          <w:kern w:val="0"/>
          <w:lang w:eastAsia="en-GB"/>
        </w:rPr>
      </w:pPr>
    </w:p>
    <w:p w14:paraId="31461E91" w14:textId="77777777" w:rsidR="00CD71EA" w:rsidRPr="00CC044B" w:rsidRDefault="00CD71EA">
      <w:pPr>
        <w:suppressAutoHyphens w:val="0"/>
        <w:spacing w:after="0"/>
        <w:rPr>
          <w:rFonts w:ascii="Arial" w:eastAsia="Times New Roman" w:hAnsi="Arial" w:cs="Arial"/>
          <w:color w:val="1C1F23"/>
          <w:kern w:val="0"/>
          <w:lang w:eastAsia="en-GB"/>
        </w:rPr>
      </w:pPr>
    </w:p>
    <w:p w14:paraId="31461E92" w14:textId="77777777" w:rsidR="00CD71EA" w:rsidRPr="00CC044B" w:rsidRDefault="00CD71EA">
      <w:pPr>
        <w:suppressAutoHyphens w:val="0"/>
        <w:spacing w:after="0" w:line="360" w:lineRule="atLeast"/>
        <w:rPr>
          <w:rFonts w:ascii="Arial" w:eastAsia="Times New Roman" w:hAnsi="Arial" w:cs="Arial"/>
          <w:color w:val="1C1F23"/>
          <w:kern w:val="0"/>
          <w:lang w:eastAsia="en-GB"/>
        </w:rPr>
      </w:pPr>
    </w:p>
    <w:p w14:paraId="31461E93" w14:textId="77777777" w:rsidR="00CD71EA" w:rsidRPr="00CC044B" w:rsidRDefault="00CD71EA">
      <w:pPr>
        <w:suppressAutoHyphens w:val="0"/>
        <w:spacing w:after="0" w:line="360" w:lineRule="atLeast"/>
        <w:rPr>
          <w:rFonts w:ascii="Arial" w:eastAsia="Times New Roman" w:hAnsi="Arial" w:cs="Arial"/>
          <w:color w:val="1C1F23"/>
          <w:kern w:val="0"/>
          <w:lang w:eastAsia="en-GB"/>
        </w:rPr>
      </w:pPr>
    </w:p>
    <w:p w14:paraId="31461E94" w14:textId="77777777" w:rsidR="00CD71EA" w:rsidRPr="00CC044B" w:rsidRDefault="00CD71EA">
      <w:pPr>
        <w:suppressAutoHyphens w:val="0"/>
        <w:spacing w:after="0" w:line="360" w:lineRule="atLeast"/>
        <w:rPr>
          <w:rFonts w:ascii="Arial" w:eastAsia="Times New Roman" w:hAnsi="Arial" w:cs="Arial"/>
          <w:color w:val="1C1F23"/>
          <w:kern w:val="0"/>
          <w:lang w:eastAsia="en-GB"/>
        </w:rPr>
      </w:pPr>
    </w:p>
    <w:p w14:paraId="31461E95" w14:textId="77777777" w:rsidR="00CD71EA" w:rsidRPr="00CC044B" w:rsidRDefault="00CD71EA">
      <w:pPr>
        <w:suppressAutoHyphens w:val="0"/>
        <w:spacing w:after="0" w:line="360" w:lineRule="atLeast"/>
        <w:rPr>
          <w:rFonts w:ascii="Arial" w:eastAsia="Times New Roman" w:hAnsi="Arial" w:cs="Arial"/>
          <w:color w:val="1C1F23"/>
          <w:kern w:val="0"/>
          <w:lang w:eastAsia="en-GB"/>
        </w:rPr>
      </w:pPr>
    </w:p>
    <w:p w14:paraId="31461E96" w14:textId="77777777" w:rsidR="00CD71EA" w:rsidRPr="00CC044B" w:rsidRDefault="00CD71EA">
      <w:pPr>
        <w:suppressAutoHyphens w:val="0"/>
        <w:spacing w:after="0" w:line="360" w:lineRule="atLeast"/>
        <w:rPr>
          <w:rFonts w:ascii="Arial" w:eastAsia="Times New Roman" w:hAnsi="Arial" w:cs="Arial"/>
          <w:color w:val="1C1F23"/>
          <w:kern w:val="0"/>
          <w:lang w:eastAsia="en-GB"/>
        </w:rPr>
      </w:pPr>
    </w:p>
    <w:p w14:paraId="31461E97" w14:textId="77777777" w:rsidR="00CD71EA" w:rsidRPr="00CC044B" w:rsidRDefault="00CD71EA">
      <w:pPr>
        <w:suppressAutoHyphens w:val="0"/>
        <w:spacing w:after="0" w:line="360" w:lineRule="atLeast"/>
        <w:rPr>
          <w:rFonts w:ascii="Arial" w:eastAsia="Times New Roman" w:hAnsi="Arial" w:cs="Arial"/>
          <w:color w:val="1C1F23"/>
          <w:kern w:val="0"/>
          <w:lang w:eastAsia="en-GB"/>
        </w:rPr>
      </w:pPr>
    </w:p>
    <w:p w14:paraId="31461E98"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9"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A"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B"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C"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D"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E" w14:textId="77777777" w:rsidR="00CD71EA" w:rsidRPr="00CC044B" w:rsidRDefault="00CD71EA">
      <w:pPr>
        <w:suppressAutoHyphens w:val="0"/>
        <w:spacing w:after="0" w:line="360" w:lineRule="atLeast"/>
        <w:rPr>
          <w:rFonts w:ascii="Arial" w:eastAsia="Times New Roman" w:hAnsi="Arial" w:cs="Arial"/>
          <w:b/>
          <w:bCs/>
          <w:color w:val="1C1F23"/>
          <w:kern w:val="0"/>
          <w:lang w:eastAsia="en-GB"/>
        </w:rPr>
      </w:pPr>
    </w:p>
    <w:p w14:paraId="31461E9F" w14:textId="77777777" w:rsidR="00CD71EA" w:rsidRPr="0064616C" w:rsidRDefault="00C15C99">
      <w:pPr>
        <w:suppressAutoHyphens w:val="0"/>
        <w:spacing w:after="0" w:line="360" w:lineRule="atLeast"/>
        <w:rPr>
          <w:rFonts w:ascii="Arial" w:hAnsi="Arial" w:cs="Arial"/>
          <w:sz w:val="28"/>
          <w:szCs w:val="28"/>
        </w:rPr>
      </w:pPr>
      <w:r w:rsidRPr="0064616C">
        <w:rPr>
          <w:rFonts w:ascii="Arial" w:eastAsia="Times New Roman" w:hAnsi="Arial" w:cs="Arial"/>
          <w:b/>
          <w:bCs/>
          <w:color w:val="1C1F23"/>
          <w:kern w:val="0"/>
          <w:sz w:val="28"/>
          <w:szCs w:val="28"/>
          <w:lang w:eastAsia="en-GB"/>
        </w:rPr>
        <w:lastRenderedPageBreak/>
        <w:t>Task 8:</w:t>
      </w:r>
      <w:r w:rsidRPr="0064616C">
        <w:rPr>
          <w:rFonts w:ascii="Arial" w:eastAsia="Times New Roman" w:hAnsi="Arial" w:cs="Arial"/>
          <w:color w:val="1C1F23"/>
          <w:kern w:val="0"/>
          <w:sz w:val="28"/>
          <w:szCs w:val="28"/>
          <w:lang w:eastAsia="en-GB"/>
        </w:rPr>
        <w:t xml:space="preserve"> </w:t>
      </w:r>
      <w:r w:rsidRPr="0064616C">
        <w:rPr>
          <w:rFonts w:ascii="Arial" w:hAnsi="Arial" w:cs="Arial"/>
          <w:b/>
          <w:bCs/>
          <w:sz w:val="28"/>
          <w:szCs w:val="28"/>
          <w:lang w:eastAsia="en-GB"/>
        </w:rPr>
        <w:t>Self-Reflection Journal</w:t>
      </w:r>
    </w:p>
    <w:p w14:paraId="31461EA0" w14:textId="7759A10A" w:rsidR="00CD71EA" w:rsidRPr="00CC044B" w:rsidRDefault="00C15C99">
      <w:pPr>
        <w:suppressAutoHyphens w:val="0"/>
        <w:spacing w:after="0" w:line="360" w:lineRule="atLeast"/>
        <w:rPr>
          <w:rFonts w:ascii="Arial" w:hAnsi="Arial" w:cs="Arial"/>
          <w:lang w:eastAsia="en-GB"/>
        </w:rPr>
      </w:pPr>
      <w:r w:rsidRPr="00CC044B">
        <w:rPr>
          <w:rFonts w:ascii="Arial" w:hAnsi="Arial" w:cs="Arial"/>
          <w:lang w:eastAsia="en-GB"/>
        </w:rPr>
        <w:t xml:space="preserve">This module transformed my view: </w:t>
      </w:r>
      <w:r w:rsidR="001F2EF8">
        <w:rPr>
          <w:rFonts w:ascii="Arial" w:hAnsi="Arial" w:cs="Arial"/>
          <w:lang w:eastAsia="en-GB"/>
        </w:rPr>
        <w:t>C</w:t>
      </w:r>
      <w:r w:rsidRPr="00CC044B">
        <w:rPr>
          <w:rFonts w:ascii="Arial" w:hAnsi="Arial" w:cs="Arial"/>
          <w:lang w:eastAsia="en-GB"/>
        </w:rPr>
        <w:t>reativity is not random inspiration but a structured skill, and innovation means turning ideas into tangible value for users and organisations. During</w:t>
      </w:r>
    </w:p>
    <w:p w14:paraId="31461EA1" w14:textId="77777777" w:rsidR="00CD71EA" w:rsidRPr="00CC044B" w:rsidRDefault="00C15C99">
      <w:pPr>
        <w:suppressAutoHyphens w:val="0"/>
        <w:spacing w:after="0" w:line="360" w:lineRule="atLeast"/>
        <w:rPr>
          <w:rFonts w:ascii="Arial" w:hAnsi="Arial" w:cs="Arial"/>
          <w:lang w:eastAsia="en-GB"/>
        </w:rPr>
      </w:pPr>
      <w:r w:rsidRPr="00CC044B">
        <w:rPr>
          <w:rFonts w:ascii="Arial" w:hAnsi="Arial" w:cs="Arial"/>
          <w:lang w:eastAsia="en-GB"/>
        </w:rPr>
        <w:t>the group value-proposition task, I realised that “good ideas” fail without alignment to real needs. This shifted my focus from novelty to purpose.</w:t>
      </w:r>
    </w:p>
    <w:p w14:paraId="31461EA2" w14:textId="77777777" w:rsidR="00CD71EA" w:rsidRPr="00CC044B" w:rsidRDefault="00C15C99">
      <w:pPr>
        <w:suppressAutoHyphens w:val="0"/>
        <w:spacing w:after="0" w:line="360" w:lineRule="atLeast"/>
        <w:rPr>
          <w:rFonts w:ascii="Arial" w:hAnsi="Arial" w:cs="Arial"/>
        </w:rPr>
      </w:pPr>
      <w:r w:rsidRPr="00CC044B">
        <w:rPr>
          <w:rFonts w:ascii="Arial" w:hAnsi="Arial" w:cs="Arial"/>
          <w:b/>
          <w:bCs/>
          <w:lang w:eastAsia="en-GB"/>
        </w:rPr>
        <w:t>Using Gibbs’ Reflective Cycle</w:t>
      </w:r>
      <w:r w:rsidRPr="00CC044B">
        <w:rPr>
          <w:rFonts w:ascii="Arial" w:hAnsi="Arial" w:cs="Arial"/>
          <w:lang w:eastAsia="en-GB"/>
        </w:rPr>
        <w:t>, I recognised that reviewing assumptions and learning from feedback improves outcomes. I also applied Amabile’s Componential Model, which highlights intrinsic motivation, domain knowledge, and a supportive environment as the drivers of sustained creativity. Previously, I saw innovation as risky disruption; now I understand it as iterative improvement.</w:t>
      </w:r>
    </w:p>
    <w:p w14:paraId="31461EA3" w14:textId="77777777" w:rsidR="00CD71EA" w:rsidRPr="00CC044B" w:rsidRDefault="00C15C99">
      <w:pPr>
        <w:suppressAutoHyphens w:val="0"/>
        <w:spacing w:after="0" w:line="360" w:lineRule="atLeast"/>
        <w:rPr>
          <w:rFonts w:ascii="Arial" w:hAnsi="Arial" w:cs="Arial"/>
        </w:rPr>
      </w:pPr>
      <w:r w:rsidRPr="00CC044B">
        <w:rPr>
          <w:rFonts w:ascii="Arial" w:hAnsi="Arial" w:cs="Arial"/>
          <w:lang w:eastAsia="en-GB"/>
        </w:rPr>
        <w:t xml:space="preserve">In future placements, I will use </w:t>
      </w:r>
      <w:r w:rsidRPr="00CC044B">
        <w:rPr>
          <w:rFonts w:ascii="Arial" w:hAnsi="Arial" w:cs="Arial"/>
          <w:b/>
          <w:bCs/>
          <w:lang w:eastAsia="en-GB"/>
        </w:rPr>
        <w:t>design thinking</w:t>
      </w:r>
      <w:r w:rsidRPr="00CC044B">
        <w:rPr>
          <w:rFonts w:ascii="Arial" w:hAnsi="Arial" w:cs="Arial"/>
          <w:lang w:eastAsia="en-GB"/>
        </w:rPr>
        <w:t xml:space="preserve"> to empathise first, prototype quickly, and test early, rather than jumping to solutions. This systematic approach will help me deliver practical value, not just creative output.</w:t>
      </w:r>
    </w:p>
    <w:p w14:paraId="31461EA4" w14:textId="77777777" w:rsidR="00CD71EA" w:rsidRPr="00CC044B" w:rsidRDefault="00CD71EA">
      <w:pPr>
        <w:pStyle w:val="Heading1"/>
        <w:rPr>
          <w:rFonts w:ascii="Arial" w:hAnsi="Arial" w:cs="Arial"/>
          <w:b/>
          <w:bCs/>
          <w:color w:val="auto"/>
          <w:sz w:val="22"/>
          <w:szCs w:val="22"/>
          <w:lang w:eastAsia="en-GB"/>
        </w:rPr>
      </w:pPr>
    </w:p>
    <w:p w14:paraId="31461EA5" w14:textId="77777777" w:rsidR="00CD71EA" w:rsidRPr="00CC044B" w:rsidRDefault="00CD71EA">
      <w:pPr>
        <w:pStyle w:val="Heading1"/>
        <w:rPr>
          <w:rFonts w:ascii="Arial" w:hAnsi="Arial" w:cs="Arial"/>
          <w:b/>
          <w:bCs/>
          <w:color w:val="auto"/>
          <w:sz w:val="22"/>
          <w:szCs w:val="22"/>
          <w:lang w:eastAsia="en-GB"/>
        </w:rPr>
      </w:pPr>
    </w:p>
    <w:p w14:paraId="31461EA6" w14:textId="77777777" w:rsidR="00CD71EA" w:rsidRPr="00CC044B" w:rsidRDefault="00CD71EA">
      <w:pPr>
        <w:pStyle w:val="Heading1"/>
        <w:rPr>
          <w:rFonts w:ascii="Arial" w:hAnsi="Arial" w:cs="Arial"/>
          <w:b/>
          <w:bCs/>
          <w:color w:val="auto"/>
          <w:sz w:val="22"/>
          <w:szCs w:val="22"/>
          <w:lang w:eastAsia="en-GB"/>
        </w:rPr>
      </w:pPr>
    </w:p>
    <w:p w14:paraId="31461EA7" w14:textId="77777777" w:rsidR="00CD71EA" w:rsidRPr="00CC044B" w:rsidRDefault="00CD71EA">
      <w:pPr>
        <w:pStyle w:val="Heading1"/>
        <w:rPr>
          <w:rFonts w:ascii="Arial" w:hAnsi="Arial" w:cs="Arial"/>
          <w:b/>
          <w:bCs/>
          <w:color w:val="auto"/>
          <w:sz w:val="22"/>
          <w:szCs w:val="22"/>
          <w:lang w:eastAsia="en-GB"/>
        </w:rPr>
      </w:pPr>
    </w:p>
    <w:p w14:paraId="31461EA8" w14:textId="77777777" w:rsidR="00CD71EA" w:rsidRPr="00CC044B" w:rsidRDefault="00CD71EA">
      <w:pPr>
        <w:pStyle w:val="Heading1"/>
        <w:rPr>
          <w:rFonts w:ascii="Arial" w:hAnsi="Arial" w:cs="Arial"/>
          <w:b/>
          <w:bCs/>
          <w:color w:val="auto"/>
          <w:sz w:val="22"/>
          <w:szCs w:val="22"/>
          <w:lang w:eastAsia="en-GB"/>
        </w:rPr>
      </w:pPr>
    </w:p>
    <w:p w14:paraId="31461EA9" w14:textId="77777777" w:rsidR="00CD71EA" w:rsidRPr="00CC044B" w:rsidRDefault="00CD71EA">
      <w:pPr>
        <w:pStyle w:val="Heading1"/>
        <w:rPr>
          <w:rFonts w:ascii="Arial" w:hAnsi="Arial" w:cs="Arial"/>
          <w:b/>
          <w:bCs/>
          <w:color w:val="auto"/>
          <w:sz w:val="22"/>
          <w:szCs w:val="22"/>
          <w:lang w:eastAsia="en-GB"/>
        </w:rPr>
      </w:pPr>
    </w:p>
    <w:p w14:paraId="31461EAA" w14:textId="77777777" w:rsidR="00CD71EA" w:rsidRDefault="00CD71EA">
      <w:pPr>
        <w:pStyle w:val="Heading1"/>
        <w:rPr>
          <w:rFonts w:ascii="Arial" w:hAnsi="Arial" w:cs="Arial"/>
          <w:b/>
          <w:bCs/>
          <w:color w:val="auto"/>
          <w:sz w:val="28"/>
          <w:szCs w:val="28"/>
          <w:lang w:eastAsia="en-GB"/>
        </w:rPr>
      </w:pPr>
    </w:p>
    <w:p w14:paraId="31461EAB" w14:textId="77777777" w:rsidR="00CD71EA" w:rsidRDefault="00CD71EA">
      <w:pPr>
        <w:pStyle w:val="Heading1"/>
        <w:rPr>
          <w:rFonts w:ascii="Arial" w:hAnsi="Arial" w:cs="Arial"/>
          <w:b/>
          <w:bCs/>
          <w:color w:val="auto"/>
          <w:sz w:val="28"/>
          <w:szCs w:val="28"/>
          <w:lang w:eastAsia="en-GB"/>
        </w:rPr>
      </w:pPr>
    </w:p>
    <w:p w14:paraId="31461EAC" w14:textId="77777777" w:rsidR="00CD71EA" w:rsidRDefault="00CD71EA">
      <w:pPr>
        <w:pStyle w:val="Heading1"/>
        <w:rPr>
          <w:rFonts w:ascii="Arial" w:hAnsi="Arial" w:cs="Arial"/>
          <w:b/>
          <w:bCs/>
          <w:color w:val="auto"/>
          <w:sz w:val="28"/>
          <w:szCs w:val="28"/>
          <w:lang w:eastAsia="en-GB"/>
        </w:rPr>
      </w:pPr>
    </w:p>
    <w:p w14:paraId="31461EAD" w14:textId="77777777" w:rsidR="00CD71EA" w:rsidRDefault="00CD71EA">
      <w:pPr>
        <w:suppressAutoHyphens w:val="0"/>
        <w:spacing w:after="0"/>
        <w:rPr>
          <w:rFonts w:ascii="Arial" w:eastAsia="Times New Roman" w:hAnsi="Arial" w:cs="Arial"/>
          <w:color w:val="000000"/>
          <w:kern w:val="0"/>
          <w:shd w:val="clear" w:color="auto" w:fill="FFFFFF"/>
          <w:lang w:eastAsia="en-GB"/>
        </w:rPr>
      </w:pPr>
    </w:p>
    <w:p w14:paraId="31461EAE" w14:textId="77777777" w:rsidR="00CD71EA" w:rsidRDefault="00CD71EA">
      <w:pPr>
        <w:pStyle w:val="Heading1"/>
        <w:rPr>
          <w:rFonts w:ascii="Arial" w:hAnsi="Arial" w:cs="Arial"/>
          <w:b/>
          <w:bCs/>
          <w:color w:val="auto"/>
          <w:sz w:val="28"/>
          <w:szCs w:val="28"/>
          <w:lang w:eastAsia="en-GB"/>
        </w:rPr>
      </w:pPr>
    </w:p>
    <w:p w14:paraId="31461EAF" w14:textId="77777777" w:rsidR="00CD71EA" w:rsidRDefault="00CD71EA">
      <w:pPr>
        <w:rPr>
          <w:lang w:eastAsia="en-GB"/>
        </w:rPr>
      </w:pPr>
    </w:p>
    <w:p w14:paraId="6495BA11" w14:textId="77777777" w:rsidR="00EB0063" w:rsidRDefault="00EB0063">
      <w:pPr>
        <w:suppressAutoHyphens w:val="0"/>
        <w:spacing w:after="0"/>
        <w:rPr>
          <w:rFonts w:ascii="Arial" w:eastAsia="Times New Roman" w:hAnsi="Arial" w:cs="Arial"/>
          <w:b/>
          <w:bCs/>
          <w:color w:val="000000"/>
          <w:kern w:val="0"/>
          <w:sz w:val="28"/>
          <w:szCs w:val="28"/>
          <w:shd w:val="clear" w:color="auto" w:fill="FFFFFF"/>
          <w:lang w:eastAsia="en-GB"/>
        </w:rPr>
      </w:pPr>
    </w:p>
    <w:p w14:paraId="31461EB0" w14:textId="77326D3D" w:rsidR="00CD71EA" w:rsidRDefault="00C15C99">
      <w:pPr>
        <w:suppressAutoHyphens w:val="0"/>
        <w:spacing w:after="0"/>
        <w:rPr>
          <w:rFonts w:ascii="Arial" w:eastAsia="Times New Roman" w:hAnsi="Arial" w:cs="Arial"/>
          <w:b/>
          <w:bCs/>
          <w:color w:val="000000"/>
          <w:kern w:val="0"/>
          <w:sz w:val="28"/>
          <w:szCs w:val="28"/>
          <w:shd w:val="clear" w:color="auto" w:fill="FFFFFF"/>
          <w:lang w:eastAsia="en-GB"/>
        </w:rPr>
      </w:pPr>
      <w:r>
        <w:rPr>
          <w:rFonts w:ascii="Arial" w:eastAsia="Times New Roman" w:hAnsi="Arial" w:cs="Arial"/>
          <w:b/>
          <w:bCs/>
          <w:color w:val="000000"/>
          <w:kern w:val="0"/>
          <w:sz w:val="28"/>
          <w:szCs w:val="28"/>
          <w:shd w:val="clear" w:color="auto" w:fill="FFFFFF"/>
          <w:lang w:eastAsia="en-GB"/>
        </w:rPr>
        <w:lastRenderedPageBreak/>
        <w:t>References</w:t>
      </w:r>
    </w:p>
    <w:p w14:paraId="31461EB1"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Amabile, T. M. (1996). Creativity in Context. Westview Press</w:t>
      </w:r>
    </w:p>
    <w:p w14:paraId="31461EB2" w14:textId="77777777" w:rsidR="00CD71EA" w:rsidRDefault="00C15C99">
      <w:pPr>
        <w:suppressAutoHyphens w:val="0"/>
        <w:spacing w:after="0"/>
      </w:pPr>
      <w:r>
        <w:t xml:space="preserve">Amabile, T.M. and Pratt, M.G. (2016) ‘The dynamic componential model of creativity and innovation in organizations: Making progress, making meaning’, Research in Organizational </w:t>
      </w:r>
      <w:proofErr w:type="spellStart"/>
      <w:r>
        <w:t>Behavior</w:t>
      </w:r>
      <w:proofErr w:type="spellEnd"/>
      <w:r>
        <w:t>, 36, pp. 157–183.</w:t>
      </w:r>
    </w:p>
    <w:p w14:paraId="31461EB3" w14:textId="77777777" w:rsidR="00CD71EA" w:rsidRDefault="00C15C99">
      <w:pPr>
        <w:rPr>
          <w:rFonts w:ascii="Arial" w:hAnsi="Arial" w:cs="Arial"/>
          <w:lang w:eastAsia="en-GB"/>
        </w:rPr>
      </w:pPr>
      <w:r>
        <w:rPr>
          <w:rFonts w:ascii="Arial" w:hAnsi="Arial" w:cs="Arial"/>
          <w:lang w:eastAsia="en-GB"/>
        </w:rPr>
        <w:t>Bass, B. M., &amp; Avolio, B. J. (1994). Improving Organizational Effectiveness through Transformational Leadership. Sage Publications.</w:t>
      </w:r>
    </w:p>
    <w:p w14:paraId="31461EB4" w14:textId="77777777" w:rsidR="00CD71EA" w:rsidRDefault="00C15C99">
      <w:pPr>
        <w:suppressAutoHyphens w:val="0"/>
        <w:spacing w:after="0"/>
        <w:rPr>
          <w:rFonts w:ascii="Arial" w:eastAsia="Times New Roman" w:hAnsi="Arial" w:cs="Arial"/>
          <w:kern w:val="0"/>
          <w:lang w:eastAsia="en-GB"/>
        </w:rPr>
      </w:pPr>
      <w:r>
        <w:rPr>
          <w:rFonts w:ascii="Arial" w:eastAsia="Times New Roman" w:hAnsi="Arial" w:cs="Arial"/>
          <w:kern w:val="0"/>
          <w:lang w:eastAsia="en-GB"/>
        </w:rPr>
        <w:t xml:space="preserve">Buchan, J., Charlesworth, A. and </w:t>
      </w:r>
      <w:proofErr w:type="spellStart"/>
      <w:r>
        <w:rPr>
          <w:rFonts w:ascii="Arial" w:eastAsia="Times New Roman" w:hAnsi="Arial" w:cs="Arial"/>
          <w:kern w:val="0"/>
          <w:lang w:eastAsia="en-GB"/>
        </w:rPr>
        <w:t>Gershlick</w:t>
      </w:r>
      <w:proofErr w:type="spellEnd"/>
      <w:r>
        <w:rPr>
          <w:rFonts w:ascii="Arial" w:eastAsia="Times New Roman" w:hAnsi="Arial" w:cs="Arial"/>
          <w:kern w:val="0"/>
          <w:lang w:eastAsia="en-GB"/>
        </w:rPr>
        <w:t>, B. (2021) *The NHS workforce: challenges and solutions*. London: The Health Foundation.</w:t>
      </w:r>
    </w:p>
    <w:p w14:paraId="31461EB5"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Burnes, B. (2017). Managing Change. Pearson Education</w:t>
      </w:r>
    </w:p>
    <w:p w14:paraId="31461EB6"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Cook, M. &amp; Macaulay, S. (2018). Leading Innovation in Health and Social Care. Open University Press.</w:t>
      </w:r>
    </w:p>
    <w:p w14:paraId="31461EB7" w14:textId="77777777" w:rsidR="00CD71EA" w:rsidRDefault="00C15C99">
      <w:pPr>
        <w:suppressAutoHyphens w:val="0"/>
        <w:spacing w:after="0"/>
      </w:pPr>
      <w:proofErr w:type="spellStart"/>
      <w:r>
        <w:t>Cureus</w:t>
      </w:r>
      <w:proofErr w:type="spellEnd"/>
      <w:r>
        <w:t xml:space="preserve"> Journal of Medical Science (2024). </w:t>
      </w:r>
      <w:r>
        <w:rPr>
          <w:rFonts w:ascii="Arial" w:hAnsi="Arial" w:cs="Arial"/>
          <w:i/>
          <w:iCs/>
          <w:color w:val="000000"/>
        </w:rPr>
        <w:t>The Role of Wearable Devices in Chronic Disease Monitoring</w:t>
      </w:r>
      <w:r>
        <w:t xml:space="preserve">. </w:t>
      </w:r>
      <w:hyperlink r:id="rId8" w:history="1">
        <w:r>
          <w:rPr>
            <w:rFonts w:ascii="Arial" w:hAnsi="Arial" w:cs="Arial"/>
            <w:color w:val="0057FF"/>
            <w:u w:val="single"/>
          </w:rPr>
          <w:t>https://doi.org/10.7759/cureus.68921</w:t>
        </w:r>
      </w:hyperlink>
    </w:p>
    <w:p w14:paraId="31461EB8"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w:t>
      </w:r>
      <w:proofErr w:type="spellStart"/>
      <w:r>
        <w:rPr>
          <w:rFonts w:ascii="Arial" w:eastAsia="Times New Roman" w:hAnsi="Arial" w:cs="Arial"/>
          <w:color w:val="000000"/>
          <w:kern w:val="0"/>
          <w:shd w:val="clear" w:color="auto" w:fill="FFFFFF"/>
          <w:lang w:eastAsia="en-GB"/>
        </w:rPr>
        <w:t>Damanpour</w:t>
      </w:r>
      <w:proofErr w:type="spellEnd"/>
      <w:r>
        <w:rPr>
          <w:rFonts w:ascii="Arial" w:eastAsia="Times New Roman" w:hAnsi="Arial" w:cs="Arial"/>
          <w:color w:val="000000"/>
          <w:kern w:val="0"/>
          <w:shd w:val="clear" w:color="auto" w:fill="FFFFFF"/>
          <w:lang w:eastAsia="en-GB"/>
        </w:rPr>
        <w:t>, F. &amp; Schneider, M. (2009). Characteristics of innovation and its adoption in public sector organizations. Public Administration Review, 69(3), 495–507.</w:t>
      </w:r>
    </w:p>
    <w:p w14:paraId="31461EB9"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Dewar, B. (2017). Person-Centred Innovation in Health and Social Care. CRC Press.</w:t>
      </w:r>
    </w:p>
    <w:p w14:paraId="31461EBA" w14:textId="77777777" w:rsidR="00CD71EA" w:rsidRDefault="00C15C99">
      <w:pPr>
        <w:suppressAutoHyphens w:val="0"/>
        <w:spacing w:after="0"/>
      </w:pPr>
      <w:proofErr w:type="spellStart"/>
      <w:r>
        <w:rPr>
          <w:rFonts w:ascii="Arial" w:eastAsia="Times New Roman" w:hAnsi="Arial" w:cs="Arial"/>
          <w:color w:val="000000"/>
          <w:kern w:val="0"/>
          <w:sz w:val="24"/>
          <w:szCs w:val="24"/>
          <w:lang w:eastAsia="en-GB"/>
        </w:rPr>
        <w:t>Fauville</w:t>
      </w:r>
      <w:proofErr w:type="spellEnd"/>
      <w:r>
        <w:rPr>
          <w:rFonts w:ascii="Arial" w:eastAsia="Times New Roman" w:hAnsi="Arial" w:cs="Arial"/>
          <w:color w:val="000000"/>
          <w:kern w:val="0"/>
          <w:sz w:val="24"/>
          <w:szCs w:val="24"/>
          <w:lang w:eastAsia="en-GB"/>
        </w:rPr>
        <w:t>, G., et al. (2025). Trajectories of well-being and burnout among health and social services community workers. Journal of Community Psychology, 53, e70052. https://doi.org/10.1002/jcop.70052</w:t>
      </w:r>
    </w:p>
    <w:p w14:paraId="31461EBB" w14:textId="77777777" w:rsidR="00CD71EA" w:rsidRDefault="00C15C99">
      <w:pPr>
        <w:suppressAutoHyphens w:val="0"/>
        <w:spacing w:after="0"/>
      </w:pPr>
      <w:r>
        <w:rPr>
          <w:rFonts w:ascii="Arial" w:eastAsia="Times New Roman" w:hAnsi="Arial" w:cs="Arial"/>
          <w:kern w:val="0"/>
          <w:lang w:eastAsia="en-GB"/>
        </w:rPr>
        <w:t xml:space="preserve">Gibbs, G. (1988). </w:t>
      </w:r>
      <w:r>
        <w:rPr>
          <w:rFonts w:ascii="Arial" w:eastAsia="Times New Roman" w:hAnsi="Arial" w:cs="Arial"/>
          <w:i/>
          <w:iCs/>
          <w:color w:val="000000"/>
          <w:kern w:val="0"/>
          <w:lang w:eastAsia="en-GB"/>
        </w:rPr>
        <w:t>Learning by Doing: A Guide to Teaching and Learning Methods</w:t>
      </w:r>
      <w:r>
        <w:rPr>
          <w:rFonts w:ascii="Arial" w:eastAsia="Times New Roman" w:hAnsi="Arial" w:cs="Arial"/>
          <w:kern w:val="0"/>
          <w:lang w:eastAsia="en-GB"/>
        </w:rPr>
        <w:t>. Oxford: Further Education Unit.</w:t>
      </w:r>
    </w:p>
    <w:p w14:paraId="31461EBC"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Grol, R., Wensing, M. &amp; Eccles, M. (2020). Improving Patient Care: The Implementation of Change in Clinical Practice. Wiley-Blackwell.</w:t>
      </w:r>
    </w:p>
    <w:p w14:paraId="31461EBD" w14:textId="77777777" w:rsidR="00CD71EA" w:rsidRDefault="00C15C99">
      <w:pPr>
        <w:suppressAutoHyphens w:val="0"/>
        <w:spacing w:after="0"/>
      </w:pPr>
      <w:r>
        <w:rPr>
          <w:rFonts w:ascii="Arial" w:eastAsia="Times New Roman" w:hAnsi="Arial" w:cs="Arial"/>
          <w:kern w:val="0"/>
          <w:lang w:eastAsia="en-GB"/>
        </w:rPr>
        <w:t xml:space="preserve">Guilford, J. P. (1967). </w:t>
      </w:r>
      <w:r>
        <w:rPr>
          <w:rFonts w:ascii="Arial" w:eastAsia="Times New Roman" w:hAnsi="Arial" w:cs="Arial"/>
          <w:i/>
          <w:iCs/>
          <w:color w:val="000000"/>
          <w:kern w:val="0"/>
          <w:lang w:eastAsia="en-GB"/>
        </w:rPr>
        <w:t>The Nature of Human Intelligence</w:t>
      </w:r>
      <w:r>
        <w:rPr>
          <w:rFonts w:ascii="Arial" w:eastAsia="Times New Roman" w:hAnsi="Arial" w:cs="Arial"/>
          <w:kern w:val="0"/>
          <w:lang w:eastAsia="en-GB"/>
        </w:rPr>
        <w:t>. New York: McGraw</w:t>
      </w:r>
      <w:r>
        <w:rPr>
          <w:rFonts w:ascii="Arial" w:eastAsia="Times New Roman" w:hAnsi="Arial" w:cs="Arial"/>
          <w:kern w:val="0"/>
          <w:lang w:eastAsia="en-GB"/>
        </w:rPr>
        <w:noBreakHyphen/>
        <w:t>Hill.</w:t>
      </w:r>
    </w:p>
    <w:p w14:paraId="31461EBE"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Hartley, J. (2019). Innovation in governance and public services: Past, present and future. Public Money &amp; Management, 39(1), 15–22.</w:t>
      </w:r>
    </w:p>
    <w:p w14:paraId="31461EBF" w14:textId="77777777" w:rsidR="00CD71EA" w:rsidRDefault="00C15C99">
      <w:pPr>
        <w:suppressAutoHyphens w:val="0"/>
        <w:spacing w:after="0"/>
      </w:pPr>
      <w:r>
        <w:t xml:space="preserve">Healthcare Informatics Research (2023). </w:t>
      </w:r>
      <w:r>
        <w:rPr>
          <w:rFonts w:ascii="Arial" w:hAnsi="Arial" w:cs="Arial"/>
          <w:i/>
          <w:iCs/>
          <w:color w:val="000000"/>
        </w:rPr>
        <w:t>Interoperability and Communication via Electronic Health Records</w:t>
      </w:r>
      <w:r>
        <w:t xml:space="preserve">. </w:t>
      </w:r>
      <w:hyperlink r:id="rId9" w:history="1">
        <w:r>
          <w:rPr>
            <w:rFonts w:ascii="Arial" w:hAnsi="Arial" w:cs="Arial"/>
            <w:color w:val="0057FF"/>
            <w:u w:val="single"/>
          </w:rPr>
          <w:t>https://doi.org/10.4258/hir.2023.29.2.123</w:t>
        </w:r>
      </w:hyperlink>
      <w:r>
        <w:t xml:space="preserve">: </w:t>
      </w:r>
    </w:p>
    <w:p w14:paraId="31461EC0" w14:textId="77777777" w:rsidR="00CD71EA" w:rsidRDefault="00C15C99">
      <w:r>
        <w:rPr>
          <w:rFonts w:ascii="Arial" w:hAnsi="Arial" w:cs="Arial"/>
          <w:lang w:eastAsia="en-GB"/>
        </w:rPr>
        <w:t xml:space="preserve">London Leadership Academy. (2024). Standards and Competencies Overview. Retrieved from </w:t>
      </w:r>
      <w:hyperlink r:id="rId10" w:history="1">
        <w:r>
          <w:rPr>
            <w:rStyle w:val="Hyperlink"/>
            <w:rFonts w:ascii="Arial" w:hAnsi="Arial" w:cs="Arial"/>
            <w:lang w:eastAsia="en-GB"/>
          </w:rPr>
          <w:t>https://london.leadershipacademy.nhs</w:t>
        </w:r>
      </w:hyperlink>
      <w:r>
        <w:rPr>
          <w:rFonts w:ascii="Arial" w:hAnsi="Arial" w:cs="Arial"/>
          <w:lang w:eastAsia="en-GB"/>
        </w:rPr>
        <w:t>.</w:t>
      </w:r>
    </w:p>
    <w:p w14:paraId="31461EC1" w14:textId="77777777" w:rsidR="00CD71EA" w:rsidRDefault="00C15C99">
      <w:r>
        <w:rPr>
          <w:rFonts w:ascii="Arial" w:eastAsia="Times New Roman" w:hAnsi="Arial" w:cs="Arial"/>
          <w:kern w:val="0"/>
          <w:lang w:eastAsia="en-GB"/>
        </w:rPr>
        <w:t>Meadows, D.H. (2008) *Thinking in systems: a primer*. White River Junction: Chelsea Green Publishing.</w:t>
      </w:r>
    </w:p>
    <w:p w14:paraId="31461EC2"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Mintzberg, H. (2012). Managing the Myths of Health Care. Berrett-Koehler </w:t>
      </w:r>
      <w:proofErr w:type="spellStart"/>
      <w:r>
        <w:rPr>
          <w:rFonts w:ascii="Arial" w:eastAsia="Times New Roman" w:hAnsi="Arial" w:cs="Arial"/>
          <w:color w:val="000000"/>
          <w:kern w:val="0"/>
          <w:shd w:val="clear" w:color="auto" w:fill="FFFFFF"/>
          <w:lang w:eastAsia="en-GB"/>
        </w:rPr>
        <w:t>Publishe</w:t>
      </w:r>
      <w:proofErr w:type="spellEnd"/>
    </w:p>
    <w:p w14:paraId="31461EC3" w14:textId="77777777" w:rsidR="00CD71EA" w:rsidRDefault="00C15C99">
      <w:pPr>
        <w:suppressAutoHyphens w:val="0"/>
        <w:spacing w:after="0"/>
      </w:pPr>
      <w:r>
        <w:rPr>
          <w:rFonts w:ascii="Arial" w:eastAsia="Times New Roman" w:hAnsi="Arial" w:cs="Arial"/>
          <w:kern w:val="0"/>
          <w:lang w:eastAsia="en-GB"/>
        </w:rPr>
        <w:lastRenderedPageBreak/>
        <w:t xml:space="preserve">Moon, J. A. (2004). </w:t>
      </w:r>
      <w:r>
        <w:rPr>
          <w:rFonts w:ascii="Arial" w:eastAsia="Times New Roman" w:hAnsi="Arial" w:cs="Arial"/>
          <w:i/>
          <w:iCs/>
          <w:color w:val="000000"/>
          <w:kern w:val="0"/>
          <w:lang w:eastAsia="en-GB"/>
        </w:rPr>
        <w:t>A Handbook of Reflective and Experiential Learning</w:t>
      </w:r>
      <w:r>
        <w:rPr>
          <w:rFonts w:ascii="Arial" w:eastAsia="Times New Roman" w:hAnsi="Arial" w:cs="Arial"/>
          <w:kern w:val="0"/>
          <w:lang w:eastAsia="en-GB"/>
        </w:rPr>
        <w:t>. London: Routledge Falmer.</w:t>
      </w:r>
    </w:p>
    <w:p w14:paraId="31461EC4" w14:textId="77777777" w:rsidR="00CD71EA" w:rsidRDefault="00C15C99">
      <w:pPr>
        <w:suppressAutoHyphens w:val="0"/>
        <w:spacing w:after="0"/>
      </w:pPr>
      <w:r>
        <w:rPr>
          <w:rFonts w:ascii="Arial" w:eastAsia="Times New Roman" w:hAnsi="Arial" w:cs="Arial"/>
          <w:kern w:val="0"/>
          <w:lang w:eastAsia="en-GB"/>
        </w:rPr>
        <w:t>NHS England (2024) *Primary care access and waiting times*. Available at: </w:t>
      </w:r>
      <w:hyperlink r:id="rId11" w:history="1">
        <w:r>
          <w:rPr>
            <w:rFonts w:ascii="Arial" w:eastAsia="Times New Roman" w:hAnsi="Arial" w:cs="Arial"/>
            <w:color w:val="1155CC"/>
            <w:kern w:val="0"/>
            <w:u w:val="single"/>
            <w:lang w:eastAsia="en-GB"/>
          </w:rPr>
          <w:t>https://www.england.nhs.uk</w:t>
        </w:r>
      </w:hyperlink>
      <w:r>
        <w:rPr>
          <w:rFonts w:ascii="Arial" w:eastAsia="Times New Roman" w:hAnsi="Arial" w:cs="Arial"/>
          <w:kern w:val="0"/>
          <w:lang w:eastAsia="en-GB"/>
        </w:rPr>
        <w:t> (Accessed: 19 June 2026).</w:t>
      </w:r>
    </w:p>
    <w:p w14:paraId="31461EC5" w14:textId="77777777" w:rsidR="00CD71EA" w:rsidRDefault="00C15C99">
      <w:r>
        <w:rPr>
          <w:rFonts w:ascii="Arial" w:hAnsi="Arial" w:cs="Arial"/>
          <w:lang w:eastAsia="en-GB"/>
        </w:rPr>
        <w:t xml:space="preserve">NHS England. (2026). NHS Leadership and Management Framework. Retrieved from </w:t>
      </w:r>
      <w:hyperlink r:id="rId12" w:history="1">
        <w:r>
          <w:rPr>
            <w:rStyle w:val="Hyperlink"/>
            <w:rFonts w:ascii="Arial" w:hAnsi="Arial" w:cs="Arial"/>
            <w:lang w:eastAsia="en-GB"/>
          </w:rPr>
          <w:t>https://www.england.nhs.uk</w:t>
        </w:r>
      </w:hyperlink>
    </w:p>
    <w:p w14:paraId="31461EC6"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Paton, R. A. &amp; McCalman, J. (2015). Change Management: A Guide to Effective Implementation. SAGE Publications.</w:t>
      </w:r>
    </w:p>
    <w:p w14:paraId="31461EC7"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Porter, M. E. (2010). What is value in health care? New England Journal of Medicine, 363(26), 2477–2481.</w:t>
      </w:r>
    </w:p>
    <w:p w14:paraId="31461EC8"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Rogers, E. M. (2003). Diffusion of Innovations (5th ed.). Free Press.</w:t>
      </w:r>
    </w:p>
    <w:p w14:paraId="31461EC9"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Scott, J. T. &amp; Bruce, R. A. (2021). Creative Leadership: Skills That Drive Change. SAGE Publications.</w:t>
      </w:r>
    </w:p>
    <w:p w14:paraId="31461ECA"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Sternberg, R. J. &amp; </w:t>
      </w:r>
      <w:proofErr w:type="spellStart"/>
      <w:r>
        <w:rPr>
          <w:rFonts w:ascii="Arial" w:eastAsia="Times New Roman" w:hAnsi="Arial" w:cs="Arial"/>
          <w:color w:val="000000"/>
          <w:kern w:val="0"/>
          <w:shd w:val="clear" w:color="auto" w:fill="FFFFFF"/>
          <w:lang w:eastAsia="en-GB"/>
        </w:rPr>
        <w:t>Lubart</w:t>
      </w:r>
      <w:proofErr w:type="spellEnd"/>
      <w:r>
        <w:rPr>
          <w:rFonts w:ascii="Arial" w:eastAsia="Times New Roman" w:hAnsi="Arial" w:cs="Arial"/>
          <w:color w:val="000000"/>
          <w:kern w:val="0"/>
          <w:shd w:val="clear" w:color="auto" w:fill="FFFFFF"/>
          <w:lang w:eastAsia="en-GB"/>
        </w:rPr>
        <w:t>, T. I. (1999). Handbook of Creativity. Cambridge University Press.</w:t>
      </w:r>
    </w:p>
    <w:p w14:paraId="31461ECB" w14:textId="77777777" w:rsidR="00CD71EA" w:rsidRDefault="00C15C99">
      <w:pPr>
        <w:suppressAutoHyphens w:val="0"/>
        <w:spacing w:after="0"/>
        <w:rPr>
          <w:rFonts w:ascii="Arial" w:eastAsia="Times New Roman" w:hAnsi="Arial" w:cs="Arial"/>
          <w:color w:val="000000"/>
          <w:kern w:val="0"/>
          <w:shd w:val="clear" w:color="auto" w:fill="FFFFFF"/>
          <w:lang w:eastAsia="en-GB"/>
        </w:rPr>
      </w:pPr>
      <w:r>
        <w:rPr>
          <w:rFonts w:ascii="Arial" w:eastAsia="Times New Roman" w:hAnsi="Arial" w:cs="Arial"/>
          <w:color w:val="000000"/>
          <w:kern w:val="0"/>
          <w:shd w:val="clear" w:color="auto" w:fill="FFFFFF"/>
          <w:lang w:eastAsia="en-GB"/>
        </w:rPr>
        <w:t xml:space="preserve"> West, M. A. &amp; Farr, J. L. (1990). Innovation and Creativity at Work: Psychological and Organisational Strategies. John Wiley &amp; Sons.</w:t>
      </w:r>
    </w:p>
    <w:p w14:paraId="31461ECC" w14:textId="77777777" w:rsidR="00CD71EA" w:rsidRDefault="00C15C99">
      <w:r>
        <w:rPr>
          <w:rFonts w:ascii="Arial" w:eastAsia="Times New Roman" w:hAnsi="Arial" w:cs="Arial"/>
          <w:color w:val="000000"/>
          <w:kern w:val="0"/>
          <w:shd w:val="clear" w:color="auto" w:fill="FFFFFF"/>
          <w:lang w:eastAsia="en-GB"/>
        </w:rPr>
        <w:t xml:space="preserve"> West, M. A. (2020). Effective Teamwork: Practical Lessons from Organisational Research. Wiley-</w:t>
      </w:r>
      <w:proofErr w:type="spellStart"/>
      <w:r>
        <w:rPr>
          <w:rFonts w:ascii="Arial" w:eastAsia="Times New Roman" w:hAnsi="Arial" w:cs="Arial"/>
          <w:color w:val="000000"/>
          <w:kern w:val="0"/>
          <w:shd w:val="clear" w:color="auto" w:fill="FFFFFF"/>
          <w:lang w:eastAsia="en-GB"/>
        </w:rPr>
        <w:t>Blackwell.</w:t>
      </w:r>
      <w:r>
        <w:rPr>
          <w:rFonts w:ascii="Arial" w:eastAsia="Times New Roman" w:hAnsi="Arial" w:cs="Arial"/>
          <w:color w:val="000000"/>
          <w:kern w:val="0"/>
          <w:sz w:val="24"/>
          <w:szCs w:val="24"/>
          <w:lang w:eastAsia="en-GB"/>
        </w:rPr>
        <w:t>Ravalier</w:t>
      </w:r>
      <w:proofErr w:type="spellEnd"/>
      <w:r>
        <w:rPr>
          <w:rFonts w:ascii="Arial" w:eastAsia="Times New Roman" w:hAnsi="Arial" w:cs="Arial"/>
          <w:color w:val="000000"/>
          <w:kern w:val="0"/>
          <w:sz w:val="24"/>
          <w:szCs w:val="24"/>
          <w:lang w:eastAsia="en-GB"/>
        </w:rPr>
        <w:t xml:space="preserve">, J. M., &amp; Walsh, J. (2023). Burnout and mental health in social care: The role of demands and resources. British Journal of Social Work, 54(1), 326–344. </w:t>
      </w:r>
      <w:hyperlink r:id="rId13" w:history="1">
        <w:r>
          <w:rPr>
            <w:rStyle w:val="Hyperlink"/>
            <w:rFonts w:ascii="Arial" w:eastAsia="Times New Roman" w:hAnsi="Arial" w:cs="Arial"/>
            <w:kern w:val="0"/>
            <w:sz w:val="24"/>
            <w:szCs w:val="24"/>
            <w:lang w:eastAsia="en-GB"/>
          </w:rPr>
          <w:t>https://doi.org/10.1093/bjsw/bcad198</w:t>
        </w:r>
      </w:hyperlink>
    </w:p>
    <w:sectPr w:rsidR="00CD71EA">
      <w:footerReference w:type="default" r:id="rId14"/>
      <w:pgSz w:w="11906" w:h="16838"/>
      <w:pgMar w:top="1440" w:right="1440" w:bottom="1440" w:left="1440" w:header="737" w:footer="68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6F46B" w14:textId="77777777" w:rsidR="0026140E" w:rsidRDefault="0026140E">
      <w:pPr>
        <w:spacing w:after="0" w:line="240" w:lineRule="auto"/>
      </w:pPr>
      <w:r>
        <w:separator/>
      </w:r>
    </w:p>
  </w:endnote>
  <w:endnote w:type="continuationSeparator" w:id="0">
    <w:p w14:paraId="408BF774" w14:textId="77777777" w:rsidR="0026140E" w:rsidRDefault="00261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61E0F" w14:textId="77777777" w:rsidR="00C15C99" w:rsidRDefault="00C15C99">
    <w:pPr>
      <w:pStyle w:val="Footer"/>
      <w:jc w:val="right"/>
    </w:pPr>
    <w:r>
      <w:fldChar w:fldCharType="begin"/>
    </w:r>
    <w:r>
      <w:instrText xml:space="preserve"> PAGE </w:instrText>
    </w:r>
    <w:r>
      <w:fldChar w:fldCharType="separate"/>
    </w:r>
    <w:r>
      <w:t>2</w:t>
    </w:r>
    <w:r>
      <w:fldChar w:fldCharType="end"/>
    </w:r>
  </w:p>
  <w:p w14:paraId="31461E10" w14:textId="77777777" w:rsidR="00C15C99" w:rsidRDefault="00C15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098B4" w14:textId="77777777" w:rsidR="0026140E" w:rsidRDefault="0026140E">
      <w:pPr>
        <w:spacing w:after="0" w:line="240" w:lineRule="auto"/>
      </w:pPr>
      <w:r>
        <w:rPr>
          <w:color w:val="000000"/>
        </w:rPr>
        <w:separator/>
      </w:r>
    </w:p>
  </w:footnote>
  <w:footnote w:type="continuationSeparator" w:id="0">
    <w:p w14:paraId="1F6789EF" w14:textId="77777777" w:rsidR="0026140E" w:rsidRDefault="00261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A72D5"/>
    <w:multiLevelType w:val="multilevel"/>
    <w:tmpl w:val="7164941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77A11FB7"/>
    <w:multiLevelType w:val="multilevel"/>
    <w:tmpl w:val="C302C26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879657355">
    <w:abstractNumId w:val="0"/>
  </w:num>
  <w:num w:numId="2" w16cid:durableId="1241910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1EA"/>
    <w:rsid w:val="00135075"/>
    <w:rsid w:val="001F2EF8"/>
    <w:rsid w:val="00206BB3"/>
    <w:rsid w:val="0026140E"/>
    <w:rsid w:val="0064616C"/>
    <w:rsid w:val="006C230E"/>
    <w:rsid w:val="00B83690"/>
    <w:rsid w:val="00C15C99"/>
    <w:rsid w:val="00CC044B"/>
    <w:rsid w:val="00CD71EA"/>
    <w:rsid w:val="00DA577C"/>
    <w:rsid w:val="00EB0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61E02"/>
  <w15:docId w15:val="{11E34F20-D99F-49F0-9336-35BF83805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lang w:eastAsia="en-GB"/>
    </w:rPr>
  </w:style>
  <w:style w:type="character" w:customStyle="1" w:styleId="NoSpacingChar">
    <w:name w:val="No Spacing Char"/>
    <w:basedOn w:val="DefaultParagraphFont"/>
    <w:rPr>
      <w:rFonts w:eastAsia="Times New Roman"/>
      <w:kern w:val="0"/>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before="240" w:after="0" w:line="240" w:lineRule="auto"/>
    </w:pPr>
    <w:rPr>
      <w:kern w:val="0"/>
      <w:sz w:val="32"/>
      <w:szCs w:val="32"/>
      <w:lang w:eastAsia="en-GB"/>
    </w:rPr>
  </w:style>
  <w:style w:type="paragraph" w:styleId="TOC3">
    <w:name w:val="toc 3"/>
    <w:basedOn w:val="Normal"/>
    <w:next w:val="Normal"/>
    <w:autoRedefine/>
    <w:pPr>
      <w:spacing w:after="100"/>
      <w:ind w:left="440"/>
    </w:pPr>
  </w:style>
  <w:style w:type="character" w:styleId="Hyperlink">
    <w:name w:val="Hyperlink"/>
    <w:basedOn w:val="DefaultParagraphFont"/>
    <w:rPr>
      <w:color w:val="467886"/>
      <w:u w:val="single"/>
    </w:rPr>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paragraph" w:styleId="TOC2">
    <w:name w:val="toc 2"/>
    <w:basedOn w:val="Normal"/>
    <w:next w:val="Normal"/>
    <w:autoRedefine/>
    <w:pPr>
      <w:spacing w:after="100"/>
      <w:ind w:left="220"/>
    </w:pPr>
  </w:style>
  <w:style w:type="paragraph" w:styleId="TOC1">
    <w:name w:val="toc 1"/>
    <w:basedOn w:val="Normal"/>
    <w:next w:val="Normal"/>
    <w:autoRedefine/>
    <w:pPr>
      <w:spacing w:after="100"/>
    </w:pPr>
  </w:style>
  <w:style w:type="character" w:styleId="Strong">
    <w:name w:val="Strong"/>
    <w:basedOn w:val="DefaultParagraphFont"/>
    <w:rPr>
      <w:b/>
      <w:bCs/>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sg-link.byteoversea.com/?target=https%3A%2F%2Fdoi.org%2F10.7759%2Fcureus.68921&amp;scene=im&amp;aid=495671&amp;lang=en-GB" TargetMode="External"/><Relationship Id="rId13" Type="http://schemas.openxmlformats.org/officeDocument/2006/relationships/hyperlink" Target="https://doi.org/10.1093/bjsw/bcad19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ondon.leadershipacademy.nhs" TargetMode="External"/><Relationship Id="rId4" Type="http://schemas.openxmlformats.org/officeDocument/2006/relationships/webSettings" Target="webSettings.xml"/><Relationship Id="rId9" Type="http://schemas.openxmlformats.org/officeDocument/2006/relationships/hyperlink" Target="https://sg-link.byteoversea.com/?target=https%3A%2F%2Fdoi.org%2F10.4258%2Fhir.2023.29.2.123&amp;scene=im&amp;aid=495671&amp;lang=en-GB"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3026</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Omolola Oluwaseun Sonola (2423672)</dc:creator>
  <dc:description/>
  <cp:lastModifiedBy>Omolola Oluwaseun Sonola (2423672)</cp:lastModifiedBy>
  <cp:revision>8</cp:revision>
  <dcterms:created xsi:type="dcterms:W3CDTF">2026-07-18T11:23:00Z</dcterms:created>
  <dcterms:modified xsi:type="dcterms:W3CDTF">2026-07-24T14:02:00Z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b796f578-c2e0-4dd3-bf42-0beba6797158</vt:lpwstr>
  </property>
</Properties>
</file>