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B98441" w14:textId="1ED5C70A" w:rsidR="00EC7A10" w:rsidRDefault="00EC7A10" w:rsidP="00ED5F58">
      <w:pPr>
        <w:jc w:val="center"/>
        <w:rPr>
          <w:b/>
          <w:u w:val="single"/>
        </w:rPr>
      </w:pPr>
      <w:r w:rsidRPr="00EC7A10">
        <w:rPr>
          <w:b/>
          <w:u w:val="single"/>
        </w:rPr>
        <w:t>Looking forward: A critical</w:t>
      </w:r>
      <w:r>
        <w:rPr>
          <w:b/>
          <w:u w:val="single"/>
        </w:rPr>
        <w:t xml:space="preserve"> </w:t>
      </w:r>
      <w:r w:rsidRPr="00EC7A10">
        <w:rPr>
          <w:b/>
          <w:u w:val="single"/>
        </w:rPr>
        <w:t>analysis of literacy,</w:t>
      </w:r>
      <w:r>
        <w:rPr>
          <w:b/>
          <w:u w:val="single"/>
        </w:rPr>
        <w:t xml:space="preserve"> </w:t>
      </w:r>
      <w:r w:rsidRPr="00EC7A10">
        <w:rPr>
          <w:b/>
          <w:u w:val="single"/>
        </w:rPr>
        <w:t>numeracy and digital competence as cross</w:t>
      </w:r>
      <w:r>
        <w:rPr>
          <w:b/>
          <w:u w:val="single"/>
        </w:rPr>
        <w:t>-</w:t>
      </w:r>
      <w:r w:rsidRPr="00EC7A10">
        <w:rPr>
          <w:b/>
          <w:u w:val="single"/>
        </w:rPr>
        <w:t>curricular responsibilities.</w:t>
      </w:r>
    </w:p>
    <w:p w14:paraId="59DBE4A4" w14:textId="77777777" w:rsidR="00EC7A10" w:rsidRDefault="00EC7A10" w:rsidP="00D067E9">
      <w:pPr>
        <w:rPr>
          <w:b/>
          <w:u w:val="single"/>
        </w:rPr>
      </w:pPr>
    </w:p>
    <w:p w14:paraId="4A5D2B0B" w14:textId="3113A634" w:rsidR="00FC48EC" w:rsidRPr="00FC48EC" w:rsidRDefault="00FC48EC" w:rsidP="00D067E9">
      <w:pPr>
        <w:rPr>
          <w:b/>
          <w:u w:val="single"/>
        </w:rPr>
      </w:pPr>
      <w:r w:rsidRPr="00FC48EC">
        <w:rPr>
          <w:b/>
          <w:u w:val="single"/>
        </w:rPr>
        <w:t>Introduction</w:t>
      </w:r>
    </w:p>
    <w:p w14:paraId="15B8FD5D" w14:textId="77777777" w:rsidR="00D31A02" w:rsidRDefault="00D31A02" w:rsidP="00D067E9">
      <w:r>
        <w:t xml:space="preserve">Cross-curricular approaches to teaching and learning are not new ideas, looking back to ancient Greek and medieval Chinese eras, there were clear links between language and skills of more than one discipline (Barnes, 2015: 49). To move forward it can be useful to look back to where we came from, learning from the past and putting a new innovative spin on an old idea could give good results. This is what has happened with cross-curricular teaching, looking forward to it becoming the second nature in the education, as literacy, numeracy and digital competency will all have to float through all lessons. </w:t>
      </w:r>
    </w:p>
    <w:p w14:paraId="501408F0" w14:textId="77777777" w:rsidR="00D31A02" w:rsidRDefault="00D31A02" w:rsidP="00D067E9"/>
    <w:p w14:paraId="68994BB7" w14:textId="74DCA788" w:rsidR="000F1CC9" w:rsidRDefault="00E85D15" w:rsidP="00D067E9">
      <w:r>
        <w:t>It is very clear that the new curriculum will have a heavy emphasis on cross-curricular learning.</w:t>
      </w:r>
      <w:r w:rsidR="00D067E9">
        <w:t xml:space="preserve"> Donaldson (2015: 28) says “y</w:t>
      </w:r>
      <w:r w:rsidR="00D067E9">
        <w:t>oung people should all leave school having experienced a broad</w:t>
      </w:r>
      <w:r w:rsidR="00D067E9">
        <w:t xml:space="preserve"> </w:t>
      </w:r>
      <w:r w:rsidR="00D067E9">
        <w:t>education that equips them to thrive in an increasingly complex and rapidly changing world</w:t>
      </w:r>
      <w:r w:rsidR="00D067E9">
        <w:t>.”</w:t>
      </w:r>
      <w:r w:rsidR="007B737E">
        <w:t xml:space="preserve"> Donaldson (2015: 108) goes onto say “</w:t>
      </w:r>
      <w:r w:rsidR="007B737E">
        <w:t>literacy, numeracy and digital competence should be the responsibility of all teachers. These are so fundamental to thinking, learning and life that they should be developed and reinforced across the curriculum as a whole</w:t>
      </w:r>
      <w:r w:rsidR="007B737E">
        <w:t xml:space="preserve">.” </w:t>
      </w:r>
      <w:r w:rsidR="007F51F9">
        <w:t>Hayes (2010: 385) backs this up by saying “</w:t>
      </w:r>
      <w:r w:rsidR="007F51F9">
        <w:t>cross-curricular work should be used to</w:t>
      </w:r>
      <w:r w:rsidR="007F51F9">
        <w:t xml:space="preserve"> </w:t>
      </w:r>
      <w:r w:rsidR="007F51F9">
        <w:t>strengthen the six areas of learning</w:t>
      </w:r>
      <w:r w:rsidR="007F51F9">
        <w:t>,</w:t>
      </w:r>
      <w:r w:rsidR="007F51F9">
        <w:t xml:space="preserve"> has many attractions for practitioners and as a</w:t>
      </w:r>
      <w:r w:rsidR="007F51F9">
        <w:t xml:space="preserve"> </w:t>
      </w:r>
      <w:r w:rsidR="007F51F9">
        <w:t>means of enhancing children’s learning</w:t>
      </w:r>
      <w:r w:rsidR="007F51F9">
        <w:t xml:space="preserve">.” </w:t>
      </w:r>
      <w:r w:rsidR="00D067E9">
        <w:t>With all the technological changes happening in the current world, there is a dire need for high level digital competency, numeracy and literacy. These three elements are very prominent in todays schools due to the high value we place upon them.</w:t>
      </w:r>
      <w:r w:rsidR="00F75FE5">
        <w:t xml:space="preserve"> </w:t>
      </w:r>
    </w:p>
    <w:p w14:paraId="22FBC483" w14:textId="2FAE91D5" w:rsidR="00F75FE5" w:rsidRDefault="00F75FE5" w:rsidP="00D067E9"/>
    <w:p w14:paraId="571D73B7" w14:textId="38F6B29D" w:rsidR="00F75FE5" w:rsidRDefault="00F75FE5" w:rsidP="00D067E9">
      <w:r>
        <w:t xml:space="preserve">Within this essay, I will explore the many benefits that occur from cross-curricular </w:t>
      </w:r>
      <w:r w:rsidR="000B15EC">
        <w:t>learning</w:t>
      </w:r>
      <w:r>
        <w:t xml:space="preserve">, </w:t>
      </w:r>
      <w:r w:rsidR="000B15EC">
        <w:t>there will also be a focus on the limitations and hindrances that may be seen in this style of teaching.</w:t>
      </w:r>
      <w:r w:rsidR="00CA571A">
        <w:t xml:space="preserve"> The different methods of cross-curricular learning will also be discussed.</w:t>
      </w:r>
      <w:r w:rsidR="00913313">
        <w:t xml:space="preserve"> I will reflect on my research of the topic, while also discussing my own personal experiences.</w:t>
      </w:r>
    </w:p>
    <w:p w14:paraId="40EE2F11" w14:textId="7D7EB9B8" w:rsidR="00D31A02" w:rsidRDefault="00D31A02" w:rsidP="00D067E9"/>
    <w:p w14:paraId="01A7B997" w14:textId="602FE0AC" w:rsidR="00576956" w:rsidRPr="00576956" w:rsidRDefault="00576956" w:rsidP="00D067E9">
      <w:pPr>
        <w:rPr>
          <w:b/>
          <w:u w:val="single"/>
        </w:rPr>
      </w:pPr>
      <w:r>
        <w:rPr>
          <w:b/>
          <w:u w:val="single"/>
        </w:rPr>
        <w:t>Cross-curricular models</w:t>
      </w:r>
    </w:p>
    <w:p w14:paraId="4FC1EEEC" w14:textId="2ADA1500" w:rsidR="00D31A02" w:rsidRDefault="00EF5514" w:rsidP="00D067E9">
      <w:r>
        <w:t>“Cross-curricular learning occurs when the skills, knowledge</w:t>
      </w:r>
      <w:r w:rsidR="00576956">
        <w:t xml:space="preserve"> and attitudes of a number of different disciplines are applied to a single theme, problem, idea or experience” (Barnes, 2015: 62). A benefit of this approach to teaching is its flexibility, there are a range of different approaches that can be used to get the best out of the lesson idea. Barnes (2015) speaks in detail on each of these cross-curricular models. Firstly, there is the tokenistic approach where a link between subjects has been made, but the learner does not benefit because the link does not enhance the lesson in any way.</w:t>
      </w:r>
      <w:r w:rsidR="00BA50E5">
        <w:t xml:space="preserve"> I have seen this style of teaching </w:t>
      </w:r>
      <w:r w:rsidR="00AF7753">
        <w:t>used and</w:t>
      </w:r>
      <w:r w:rsidR="00BA50E5">
        <w:t xml:space="preserve"> see it as merely a way to tick a box, not necessarily in place for any reason other than for the teacher to say they have incorporated core elements into their lesson. This problem can be fixed by giving teachers extra training on cross-curricular learning</w:t>
      </w:r>
      <w:r w:rsidR="00AF7753">
        <w:t>, making them more knowledgeable on how much more they can benefit their children through other models.</w:t>
      </w:r>
      <w:r w:rsidR="009670DC">
        <w:t xml:space="preserve"> For example, a model that I have seen to work is the </w:t>
      </w:r>
      <w:r w:rsidR="00A55315">
        <w:t>theme-based</w:t>
      </w:r>
      <w:r w:rsidR="009670DC">
        <w:t xml:space="preserve"> approach</w:t>
      </w:r>
      <w:r w:rsidR="00A55315">
        <w:t>. Barnes (2015: 69) says the thematic approach can be very effective</w:t>
      </w:r>
      <w:r w:rsidR="00753858">
        <w:t xml:space="preserve">, but for this to happen themes should be </w:t>
      </w:r>
      <w:r w:rsidR="00753858">
        <w:lastRenderedPageBreak/>
        <w:t>chosen that are authentic, make good use of the resources in the wider community, well planned, well assessed, and only links in subjects that add to understanding.</w:t>
      </w:r>
      <w:r w:rsidR="008D4E8E">
        <w:t xml:space="preserve"> Single transferrable subject learning across the curriculum aims to improve learning in core subjects of maths and English, by deliberately applying its perspective to different areas of the curriculum.</w:t>
      </w:r>
      <w:r w:rsidR="00011694">
        <w:t xml:space="preserve"> “This approach to cross-curricular learning may provoke particularly original insights and new perspectives because of the unexpected juxtaposition of subjects.” (Barnes, 2015: 69).</w:t>
      </w:r>
      <w:r w:rsidR="008D4E8E">
        <w:t xml:space="preserve"> I believe that this approach works well integrated into the thematic approach, by having a topic followed throughout the curriculum, and then developing single transferrable skills within that topic.</w:t>
      </w:r>
      <w:r w:rsidR="00E8119E">
        <w:t xml:space="preserve"> The most common way cross-curricular learning takes place is through the hierarchical model, where progress is achieved in one discipline by also teaching aspects of another one.</w:t>
      </w:r>
      <w:r w:rsidR="00EE4DBF">
        <w:t xml:space="preserve"> It could be argued that </w:t>
      </w:r>
      <w:r w:rsidR="004856B0">
        <w:t>using a subject as an inferior partner in a learning hierarchy is the easiest way to make sure it is still taught in a curriculum where so much work needs to be confined into little time, but it is a valuable resource to use as teaching in this style can motivate learners and extend their learning further.</w:t>
      </w:r>
      <w:r w:rsidR="000A479C">
        <w:t xml:space="preserve"> Other models of teaching that are used are multi-disciplinary, inter-disciplinary, opportunistic, and the double focus (Barnes, 2015: 66).</w:t>
      </w:r>
    </w:p>
    <w:p w14:paraId="0B646A35" w14:textId="264B387D" w:rsidR="004C1001" w:rsidRDefault="004C1001" w:rsidP="00D067E9"/>
    <w:p w14:paraId="2EC2E6F5" w14:textId="3611D9A3" w:rsidR="004C1001" w:rsidRPr="001A66B3" w:rsidRDefault="004C1001" w:rsidP="00D067E9">
      <w:pPr>
        <w:rPr>
          <w:b/>
          <w:u w:val="single"/>
        </w:rPr>
      </w:pPr>
      <w:r w:rsidRPr="001A66B3">
        <w:rPr>
          <w:b/>
          <w:u w:val="single"/>
        </w:rPr>
        <w:t>Benefits</w:t>
      </w:r>
    </w:p>
    <w:p w14:paraId="054F7797" w14:textId="0E7C53FF" w:rsidR="00F87B4F" w:rsidRDefault="005E4CBE" w:rsidP="00F87B4F">
      <w:r>
        <w:t>There are many benefits to teaching in this fashion.</w:t>
      </w:r>
      <w:r w:rsidR="00D834F4">
        <w:t xml:space="preserve"> Hansen and Vaukin (2012) believe that children do not learn in compartments created by subject boundaries, and that teachers are the ones creating unnecessary barriers. In a sense what they are saying is children’s ability to learn is boundless, we do not need to keep such a rigid structure in place when they could get so much more out of learning if the teacher taught in a cross-curricular manner. </w:t>
      </w:r>
      <w:r>
        <w:t>By teaching numeracy, literacy and digital competency skills throughout other topics places a greater emphasis on these skills, children will see this emphasis and realise these skills are important, because they see the effort that the teacher puts forward in trying to develop high levels of maths and literacy. In the modern world, most children are already fascinated with technology due to how the world has rapidly progressed recently in this area.</w:t>
      </w:r>
      <w:r w:rsidR="001F1DA0">
        <w:t xml:space="preserve"> Due to this, children are becoming competent digitally quicker than ever. With the pace of this progression, it is important to develop learners for the future where they will be working. “</w:t>
      </w:r>
      <w:r w:rsidR="001F1DA0">
        <w:t>As</w:t>
      </w:r>
      <w:r w:rsidR="001F1DA0">
        <w:t xml:space="preserve"> </w:t>
      </w:r>
      <w:r w:rsidR="001F1DA0">
        <w:t>the</w:t>
      </w:r>
      <w:r w:rsidR="001F1DA0">
        <w:t xml:space="preserve"> </w:t>
      </w:r>
      <w:r w:rsidR="001F1DA0">
        <w:t>ICT</w:t>
      </w:r>
      <w:r w:rsidR="001F1DA0">
        <w:t xml:space="preserve"> </w:t>
      </w:r>
      <w:r w:rsidR="001F1DA0">
        <w:t>steering</w:t>
      </w:r>
      <w:r w:rsidR="001F1DA0">
        <w:t xml:space="preserve"> </w:t>
      </w:r>
      <w:r w:rsidR="001F1DA0">
        <w:t>group</w:t>
      </w:r>
      <w:r w:rsidR="001F1DA0">
        <w:t xml:space="preserve"> </w:t>
      </w:r>
      <w:r w:rsidR="001F1DA0">
        <w:t>identified</w:t>
      </w:r>
      <w:r w:rsidR="001F1DA0">
        <w:t xml:space="preserve"> </w:t>
      </w:r>
      <w:r w:rsidR="001F1DA0">
        <w:t>for</w:t>
      </w:r>
      <w:r w:rsidR="001F1DA0">
        <w:t xml:space="preserve"> </w:t>
      </w:r>
      <w:r w:rsidR="001F1DA0">
        <w:t>the</w:t>
      </w:r>
      <w:r w:rsidR="001F1DA0">
        <w:t xml:space="preserve"> </w:t>
      </w:r>
      <w:r w:rsidR="001F1DA0">
        <w:t>report</w:t>
      </w:r>
      <w:r w:rsidR="00867114">
        <w:t>,</w:t>
      </w:r>
      <w:r w:rsidR="001F1DA0">
        <w:t xml:space="preserve"> </w:t>
      </w:r>
      <w:r w:rsidR="001F1DA0">
        <w:t>competences</w:t>
      </w:r>
      <w:r w:rsidR="001F1DA0">
        <w:t xml:space="preserve"> </w:t>
      </w:r>
      <w:r w:rsidR="001F1DA0">
        <w:t>‘should</w:t>
      </w:r>
      <w:r w:rsidR="001F1DA0">
        <w:t xml:space="preserve"> </w:t>
      </w:r>
      <w:r w:rsidR="001F1DA0">
        <w:t>not</w:t>
      </w:r>
      <w:r w:rsidR="001F1DA0">
        <w:t xml:space="preserve"> </w:t>
      </w:r>
      <w:r w:rsidR="001F1DA0">
        <w:t>primarily</w:t>
      </w:r>
      <w:r w:rsidR="001F1DA0">
        <w:t xml:space="preserve"> </w:t>
      </w:r>
      <w:r w:rsidR="001F1DA0">
        <w:t>be</w:t>
      </w:r>
      <w:r w:rsidR="001F1DA0">
        <w:t xml:space="preserve"> </w:t>
      </w:r>
      <w:r w:rsidR="001F1DA0">
        <w:t>predicated</w:t>
      </w:r>
      <w:r w:rsidR="001F1DA0">
        <w:t xml:space="preserve"> </w:t>
      </w:r>
      <w:r w:rsidR="001F1DA0">
        <w:t>on</w:t>
      </w:r>
      <w:r w:rsidR="001F1DA0">
        <w:t xml:space="preserve"> </w:t>
      </w:r>
      <w:r w:rsidR="001F1DA0">
        <w:t>rapidly</w:t>
      </w:r>
      <w:r w:rsidR="0081799F">
        <w:t xml:space="preserve"> </w:t>
      </w:r>
      <w:r w:rsidR="001F1DA0">
        <w:t>changing</w:t>
      </w:r>
      <w:r w:rsidR="0081799F">
        <w:t xml:space="preserve"> </w:t>
      </w:r>
      <w:r w:rsidR="001F1DA0">
        <w:t>technologies,</w:t>
      </w:r>
      <w:r w:rsidR="0081799F">
        <w:t xml:space="preserve"> </w:t>
      </w:r>
      <w:r w:rsidR="001F1DA0">
        <w:t>but</w:t>
      </w:r>
      <w:r w:rsidR="0081799F">
        <w:t xml:space="preserve"> </w:t>
      </w:r>
      <w:r w:rsidR="001F1DA0">
        <w:t>shoul</w:t>
      </w:r>
      <w:r w:rsidR="0081799F">
        <w:t xml:space="preserve">d </w:t>
      </w:r>
      <w:r w:rsidR="001F1DA0">
        <w:t>focus</w:t>
      </w:r>
      <w:r w:rsidR="0081799F">
        <w:t xml:space="preserve"> </w:t>
      </w:r>
      <w:r w:rsidR="001F1DA0">
        <w:t>on</w:t>
      </w:r>
      <w:r w:rsidR="0081799F">
        <w:t xml:space="preserve"> </w:t>
      </w:r>
      <w:r w:rsidR="001F1DA0">
        <w:t>pedagogy,</w:t>
      </w:r>
      <w:r w:rsidR="0081799F">
        <w:t xml:space="preserve"> </w:t>
      </w:r>
      <w:r w:rsidR="001F1DA0">
        <w:t>deeper</w:t>
      </w:r>
      <w:r w:rsidR="0081799F">
        <w:t xml:space="preserve"> </w:t>
      </w:r>
      <w:r w:rsidR="001F1DA0">
        <w:t>skill</w:t>
      </w:r>
      <w:r w:rsidR="0081799F">
        <w:t xml:space="preserve"> </w:t>
      </w:r>
      <w:r w:rsidR="001F1DA0">
        <w:t>development,</w:t>
      </w:r>
      <w:r w:rsidR="0081799F">
        <w:t xml:space="preserve"> </w:t>
      </w:r>
      <w:r w:rsidR="001F1DA0">
        <w:t>transferability,</w:t>
      </w:r>
      <w:r w:rsidR="0081799F">
        <w:t xml:space="preserve"> </w:t>
      </w:r>
      <w:r w:rsidR="001F1DA0">
        <w:t>and</w:t>
      </w:r>
      <w:r w:rsidR="0081799F">
        <w:t xml:space="preserve"> </w:t>
      </w:r>
      <w:r w:rsidR="001F1DA0">
        <w:t>understanding,</w:t>
      </w:r>
      <w:r w:rsidR="0081799F">
        <w:t xml:space="preserve"> </w:t>
      </w:r>
      <w:r w:rsidR="001F1DA0">
        <w:t>as</w:t>
      </w:r>
      <w:r w:rsidR="0081799F">
        <w:t xml:space="preserve"> </w:t>
      </w:r>
      <w:r w:rsidR="001F1DA0">
        <w:t>well</w:t>
      </w:r>
      <w:r w:rsidR="0081799F">
        <w:t xml:space="preserve"> </w:t>
      </w:r>
      <w:r w:rsidR="001F1DA0">
        <w:t>as</w:t>
      </w:r>
      <w:r w:rsidR="0081799F">
        <w:t xml:space="preserve"> </w:t>
      </w:r>
      <w:r w:rsidR="001F1DA0">
        <w:t>potential</w:t>
      </w:r>
      <w:r w:rsidR="0081799F">
        <w:t xml:space="preserve"> </w:t>
      </w:r>
      <w:r w:rsidR="001F1DA0">
        <w:t>application</w:t>
      </w:r>
      <w:r w:rsidR="0081799F">
        <w:t xml:space="preserve"> </w:t>
      </w:r>
      <w:r w:rsidR="001F1DA0">
        <w:t>of</w:t>
      </w:r>
      <w:r w:rsidR="0081799F">
        <w:t xml:space="preserve"> </w:t>
      </w:r>
      <w:r w:rsidR="001F1DA0">
        <w:t>these</w:t>
      </w:r>
      <w:r w:rsidR="0081799F">
        <w:t xml:space="preserve"> </w:t>
      </w:r>
      <w:r w:rsidR="001F1DA0">
        <w:t>competencies</w:t>
      </w:r>
      <w:r w:rsidR="0081799F">
        <w:t>.” (Arthur, et al. 2013)</w:t>
      </w:r>
      <w:r w:rsidR="00867114">
        <w:t xml:space="preserve"> Using digital competency elements in all lessons can get children used to adjustments, applying different skills to different situations</w:t>
      </w:r>
      <w:r w:rsidR="00203C02">
        <w:t xml:space="preserve"> and preparing them for a future where technology will be at the core, alongside numeracy and literacy.</w:t>
      </w:r>
      <w:r w:rsidR="00C14537">
        <w:t xml:space="preserve"> </w:t>
      </w:r>
      <w:r w:rsidR="00427B0B">
        <w:t xml:space="preserve">Cross-curricular teaching encourages group solutions, collaborative learning, creative combinations and the development of independent learners (Barnes, 2015: </w:t>
      </w:r>
      <w:r w:rsidR="007166AD">
        <w:t>81-82). The future will need a happy population and a flexible workforce, developing imaginative and adaptable children is the best route to go towards this.</w:t>
      </w:r>
      <w:r w:rsidR="000C7C1B">
        <w:t xml:space="preserve"> Robinson and Aronica (2010) make the point for cross-curricular learning by saying a double-focus approach can give better results in the core subjects if the child feels a sense of achievement and progress in any subject, resulting in personal strength and passion in the child needed for the future.</w:t>
      </w:r>
      <w:r w:rsidR="00A12275">
        <w:t xml:space="preserve"> It is set out in Successful Futures that language, numeracy and digital competency are essential to be able to participate successfully and confidently in the modern world, they now lay in the hands of all teachers across the country as cross-curricular responsibilities (Welsh Assembly Government, 2015: 11).</w:t>
      </w:r>
      <w:r w:rsidR="00C14537">
        <w:t xml:space="preserve"> It is very useful to incorporate mathematics across the curriculum, </w:t>
      </w:r>
      <w:r w:rsidR="00DC1B01">
        <w:t xml:space="preserve">Haylock and Thangta (2007: 49) says “Mathematics contributes to many subjects of the primary curriculum, often in practical ways.” This statement is true, whether it be through the means of “recording the growth of a plant, measuring temperature and rainfall, or investigating the </w:t>
      </w:r>
      <w:r w:rsidR="00DC1B01">
        <w:lastRenderedPageBreak/>
        <w:t>cogwheels in a bicycle” can provide data or starting points for discussion in mathematics lessons, and also giving an opportunity to apply numeracy skills to real life contexts. It is important to use real life analogies within mathematics lessons because it gives the numbers meaning to the child. Showing the importance of mathematics to children through useful ways that they can envision themselves using outside of the school context will have learners’ engagement rising.</w:t>
      </w:r>
      <w:r w:rsidR="00706EEC">
        <w:t xml:space="preserve"> Pound and Lee (</w:t>
      </w:r>
      <w:r w:rsidR="00F87B4F">
        <w:t>2010: 112) research shows that integrated studies have helped understanding and challenge thinking by providing a context for mathematical development. The entire curriculum is connected to mathematics because this is one of the ways we make sense of the world.</w:t>
      </w:r>
      <w:r w:rsidR="001E550C">
        <w:t xml:space="preserve"> It makes sense that we should teach skills in a setting that applies to what we are trying to set the learners up to be successful in, the modern world.</w:t>
      </w:r>
      <w:r w:rsidR="00572BC9">
        <w:t xml:space="preserve"> </w:t>
      </w:r>
      <w:r w:rsidR="00420A65">
        <w:t xml:space="preserve"> Rose (2009: 25) suggests that “</w:t>
      </w:r>
      <w:r w:rsidR="00420A65">
        <w:t xml:space="preserve">There are times when it is right to marshal content from different subjects into well-planned, cross-curricular studies. This is not only because it helps children to better understand ideas about such important matters as </w:t>
      </w:r>
      <w:r w:rsidR="00420A65">
        <w:t>citizenship, sustainable</w:t>
      </w:r>
      <w:r w:rsidR="00420A65">
        <w:t xml:space="preserve"> development, financial capability and health and wellbeing, but also because it provides opportunities across the curriculum for them to use and apply what they have learned from the</w:t>
      </w:r>
      <w:r w:rsidR="00420A65">
        <w:t xml:space="preserve"> </w:t>
      </w:r>
      <w:r w:rsidR="00420A65">
        <w:t>discrete teaching of subjects.</w:t>
      </w:r>
      <w:r w:rsidR="00420A65">
        <w:t xml:space="preserve">” </w:t>
      </w:r>
      <w:r w:rsidR="00572BC9">
        <w:t xml:space="preserve">The cross-curricular approach puts mathematics into a setting where its usually being applied to </w:t>
      </w:r>
      <w:r w:rsidR="00054127">
        <w:t xml:space="preserve">a problem or real-life situation, helping children to develop their </w:t>
      </w:r>
      <w:r w:rsidR="00FE5A5A">
        <w:t>problem-solving</w:t>
      </w:r>
      <w:r w:rsidR="00054127">
        <w:t xml:space="preserve"> skills. This will put into practice the outcomes that Donaldson (2015: 106) envisions for our learners, for them to become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w:t>
      </w:r>
      <w:r w:rsidR="002919C3">
        <w:t xml:space="preserve"> When it comes to oracy, its use is unavoidable in the modern world, </w:t>
      </w:r>
      <w:r w:rsidR="00CF6A2A">
        <w:t>where ever we go, we are communicating with others, so it is important that just like in the real world it is continuously used, we mirror that in the education system to prepare our learners. The Rose review (2006) says oracy should play a central role in teaching. Estyn (2008) backed this up, saying oracy is a key part of the development of speaking and listening. As this is such a highly valued skill, it is very beneficial for it to be integrated into all teaching in schools across Wales.</w:t>
      </w:r>
      <w:r w:rsidR="00030BE1">
        <w:t xml:space="preserve"> For </w:t>
      </w:r>
      <w:r w:rsidR="00AA6F26">
        <w:t>children to develop good oracy skills, the teachers must first display that on themselves. Alexander (2012) says “</w:t>
      </w:r>
      <w:r w:rsidR="00AA6F26" w:rsidRPr="00AA6F26">
        <w:t>It’s</w:t>
      </w:r>
      <w:r w:rsidR="00AA6F26" w:rsidRPr="00AA6F26">
        <w:t xml:space="preserve"> essentially interactive nature means that the teacher’s own competence as a speaker and listener contributes significantly to the developing oral competence of the student.</w:t>
      </w:r>
      <w:r w:rsidR="00AA6F26">
        <w:t>”</w:t>
      </w:r>
      <w:r w:rsidR="00086243">
        <w:t xml:space="preserve"> This suggests that its highly beneficial for the teacher to communicate well to its students, speaking clearly and precise, hoping that this rubs off onto the students. </w:t>
      </w:r>
      <w:r w:rsidR="009071FD">
        <w:t xml:space="preserve">By teaching literacy through the means of other subjects, we do more than just developing the </w:t>
      </w:r>
      <w:r w:rsidR="0041199A">
        <w:t>learner’s</w:t>
      </w:r>
      <w:r w:rsidR="009071FD">
        <w:t xml:space="preserve"> literacy skills, we also develop their understanding of those subjects. Wray (2006: 7) says that this is a win-win situation, where teachers must take advantage of the possibilities that are at hand</w:t>
      </w:r>
      <w:r w:rsidR="0041199A">
        <w:t xml:space="preserve"> because it is unusual for opportunities like this to occur in education, hence why we must make the most of it.</w:t>
      </w:r>
    </w:p>
    <w:p w14:paraId="3BBD1B14" w14:textId="60C493B9" w:rsidR="00C562D7" w:rsidRDefault="00C562D7" w:rsidP="00F87B4F"/>
    <w:p w14:paraId="706408A8" w14:textId="51D53E82" w:rsidR="00C562D7" w:rsidRPr="00C562D7" w:rsidRDefault="00C562D7" w:rsidP="00F87B4F">
      <w:pPr>
        <w:rPr>
          <w:b/>
          <w:u w:val="single"/>
        </w:rPr>
      </w:pPr>
      <w:r w:rsidRPr="00C562D7">
        <w:rPr>
          <w:b/>
          <w:u w:val="single"/>
        </w:rPr>
        <w:t>Limitations</w:t>
      </w:r>
    </w:p>
    <w:p w14:paraId="2548BF7B" w14:textId="686FB6AF" w:rsidR="005F77CC" w:rsidRDefault="00C562D7" w:rsidP="005F77CC">
      <w:r>
        <w:t>Although cross-curricular teaching has many benefits, it is not hard to see that there may be some situations where it is possible that it is not the best approach to take. Fox and Surtees (2010) say that sound understanding of subject knowledge is ne</w:t>
      </w:r>
      <w:bookmarkStart w:id="0" w:name="_GoBack"/>
      <w:bookmarkEnd w:id="0"/>
      <w:r>
        <w:t>eded so that processes are fully understood. What is meant by this is that sometimes a teacher will need to focus solely on one specific skill for the learners to grasp</w:t>
      </w:r>
      <w:r w:rsidR="00420A65">
        <w:t xml:space="preserve">. For example, to fully maximise a </w:t>
      </w:r>
      <w:r w:rsidR="00400E7C">
        <w:t>student’s</w:t>
      </w:r>
      <w:r w:rsidR="00420A65">
        <w:t xml:space="preserve"> mathematical potential, the lesson should have all attention towards numeracy.</w:t>
      </w:r>
      <w:r w:rsidR="009716C2">
        <w:t xml:space="preserve"> There are some criticisms of the way teachers lazily integrate a cross-curricular approach, for example </w:t>
      </w:r>
      <w:r w:rsidR="002D559A">
        <w:t>Pound and Lee (2010: 112) say “</w:t>
      </w:r>
      <w:r w:rsidR="002D559A">
        <w:t xml:space="preserve">it involves much more than doing sums on pumpkin-shaped paper because it's Halloween. Such an approach adds nothing, only detracts from mathematics, art and cultural understanding. </w:t>
      </w:r>
      <w:r w:rsidR="002D559A">
        <w:t>A</w:t>
      </w:r>
      <w:r w:rsidR="002D559A">
        <w:t xml:space="preserve"> truly integrated </w:t>
      </w:r>
      <w:r w:rsidR="002D559A">
        <w:lastRenderedPageBreak/>
        <w:t>curriculum involves fluid movement from one area to another</w:t>
      </w:r>
      <w:r w:rsidR="002D559A">
        <w:t>.” This shows that for a cross-curricular approach to be effective, the teacher must make the lesson effective from the planning, cross-curricular responsibilities should only be added if it enhances the lesson, otherwise it will have a negative effect on the learner</w:t>
      </w:r>
      <w:r w:rsidR="00650634">
        <w:t>. Due to this poor use, cross-curricular teaching is commonly thought of as being less challenging to the learner, placing a weaker meaning than a lesson where the core subject is the main focus</w:t>
      </w:r>
      <w:r w:rsidR="00D1501F">
        <w:t>. Although this is common in poor teaching practice, if used correctly cross-curricular teaching can be effective as mathematics is connected to all areas of the curriculum, as its one of the ways we make sense of the world (Pound and Lee, 2010: 112).</w:t>
      </w:r>
      <w:r w:rsidR="00523ED0">
        <w:t xml:space="preserve"> Every teacher will become enthusiastic when finding ways to make their teaching more effective and fun for the learners, but Hayes (2010: 384) says “</w:t>
      </w:r>
      <w:r w:rsidR="00523ED0">
        <w:t>enthusiasm might diminish somewhat</w:t>
      </w:r>
      <w:r w:rsidR="0021513E">
        <w:t xml:space="preserve"> </w:t>
      </w:r>
      <w:r w:rsidR="00523ED0">
        <w:t>when the practicalities of planning and implementation have to be addressed.</w:t>
      </w:r>
      <w:r w:rsidR="00523ED0">
        <w:t>”</w:t>
      </w:r>
      <w:r w:rsidR="0021513E">
        <w:t xml:space="preserve"> Without the </w:t>
      </w:r>
      <w:r w:rsidR="00284500">
        <w:t>teacher’s</w:t>
      </w:r>
      <w:r w:rsidR="0021513E">
        <w:t xml:space="preserve"> enthusiasm and commitment towards making an effective lesson, cross-curricular teaching can not reach its full potential.</w:t>
      </w:r>
      <w:r w:rsidR="00284500">
        <w:t xml:space="preserve"> Hayes (2010) also spoke on how an integrated approach to teaching can be rigorous for the teacher, especially when it comes to giving children regular opportunities to gain fundamental skills in key subjects. The amount of choice of learning children are given in this approach gives them the chance to avoid areas of learning they may find strenuous, rooting them with poor work habits and attitudes.</w:t>
      </w:r>
      <w:r w:rsidR="005F77CC">
        <w:t xml:space="preserve"> Grenfell (2002)</w:t>
      </w:r>
      <w:r w:rsidR="004748A0">
        <w:t xml:space="preserve"> states that cross-curricular teaching places demands upon the teacher that could be deemed unfair, for example it pushes their limits on knowledge and understanding of the world.</w:t>
      </w:r>
    </w:p>
    <w:p w14:paraId="20C04858" w14:textId="0BA4199C" w:rsidR="0050692C" w:rsidRDefault="0050692C" w:rsidP="005F77CC"/>
    <w:p w14:paraId="31772DA5" w14:textId="7DCFB0C4" w:rsidR="0050692C" w:rsidRPr="0050692C" w:rsidRDefault="0050692C" w:rsidP="005F77CC">
      <w:pPr>
        <w:rPr>
          <w:b/>
          <w:u w:val="single"/>
        </w:rPr>
      </w:pPr>
      <w:r w:rsidRPr="0050692C">
        <w:rPr>
          <w:b/>
          <w:u w:val="single"/>
        </w:rPr>
        <w:t>Conclusion</w:t>
      </w:r>
    </w:p>
    <w:p w14:paraId="23BD5062" w14:textId="52F89C15" w:rsidR="0050692C" w:rsidRDefault="0050692C" w:rsidP="005F77CC">
      <w:r>
        <w:t>To summarise, cross-curricular teaching can be a very valuable asset to have as a teacher, as long as it is implemented correctly.</w:t>
      </w:r>
      <w:r w:rsidR="00AA7E14">
        <w:t xml:space="preserve"> In an essence, you get what you give, if teachers give a lot of effort and enhance their teaching as much as possible, then the learners will get the most out of it.</w:t>
      </w:r>
      <w:r w:rsidR="004D6F99">
        <w:t xml:space="preserve"> Moving forward cross-curricular teaching will seemingly be at the heart of the new curriculum (Donaldson, 2015) so teachers now need to prepare themselves for the future, where they will have to develop successful futures for </w:t>
      </w:r>
      <w:proofErr w:type="gramStart"/>
      <w:r w:rsidR="004D6F99">
        <w:t>all of</w:t>
      </w:r>
      <w:proofErr w:type="gramEnd"/>
      <w:r w:rsidR="004D6F99">
        <w:t xml:space="preserve"> their learners.</w:t>
      </w:r>
    </w:p>
    <w:p w14:paraId="2688B416" w14:textId="65717D64" w:rsidR="00702280" w:rsidRDefault="00702280" w:rsidP="005F77CC"/>
    <w:p w14:paraId="4DE45785" w14:textId="4BFE5C43" w:rsidR="00702280" w:rsidRDefault="00702280" w:rsidP="005F77CC"/>
    <w:p w14:paraId="78265319" w14:textId="714EE156" w:rsidR="00702280" w:rsidRDefault="00702280" w:rsidP="005F77CC"/>
    <w:p w14:paraId="7A2798CC" w14:textId="5C1DD45A" w:rsidR="00702280" w:rsidRDefault="00702280" w:rsidP="005F77CC"/>
    <w:p w14:paraId="7F685F7A" w14:textId="6223C2E7" w:rsidR="00702280" w:rsidRDefault="00702280" w:rsidP="005F77CC"/>
    <w:p w14:paraId="10F9143A" w14:textId="3E89B5A9" w:rsidR="00702280" w:rsidRDefault="00702280" w:rsidP="005F77CC"/>
    <w:p w14:paraId="440ADDE6" w14:textId="6FEFA1A9" w:rsidR="00702280" w:rsidRDefault="00702280" w:rsidP="005F77CC"/>
    <w:p w14:paraId="5719B9D1" w14:textId="10FA76A6" w:rsidR="00702280" w:rsidRDefault="00702280" w:rsidP="005F77CC"/>
    <w:p w14:paraId="73A66B1C" w14:textId="526802D6" w:rsidR="00702280" w:rsidRDefault="00702280" w:rsidP="005F77CC"/>
    <w:p w14:paraId="7B41BAB5" w14:textId="23A4B255" w:rsidR="00702280" w:rsidRDefault="00702280" w:rsidP="005F77CC"/>
    <w:p w14:paraId="005A3509" w14:textId="1FB138B1" w:rsidR="00702280" w:rsidRDefault="00702280" w:rsidP="005F77CC"/>
    <w:p w14:paraId="6CD8AE66" w14:textId="4FA76DF3" w:rsidR="00702280" w:rsidRDefault="00702280" w:rsidP="005F77CC"/>
    <w:p w14:paraId="6531D685" w14:textId="43FFA4F3" w:rsidR="00702280" w:rsidRDefault="00702280" w:rsidP="005F77CC"/>
    <w:p w14:paraId="2C7EDF8B" w14:textId="77777777" w:rsidR="00A15B20" w:rsidRPr="00B70439" w:rsidRDefault="00A15B20" w:rsidP="00A15B20">
      <w:pPr>
        <w:rPr>
          <w:b/>
          <w:u w:val="single"/>
        </w:rPr>
      </w:pPr>
      <w:r>
        <w:rPr>
          <w:b/>
          <w:u w:val="single"/>
        </w:rPr>
        <w:t>R</w:t>
      </w:r>
      <w:r w:rsidRPr="00B70439">
        <w:rPr>
          <w:b/>
          <w:u w:val="single"/>
        </w:rPr>
        <w:t>eference list</w:t>
      </w:r>
    </w:p>
    <w:p w14:paraId="1A52A4AD" w14:textId="77777777" w:rsidR="00A15B20" w:rsidRDefault="00A15B20" w:rsidP="00A15B20"/>
    <w:p w14:paraId="6F8437C4" w14:textId="77777777" w:rsidR="00A15B20" w:rsidRDefault="00A15B20" w:rsidP="00A15B20">
      <w:r>
        <w:t xml:space="preserve">Alexander, A. (2008) </w:t>
      </w:r>
      <w:r w:rsidRPr="005E2B59">
        <w:rPr>
          <w:i/>
        </w:rPr>
        <w:t>Towards Dialogic Teaching, Rethinking Classroom Talk</w:t>
      </w:r>
      <w:r>
        <w:t>, London: Diologos.</w:t>
      </w:r>
    </w:p>
    <w:p w14:paraId="3E5C5FE0" w14:textId="77777777" w:rsidR="00A15B20" w:rsidRDefault="00A15B20" w:rsidP="00A15B20">
      <w:r>
        <w:t xml:space="preserve">Askew, M. (2011) </w:t>
      </w:r>
      <w:r w:rsidRPr="00DB5D18">
        <w:rPr>
          <w:i/>
        </w:rPr>
        <w:t>Transforming Primary Mathematics</w:t>
      </w:r>
      <w:r>
        <w:t>, Oxon: Routledge</w:t>
      </w:r>
    </w:p>
    <w:p w14:paraId="78D6F002" w14:textId="77777777" w:rsidR="00A15B20" w:rsidRDefault="00A15B20" w:rsidP="00A15B20">
      <w:r w:rsidRPr="0032762C">
        <w:t xml:space="preserve">Barnes, J. (2015) </w:t>
      </w:r>
      <w:r w:rsidRPr="0032762C">
        <w:rPr>
          <w:i/>
        </w:rPr>
        <w:t>Cross-curricular learning 3-14</w:t>
      </w:r>
      <w:r w:rsidRPr="0032762C">
        <w:t xml:space="preserve"> (3</w:t>
      </w:r>
      <w:r w:rsidRPr="0032762C">
        <w:rPr>
          <w:vertAlign w:val="superscript"/>
        </w:rPr>
        <w:t>rd</w:t>
      </w:r>
      <w:r w:rsidRPr="0032762C">
        <w:t xml:space="preserve"> edition) London: SAGE.</w:t>
      </w:r>
    </w:p>
    <w:p w14:paraId="68C2828C" w14:textId="77777777" w:rsidR="00A15B20" w:rsidRPr="0032762C" w:rsidRDefault="00A15B20" w:rsidP="00A15B20">
      <w:r w:rsidRPr="00AA06FC">
        <w:t xml:space="preserve">Cockburn, A. (2013) </w:t>
      </w:r>
      <w:r w:rsidRPr="00AA06FC">
        <w:rPr>
          <w:i/>
        </w:rPr>
        <w:t>Understanding Mathematics for Young Children</w:t>
      </w:r>
      <w:r w:rsidRPr="00AA06FC">
        <w:t>. London: SAGE</w:t>
      </w:r>
    </w:p>
    <w:p w14:paraId="09171E96" w14:textId="77777777" w:rsidR="00A15B20" w:rsidRDefault="00A15B20" w:rsidP="00A15B20">
      <w:r w:rsidRPr="0032762C">
        <w:t>Donaldson, G. (2015</w:t>
      </w:r>
      <w:r w:rsidRPr="0032762C">
        <w:rPr>
          <w:i/>
        </w:rPr>
        <w:t>) Successful Futures: Independent Review of Curriculum and Assessment Arrangements in Wales</w:t>
      </w:r>
      <w:r w:rsidRPr="0032762C">
        <w:t>, Welsh Government February 2015</w:t>
      </w:r>
    </w:p>
    <w:p w14:paraId="56FD1F48" w14:textId="77777777" w:rsidR="00A15B20" w:rsidRPr="0032762C" w:rsidRDefault="00A15B20" w:rsidP="00A15B20">
      <w:r w:rsidRPr="002645CA">
        <w:t xml:space="preserve">Grenfell, M. </w:t>
      </w:r>
      <w:r>
        <w:t>(</w:t>
      </w:r>
      <w:r w:rsidRPr="002645CA">
        <w:t>2002</w:t>
      </w:r>
      <w:r>
        <w:t xml:space="preserve">) </w:t>
      </w:r>
      <w:r w:rsidRPr="002645CA">
        <w:rPr>
          <w:i/>
        </w:rPr>
        <w:t>Modern languages across the curriculum.</w:t>
      </w:r>
      <w:r w:rsidRPr="002645CA">
        <w:t xml:space="preserve"> London: Routledge</w:t>
      </w:r>
    </w:p>
    <w:p w14:paraId="47A5EF3D" w14:textId="77777777" w:rsidR="00A15B20" w:rsidRDefault="00A15B20" w:rsidP="00A15B20">
      <w:r w:rsidRPr="0032762C">
        <w:t xml:space="preserve">Hayes, D. (2010) </w:t>
      </w:r>
      <w:r w:rsidRPr="0032762C">
        <w:rPr>
          <w:i/>
        </w:rPr>
        <w:t>The seductive charms of a cross-curricular approach</w:t>
      </w:r>
      <w:r w:rsidRPr="0032762C">
        <w:t>, Education 3-13, 38:4, 381-387.</w:t>
      </w:r>
    </w:p>
    <w:p w14:paraId="43D7C815" w14:textId="77777777" w:rsidR="00A15B20" w:rsidRDefault="00A15B20" w:rsidP="00A15B20">
      <w:r>
        <w:t xml:space="preserve">Haylock, D. (2011) </w:t>
      </w:r>
      <w:r w:rsidRPr="00AA06FC">
        <w:rPr>
          <w:i/>
        </w:rPr>
        <w:t>Mathematics Explained for Primary Teachers 4th ed</w:t>
      </w:r>
      <w:r>
        <w:t>, London: Sage Haylock, D.</w:t>
      </w:r>
    </w:p>
    <w:p w14:paraId="4823AE10" w14:textId="77777777" w:rsidR="00A15B20" w:rsidRDefault="00A15B20" w:rsidP="00A15B20">
      <w:pPr>
        <w:rPr>
          <w:rStyle w:val="selectable"/>
          <w:rFonts w:cs="Arial"/>
          <w:color w:val="000000"/>
          <w:lang w:val="en"/>
        </w:rPr>
      </w:pPr>
      <w:r w:rsidRPr="0032762C">
        <w:rPr>
          <w:rStyle w:val="selectable"/>
          <w:rFonts w:cs="Arial"/>
          <w:color w:val="000000"/>
          <w:lang w:val="en"/>
        </w:rPr>
        <w:t xml:space="preserve">Hicks, P. (2018). </w:t>
      </w:r>
      <w:r w:rsidRPr="0032762C">
        <w:rPr>
          <w:rStyle w:val="selectable"/>
          <w:rFonts w:cs="Arial"/>
          <w:i/>
          <w:iCs/>
          <w:color w:val="000000"/>
          <w:lang w:val="en"/>
        </w:rPr>
        <w:t xml:space="preserve">The Pros and Cons of Using Virtual Reality </w:t>
      </w:r>
      <w:proofErr w:type="gramStart"/>
      <w:r w:rsidRPr="0032762C">
        <w:rPr>
          <w:rStyle w:val="selectable"/>
          <w:rFonts w:cs="Arial"/>
          <w:i/>
          <w:iCs/>
          <w:color w:val="000000"/>
          <w:lang w:val="en"/>
        </w:rPr>
        <w:t>In</w:t>
      </w:r>
      <w:proofErr w:type="gramEnd"/>
      <w:r w:rsidRPr="0032762C">
        <w:rPr>
          <w:rStyle w:val="selectable"/>
          <w:rFonts w:cs="Arial"/>
          <w:i/>
          <w:iCs/>
          <w:color w:val="000000"/>
          <w:lang w:val="en"/>
        </w:rPr>
        <w:t xml:space="preserve"> The Classroom - eLearning Industry</w:t>
      </w:r>
      <w:r w:rsidRPr="0032762C">
        <w:rPr>
          <w:rStyle w:val="selectable"/>
          <w:rFonts w:cs="Arial"/>
          <w:color w:val="000000"/>
          <w:lang w:val="en"/>
        </w:rPr>
        <w:t>. [online] eLearning Industry. Available at: https://elearningindustry.com/pros-cons-using-virtual-reality-in-the-classroom [Accessed 13 Dec. 2018].</w:t>
      </w:r>
    </w:p>
    <w:p w14:paraId="1BD96CE3" w14:textId="77777777" w:rsidR="00A15B20" w:rsidRDefault="00A15B20" w:rsidP="00A15B20">
      <w:r>
        <w:t xml:space="preserve">McAteer, M. (ed.) (2013) </w:t>
      </w:r>
      <w:r w:rsidRPr="005E2B59">
        <w:rPr>
          <w:i/>
        </w:rPr>
        <w:t>Improving Primary Mathematics Teaching and Learning,</w:t>
      </w:r>
      <w:r>
        <w:t xml:space="preserve"> Berkshire: Open University Press</w:t>
      </w:r>
    </w:p>
    <w:p w14:paraId="7F330878" w14:textId="77777777" w:rsidR="00A15B20" w:rsidRDefault="00A15B20" w:rsidP="00A15B20">
      <w:r>
        <w:t>Pound, L. and Lee, T. (</w:t>
      </w:r>
      <w:r w:rsidRPr="005E2B59">
        <w:t>2010)</w:t>
      </w:r>
      <w:r w:rsidRPr="005E2B59">
        <w:rPr>
          <w:i/>
        </w:rPr>
        <w:t xml:space="preserve"> Teaching Mathematics Creatively</w:t>
      </w:r>
      <w:r>
        <w:t>, Routledge: Oxon</w:t>
      </w:r>
    </w:p>
    <w:p w14:paraId="63D8D2C9" w14:textId="77777777" w:rsidR="00A15B20" w:rsidRDefault="00A15B20" w:rsidP="00A15B20">
      <w:r>
        <w:t xml:space="preserve">Rose, J. (2009) </w:t>
      </w:r>
      <w:r w:rsidRPr="002645CA">
        <w:rPr>
          <w:i/>
        </w:rPr>
        <w:t>Independent review of the primary curriculum: Final report</w:t>
      </w:r>
      <w:r>
        <w:t>. London: DCSF Publications.</w:t>
      </w:r>
    </w:p>
    <w:p w14:paraId="101B5824" w14:textId="77777777" w:rsidR="00A15B20" w:rsidRDefault="00A15B20" w:rsidP="00A15B20">
      <w:r>
        <w:t xml:space="preserve">Rowland, T., Turner, F., Thwaites, A. and Huckstep, P. (2009) </w:t>
      </w:r>
      <w:r w:rsidRPr="00BB199A">
        <w:rPr>
          <w:i/>
        </w:rPr>
        <w:t>Developing Primary Mathematics Teaching: Reflecting on Practice with the Knowledge Quartet,</w:t>
      </w:r>
      <w:r>
        <w:t xml:space="preserve"> London: Sage.</w:t>
      </w:r>
    </w:p>
    <w:p w14:paraId="04111EDF" w14:textId="77777777" w:rsidR="00A15B20" w:rsidRPr="0032762C" w:rsidRDefault="00A15B20" w:rsidP="00A15B20">
      <w:r>
        <w:t xml:space="preserve">Savage, M. and Barnett, A. (2015) </w:t>
      </w:r>
      <w:r w:rsidRPr="002C7E0F">
        <w:rPr>
          <w:i/>
        </w:rPr>
        <w:t>Digital literacy for primary teachers</w:t>
      </w:r>
      <w:r>
        <w:t>. United Kingdom: Critical Publishing</w:t>
      </w:r>
    </w:p>
    <w:p w14:paraId="1FD9F08F" w14:textId="77777777" w:rsidR="00A15B20" w:rsidRPr="0032762C" w:rsidRDefault="00A15B20" w:rsidP="00A15B20">
      <w:r w:rsidRPr="0032762C">
        <w:t xml:space="preserve">Welsh Assembly Government. (2014) </w:t>
      </w:r>
      <w:r w:rsidRPr="0032762C">
        <w:rPr>
          <w:i/>
        </w:rPr>
        <w:t>National Literacy and Numeracy Framework</w:t>
      </w:r>
      <w:r w:rsidRPr="0032762C">
        <w:t>.</w:t>
      </w:r>
    </w:p>
    <w:p w14:paraId="06EE637D" w14:textId="77777777" w:rsidR="00A15B20" w:rsidRPr="0032762C" w:rsidRDefault="00A15B20" w:rsidP="00A15B20">
      <w:r w:rsidRPr="0032762C">
        <w:t xml:space="preserve">Welsh Assembly Government. (2016) </w:t>
      </w:r>
      <w:r w:rsidRPr="0032762C">
        <w:rPr>
          <w:i/>
        </w:rPr>
        <w:t>Digital Competence Framework</w:t>
      </w:r>
      <w:r w:rsidRPr="0032762C">
        <w:t>.</w:t>
      </w:r>
    </w:p>
    <w:p w14:paraId="4167E90D" w14:textId="77777777" w:rsidR="00702280" w:rsidRDefault="00702280" w:rsidP="005F77CC"/>
    <w:sectPr w:rsidR="0070228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37ADA" w14:textId="77777777" w:rsidR="009541DE" w:rsidRDefault="009541DE" w:rsidP="00FE5A5A">
      <w:pPr>
        <w:spacing w:after="0" w:line="240" w:lineRule="auto"/>
      </w:pPr>
      <w:r>
        <w:separator/>
      </w:r>
    </w:p>
  </w:endnote>
  <w:endnote w:type="continuationSeparator" w:id="0">
    <w:p w14:paraId="08544804" w14:textId="77777777" w:rsidR="009541DE" w:rsidRDefault="009541DE" w:rsidP="00FE5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3283092"/>
      <w:docPartObj>
        <w:docPartGallery w:val="Page Numbers (Bottom of Page)"/>
        <w:docPartUnique/>
      </w:docPartObj>
    </w:sdtPr>
    <w:sdtEndPr>
      <w:rPr>
        <w:noProof/>
      </w:rPr>
    </w:sdtEndPr>
    <w:sdtContent>
      <w:p w14:paraId="2D4205C8" w14:textId="51E62469" w:rsidR="00FE5A5A" w:rsidRDefault="00FE5A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A0D83A" w14:textId="77777777" w:rsidR="00FE5A5A" w:rsidRDefault="00FE5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A9E11B" w14:textId="77777777" w:rsidR="009541DE" w:rsidRDefault="009541DE" w:rsidP="00FE5A5A">
      <w:pPr>
        <w:spacing w:after="0" w:line="240" w:lineRule="auto"/>
      </w:pPr>
      <w:r>
        <w:separator/>
      </w:r>
    </w:p>
  </w:footnote>
  <w:footnote w:type="continuationSeparator" w:id="0">
    <w:p w14:paraId="5EFF34E6" w14:textId="77777777" w:rsidR="009541DE" w:rsidRDefault="009541DE" w:rsidP="00FE5A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42A9C3" w14:textId="54FE6547" w:rsidR="00FE5A5A" w:rsidRDefault="00FE5A5A">
    <w:pPr>
      <w:pStyle w:val="Header"/>
    </w:pPr>
    <w:r>
      <w:t>Thomas Jack Pavett 1600468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D15"/>
    <w:rsid w:val="00011694"/>
    <w:rsid w:val="0003080D"/>
    <w:rsid w:val="00030BE1"/>
    <w:rsid w:val="00054127"/>
    <w:rsid w:val="00086243"/>
    <w:rsid w:val="000A479C"/>
    <w:rsid w:val="000B15EC"/>
    <w:rsid w:val="000C7C1B"/>
    <w:rsid w:val="000F1CC9"/>
    <w:rsid w:val="00186079"/>
    <w:rsid w:val="001A66B3"/>
    <w:rsid w:val="001E550C"/>
    <w:rsid w:val="001F1DA0"/>
    <w:rsid w:val="00203C02"/>
    <w:rsid w:val="0021513E"/>
    <w:rsid w:val="0023097F"/>
    <w:rsid w:val="00284500"/>
    <w:rsid w:val="002919C3"/>
    <w:rsid w:val="002D559A"/>
    <w:rsid w:val="002F650B"/>
    <w:rsid w:val="00344EC1"/>
    <w:rsid w:val="003852C0"/>
    <w:rsid w:val="00400E7C"/>
    <w:rsid w:val="00402358"/>
    <w:rsid w:val="0041199A"/>
    <w:rsid w:val="00420A65"/>
    <w:rsid w:val="00427B0B"/>
    <w:rsid w:val="004748A0"/>
    <w:rsid w:val="004856B0"/>
    <w:rsid w:val="004C1001"/>
    <w:rsid w:val="004D6F99"/>
    <w:rsid w:val="0050692C"/>
    <w:rsid w:val="00523ED0"/>
    <w:rsid w:val="00572BC9"/>
    <w:rsid w:val="00576956"/>
    <w:rsid w:val="005C5956"/>
    <w:rsid w:val="005E4CBE"/>
    <w:rsid w:val="005F77CC"/>
    <w:rsid w:val="00650634"/>
    <w:rsid w:val="006F7D26"/>
    <w:rsid w:val="00702280"/>
    <w:rsid w:val="00706EEC"/>
    <w:rsid w:val="007166AD"/>
    <w:rsid w:val="00753858"/>
    <w:rsid w:val="007B737E"/>
    <w:rsid w:val="007F51F9"/>
    <w:rsid w:val="0081799F"/>
    <w:rsid w:val="00865D08"/>
    <w:rsid w:val="00867114"/>
    <w:rsid w:val="008D4E8E"/>
    <w:rsid w:val="009071FD"/>
    <w:rsid w:val="00913313"/>
    <w:rsid w:val="00936A60"/>
    <w:rsid w:val="009541DE"/>
    <w:rsid w:val="009670DC"/>
    <w:rsid w:val="009716C2"/>
    <w:rsid w:val="009B03FC"/>
    <w:rsid w:val="00A12275"/>
    <w:rsid w:val="00A15B20"/>
    <w:rsid w:val="00A55315"/>
    <w:rsid w:val="00A55426"/>
    <w:rsid w:val="00AA6F26"/>
    <w:rsid w:val="00AA7E14"/>
    <w:rsid w:val="00AF7753"/>
    <w:rsid w:val="00BA50E5"/>
    <w:rsid w:val="00C14537"/>
    <w:rsid w:val="00C562D7"/>
    <w:rsid w:val="00CA571A"/>
    <w:rsid w:val="00CB2228"/>
    <w:rsid w:val="00CF6A2A"/>
    <w:rsid w:val="00D067E9"/>
    <w:rsid w:val="00D1501F"/>
    <w:rsid w:val="00D31A02"/>
    <w:rsid w:val="00D678FF"/>
    <w:rsid w:val="00D834F4"/>
    <w:rsid w:val="00DC1B01"/>
    <w:rsid w:val="00E16451"/>
    <w:rsid w:val="00E469A8"/>
    <w:rsid w:val="00E8119E"/>
    <w:rsid w:val="00E85D15"/>
    <w:rsid w:val="00EC7A10"/>
    <w:rsid w:val="00ED5F58"/>
    <w:rsid w:val="00EE4DBF"/>
    <w:rsid w:val="00EE6604"/>
    <w:rsid w:val="00EF5514"/>
    <w:rsid w:val="00F75FE5"/>
    <w:rsid w:val="00F87B4F"/>
    <w:rsid w:val="00FC2B23"/>
    <w:rsid w:val="00FC48EC"/>
    <w:rsid w:val="00FE5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5DDBF"/>
  <w15:chartTrackingRefBased/>
  <w15:docId w15:val="{38BE8D52-A1C5-48DD-BE63-BAB19F040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54127"/>
    <w:rPr>
      <w:sz w:val="16"/>
      <w:szCs w:val="16"/>
    </w:rPr>
  </w:style>
  <w:style w:type="paragraph" w:styleId="CommentText">
    <w:name w:val="annotation text"/>
    <w:basedOn w:val="Normal"/>
    <w:link w:val="CommentTextChar"/>
    <w:uiPriority w:val="99"/>
    <w:semiHidden/>
    <w:unhideWhenUsed/>
    <w:rsid w:val="00054127"/>
    <w:pPr>
      <w:spacing w:line="240" w:lineRule="auto"/>
    </w:pPr>
    <w:rPr>
      <w:sz w:val="20"/>
      <w:szCs w:val="20"/>
    </w:rPr>
  </w:style>
  <w:style w:type="character" w:customStyle="1" w:styleId="CommentTextChar">
    <w:name w:val="Comment Text Char"/>
    <w:basedOn w:val="DefaultParagraphFont"/>
    <w:link w:val="CommentText"/>
    <w:uiPriority w:val="99"/>
    <w:semiHidden/>
    <w:rsid w:val="00054127"/>
    <w:rPr>
      <w:sz w:val="20"/>
      <w:szCs w:val="20"/>
    </w:rPr>
  </w:style>
  <w:style w:type="paragraph" w:styleId="CommentSubject">
    <w:name w:val="annotation subject"/>
    <w:basedOn w:val="CommentText"/>
    <w:next w:val="CommentText"/>
    <w:link w:val="CommentSubjectChar"/>
    <w:uiPriority w:val="99"/>
    <w:semiHidden/>
    <w:unhideWhenUsed/>
    <w:rsid w:val="00054127"/>
    <w:rPr>
      <w:b/>
      <w:bCs/>
    </w:rPr>
  </w:style>
  <w:style w:type="character" w:customStyle="1" w:styleId="CommentSubjectChar">
    <w:name w:val="Comment Subject Char"/>
    <w:basedOn w:val="CommentTextChar"/>
    <w:link w:val="CommentSubject"/>
    <w:uiPriority w:val="99"/>
    <w:semiHidden/>
    <w:rsid w:val="00054127"/>
    <w:rPr>
      <w:b/>
      <w:bCs/>
      <w:sz w:val="20"/>
      <w:szCs w:val="20"/>
    </w:rPr>
  </w:style>
  <w:style w:type="paragraph" w:styleId="BalloonText">
    <w:name w:val="Balloon Text"/>
    <w:basedOn w:val="Normal"/>
    <w:link w:val="BalloonTextChar"/>
    <w:uiPriority w:val="99"/>
    <w:semiHidden/>
    <w:unhideWhenUsed/>
    <w:rsid w:val="000541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4127"/>
    <w:rPr>
      <w:rFonts w:ascii="Segoe UI" w:hAnsi="Segoe UI" w:cs="Segoe UI"/>
      <w:sz w:val="18"/>
      <w:szCs w:val="18"/>
    </w:rPr>
  </w:style>
  <w:style w:type="paragraph" w:styleId="Header">
    <w:name w:val="header"/>
    <w:basedOn w:val="Normal"/>
    <w:link w:val="HeaderChar"/>
    <w:uiPriority w:val="99"/>
    <w:unhideWhenUsed/>
    <w:rsid w:val="00FE5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A5A"/>
  </w:style>
  <w:style w:type="paragraph" w:styleId="Footer">
    <w:name w:val="footer"/>
    <w:basedOn w:val="Normal"/>
    <w:link w:val="FooterChar"/>
    <w:uiPriority w:val="99"/>
    <w:unhideWhenUsed/>
    <w:rsid w:val="00FE5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A5A"/>
  </w:style>
  <w:style w:type="character" w:customStyle="1" w:styleId="selectable">
    <w:name w:val="selectable"/>
    <w:basedOn w:val="DefaultParagraphFont"/>
    <w:rsid w:val="00A15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1334</TotalTime>
  <Pages>5</Pages>
  <Words>2395</Words>
  <Characters>13656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Pavett</dc:creator>
  <cp:keywords/>
  <dc:description/>
  <cp:lastModifiedBy>Christopher Pavett</cp:lastModifiedBy>
  <cp:revision>62</cp:revision>
  <dcterms:created xsi:type="dcterms:W3CDTF">2018-12-13T23:42:00Z</dcterms:created>
  <dcterms:modified xsi:type="dcterms:W3CDTF">2018-12-14T22:13:00Z</dcterms:modified>
</cp:coreProperties>
</file>