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D6114" w14:textId="56E066E3" w:rsidR="00530E16" w:rsidRDefault="004468F8" w:rsidP="62D2B2B3">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047C814" wp14:editId="3A8CA1D8">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B44FA4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B5D1F2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047C81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B44FA44"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B5D1F28"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1F31EDF2" w14:textId="79D7F91D" w:rsidR="00530E16" w:rsidRDefault="0023549D">
      <w:pPr>
        <w:rPr>
          <w:rFonts w:ascii="Arial" w:eastAsia="Arial" w:hAnsi="Arial" w:cs="Arial"/>
        </w:rPr>
      </w:pPr>
      <w:r>
        <w:rPr>
          <w:noProof/>
        </w:rPr>
        <mc:AlternateContent>
          <mc:Choice Requires="wps">
            <w:drawing>
              <wp:anchor distT="0" distB="0" distL="114300" distR="114300" simplePos="0" relativeHeight="251660289" behindDoc="0" locked="0" layoutInCell="1" allowOverlap="1" wp14:anchorId="2D4CA383" wp14:editId="7751F470">
                <wp:simplePos x="0" y="0"/>
                <wp:positionH relativeFrom="column">
                  <wp:posOffset>2047875</wp:posOffset>
                </wp:positionH>
                <wp:positionV relativeFrom="paragraph">
                  <wp:posOffset>7802245</wp:posOffset>
                </wp:positionV>
                <wp:extent cx="3667125" cy="375285"/>
                <wp:effectExtent l="0" t="0" r="9525" b="5715"/>
                <wp:wrapTopAndBottom/>
                <wp:docPr id="1861254520" name="Rectangle 35"/>
                <wp:cNvGraphicFramePr/>
                <a:graphic xmlns:a="http://schemas.openxmlformats.org/drawingml/2006/main">
                  <a:graphicData uri="http://schemas.microsoft.com/office/word/2010/wordprocessingShape">
                    <wps:wsp>
                      <wps:cNvSpPr/>
                      <wps:spPr>
                        <a:xfrm>
                          <a:off x="0" y="0"/>
                          <a:ext cx="3667125" cy="375285"/>
                        </a:xfrm>
                        <a:prstGeom prst="rect">
                          <a:avLst/>
                        </a:prstGeom>
                        <a:noFill/>
                        <a:ln>
                          <a:noFill/>
                        </a:ln>
                      </wps:spPr>
                      <wps:txbx>
                        <w:txbxContent>
                          <w:p w14:paraId="6B26301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310F47F"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D4CA383" id="Rectangle 35" o:spid="_x0000_s1055" style="position:absolute;margin-left:161.25pt;margin-top:614.35pt;width:288.75pt;height:29.55pt;z-index:251660289;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" filled="f" stroked="f">
                <v:textbox inset="0,0,0,0">
                  <w:txbxContent>
                    <w:p w14:paraId="6B26301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310F47F"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type="topAndBottom"/>
              </v:rect>
            </w:pict>
          </mc:Fallback>
        </mc:AlternateContent>
      </w:r>
      <w:r w:rsidR="004468F8">
        <w:rPr>
          <w:rFonts w:ascii="Arial" w:eastAsia="Arial" w:hAnsi="Arial" w:cs="Arial"/>
          <w:noProof/>
        </w:rPr>
        <mc:AlternateContent>
          <mc:Choice Requires="wps">
            <w:drawing>
              <wp:anchor distT="0" distB="0" distL="114300" distR="114300" simplePos="0" relativeHeight="251658241" behindDoc="0" locked="0" layoutInCell="1" hidden="0" allowOverlap="1" wp14:anchorId="6757D208" wp14:editId="2F216BA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8DD2249" w14:textId="77777777" w:rsidR="00530E16" w:rsidRDefault="004468F8">
                            <w:pPr>
                              <w:spacing w:after="0" w:line="240" w:lineRule="auto"/>
                              <w:textDirection w:val="btLr"/>
                            </w:pPr>
                            <w:r>
                              <w:rPr>
                                <w:rFonts w:ascii="Play" w:eastAsia="Play" w:hAnsi="Play" w:cs="Play"/>
                                <w:color w:val="262626"/>
                                <w:sz w:val="72"/>
                              </w:rPr>
                              <w:t>Individual Report</w:t>
                            </w:r>
                          </w:p>
                          <w:p w14:paraId="36792F99" w14:textId="77777777" w:rsidR="00530E16" w:rsidRDefault="004468F8">
                            <w:pPr>
                              <w:spacing w:before="120" w:line="277" w:lineRule="auto"/>
                              <w:textDirection w:val="btLr"/>
                            </w:pPr>
                            <w:r>
                              <w:rPr>
                                <w:color w:val="404040"/>
                                <w:sz w:val="36"/>
                              </w:rPr>
                              <w:t>Module Name: Digital Skills and Research Methods</w:t>
                            </w:r>
                          </w:p>
                          <w:p w14:paraId="6223DBB1" w14:textId="77777777" w:rsidR="00530E16" w:rsidRDefault="004468F8">
                            <w:pPr>
                              <w:spacing w:before="120" w:line="277" w:lineRule="auto"/>
                              <w:textDirection w:val="btLr"/>
                            </w:pPr>
                            <w:r>
                              <w:rPr>
                                <w:color w:val="404040"/>
                                <w:sz w:val="36"/>
                              </w:rPr>
                              <w:t>Module Code: LCHS 4007</w:t>
                            </w:r>
                          </w:p>
                          <w:p w14:paraId="14B010B6" w14:textId="5782497A" w:rsidR="00530E16" w:rsidRDefault="004468F8">
                            <w:pPr>
                              <w:spacing w:before="120" w:line="277" w:lineRule="auto"/>
                              <w:textDirection w:val="btLr"/>
                            </w:pPr>
                            <w:r>
                              <w:rPr>
                                <w:color w:val="404040"/>
                                <w:sz w:val="36"/>
                              </w:rPr>
                              <w:t xml:space="preserve">Student name: </w:t>
                            </w:r>
                            <w:r w:rsidR="00FA76C8">
                              <w:rPr>
                                <w:color w:val="404040"/>
                                <w:sz w:val="36"/>
                              </w:rPr>
                              <w:t>Sanilen</w:t>
                            </w:r>
                            <w:r w:rsidR="00FA61AC">
                              <w:rPr>
                                <w:color w:val="404040"/>
                                <w:sz w:val="36"/>
                              </w:rPr>
                              <w:t xml:space="preserve"> Dolores</w:t>
                            </w:r>
                            <w:r w:rsidR="00FA76C8">
                              <w:rPr>
                                <w:color w:val="404040"/>
                                <w:sz w:val="36"/>
                              </w:rPr>
                              <w:t xml:space="preserve"> Stevens</w:t>
                            </w:r>
                          </w:p>
                          <w:p w14:paraId="417DCFD0" w14:textId="78047F42" w:rsidR="00530E16" w:rsidRDefault="004468F8">
                            <w:pPr>
                              <w:spacing w:before="120" w:line="277" w:lineRule="auto"/>
                              <w:textDirection w:val="btLr"/>
                            </w:pPr>
                            <w:r>
                              <w:rPr>
                                <w:color w:val="404040"/>
                                <w:sz w:val="36"/>
                              </w:rPr>
                              <w:t>Student ID:</w:t>
                            </w:r>
                            <w:r w:rsidR="00FA76C8">
                              <w:rPr>
                                <w:color w:val="404040"/>
                                <w:sz w:val="36"/>
                              </w:rPr>
                              <w:t>2508295</w:t>
                            </w:r>
                          </w:p>
                          <w:p w14:paraId="129A3329" w14:textId="72E79E4C" w:rsidR="00530E16" w:rsidRDefault="004468F8">
                            <w:pPr>
                              <w:spacing w:before="120" w:line="277" w:lineRule="auto"/>
                              <w:textDirection w:val="btLr"/>
                            </w:pPr>
                            <w:r>
                              <w:rPr>
                                <w:color w:val="404040"/>
                                <w:sz w:val="36"/>
                              </w:rPr>
                              <w:t xml:space="preserve">Lecturer’s Name: </w:t>
                            </w:r>
                            <w:r w:rsidR="00FA76C8">
                              <w:rPr>
                                <w:color w:val="404040"/>
                                <w:sz w:val="36"/>
                              </w:rPr>
                              <w:t>Patronella Ganza</w:t>
                            </w:r>
                          </w:p>
                        </w:txbxContent>
                      </wps:txbx>
                      <wps:bodyPr spcFirstLastPara="1" wrap="square" lIns="0" tIns="0" rIns="0" bIns="0" anchor="t" anchorCtr="0">
                        <a:noAutofit/>
                      </wps:bodyPr>
                    </wps:wsp>
                  </a:graphicData>
                </a:graphic>
              </wp:anchor>
            </w:drawing>
          </mc:Choice>
          <mc:Fallback>
            <w:pict>
              <v:rect w14:anchorId="6757D208" id="Rectangle 33" o:spid="_x0000_s1056" style="position:absolute;margin-left:87.4pt;margin-top:220.9pt;width:456pt;height:243.75pt;z-index:251658241;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8DD2249" w14:textId="77777777" w:rsidR="00530E16" w:rsidRDefault="004468F8">
                      <w:pPr>
                        <w:spacing w:after="0" w:line="240" w:lineRule="auto"/>
                        <w:textDirection w:val="btLr"/>
                      </w:pPr>
                      <w:r>
                        <w:rPr>
                          <w:rFonts w:ascii="Play" w:eastAsia="Play" w:hAnsi="Play" w:cs="Play"/>
                          <w:color w:val="262626"/>
                          <w:sz w:val="72"/>
                        </w:rPr>
                        <w:t>Individual Report</w:t>
                      </w:r>
                    </w:p>
                    <w:p w14:paraId="36792F99" w14:textId="77777777" w:rsidR="00530E16" w:rsidRDefault="004468F8">
                      <w:pPr>
                        <w:spacing w:before="120" w:line="277" w:lineRule="auto"/>
                        <w:textDirection w:val="btLr"/>
                      </w:pPr>
                      <w:r>
                        <w:rPr>
                          <w:color w:val="404040"/>
                          <w:sz w:val="36"/>
                        </w:rPr>
                        <w:t>Module Name: Digital Skills and Research Methods</w:t>
                      </w:r>
                    </w:p>
                    <w:p w14:paraId="6223DBB1" w14:textId="77777777" w:rsidR="00530E16" w:rsidRDefault="004468F8">
                      <w:pPr>
                        <w:spacing w:before="120" w:line="277" w:lineRule="auto"/>
                        <w:textDirection w:val="btLr"/>
                      </w:pPr>
                      <w:r>
                        <w:rPr>
                          <w:color w:val="404040"/>
                          <w:sz w:val="36"/>
                        </w:rPr>
                        <w:t>Module Code: LCHS 4007</w:t>
                      </w:r>
                    </w:p>
                    <w:p w14:paraId="14B010B6" w14:textId="5782497A" w:rsidR="00530E16" w:rsidRDefault="004468F8">
                      <w:pPr>
                        <w:spacing w:before="120" w:line="277" w:lineRule="auto"/>
                        <w:textDirection w:val="btLr"/>
                      </w:pPr>
                      <w:r>
                        <w:rPr>
                          <w:color w:val="404040"/>
                          <w:sz w:val="36"/>
                        </w:rPr>
                        <w:t xml:space="preserve">Student name: </w:t>
                      </w:r>
                      <w:r w:rsidR="00FA76C8">
                        <w:rPr>
                          <w:color w:val="404040"/>
                          <w:sz w:val="36"/>
                        </w:rPr>
                        <w:t>Sanilen</w:t>
                      </w:r>
                      <w:r w:rsidR="00FA61AC">
                        <w:rPr>
                          <w:color w:val="404040"/>
                          <w:sz w:val="36"/>
                        </w:rPr>
                        <w:t xml:space="preserve"> Dolores</w:t>
                      </w:r>
                      <w:r w:rsidR="00FA76C8">
                        <w:rPr>
                          <w:color w:val="404040"/>
                          <w:sz w:val="36"/>
                        </w:rPr>
                        <w:t xml:space="preserve"> Stevens</w:t>
                      </w:r>
                    </w:p>
                    <w:p w14:paraId="417DCFD0" w14:textId="78047F42" w:rsidR="00530E16" w:rsidRDefault="004468F8">
                      <w:pPr>
                        <w:spacing w:before="120" w:line="277" w:lineRule="auto"/>
                        <w:textDirection w:val="btLr"/>
                      </w:pPr>
                      <w:r>
                        <w:rPr>
                          <w:color w:val="404040"/>
                          <w:sz w:val="36"/>
                        </w:rPr>
                        <w:t>Student ID:</w:t>
                      </w:r>
                      <w:r w:rsidR="00FA76C8">
                        <w:rPr>
                          <w:color w:val="404040"/>
                          <w:sz w:val="36"/>
                        </w:rPr>
                        <w:t>2508295</w:t>
                      </w:r>
                    </w:p>
                    <w:p w14:paraId="129A3329" w14:textId="72E79E4C" w:rsidR="00530E16" w:rsidRDefault="004468F8">
                      <w:pPr>
                        <w:spacing w:before="120" w:line="277" w:lineRule="auto"/>
                        <w:textDirection w:val="btLr"/>
                      </w:pPr>
                      <w:r>
                        <w:rPr>
                          <w:color w:val="404040"/>
                          <w:sz w:val="36"/>
                        </w:rPr>
                        <w:t xml:space="preserve">Lecturer’s Name: </w:t>
                      </w:r>
                      <w:r w:rsidR="00FA76C8">
                        <w:rPr>
                          <w:color w:val="404040"/>
                          <w:sz w:val="36"/>
                        </w:rPr>
                        <w:t>Patronella Ganza</w:t>
                      </w:r>
                    </w:p>
                  </w:txbxContent>
                </v:textbox>
                <w10:wrap anchorx="page" anchory="page"/>
              </v:rect>
            </w:pict>
          </mc:Fallback>
        </mc:AlternateContent>
      </w:r>
      <w:r w:rsidR="004468F8">
        <w:br w:type="page"/>
      </w:r>
    </w:p>
    <w:p w14:paraId="598220CC" w14:textId="77777777" w:rsidR="00530E16" w:rsidRDefault="00530E16">
      <w:pPr>
        <w:rPr>
          <w:rFonts w:ascii="Arial" w:eastAsia="Arial" w:hAnsi="Arial" w:cs="Arial"/>
        </w:rPr>
      </w:pPr>
    </w:p>
    <w:p w14:paraId="703121A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1D09C85" w14:textId="4187964D" w:rsidR="00CF2666"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371731" w:history="1">
            <w:r w:rsidR="00CF2666" w:rsidRPr="00C7639D">
              <w:rPr>
                <w:rStyle w:val="Hyperlink"/>
                <w:noProof/>
              </w:rPr>
              <w:t>Research Topic: Doctors leaving the UK in records number</w:t>
            </w:r>
            <w:r w:rsidR="00CF2666">
              <w:rPr>
                <w:noProof/>
                <w:webHidden/>
              </w:rPr>
              <w:tab/>
            </w:r>
            <w:r w:rsidR="00CF2666">
              <w:rPr>
                <w:noProof/>
                <w:webHidden/>
              </w:rPr>
              <w:fldChar w:fldCharType="begin"/>
            </w:r>
            <w:r w:rsidR="00CF2666">
              <w:rPr>
                <w:noProof/>
                <w:webHidden/>
              </w:rPr>
              <w:instrText xml:space="preserve"> PAGEREF _Toc216371731 \h </w:instrText>
            </w:r>
            <w:r w:rsidR="00CF2666">
              <w:rPr>
                <w:noProof/>
                <w:webHidden/>
              </w:rPr>
            </w:r>
            <w:r w:rsidR="00CF2666">
              <w:rPr>
                <w:noProof/>
                <w:webHidden/>
              </w:rPr>
              <w:fldChar w:fldCharType="separate"/>
            </w:r>
            <w:r w:rsidR="00CF2666">
              <w:rPr>
                <w:noProof/>
                <w:webHidden/>
              </w:rPr>
              <w:t>1</w:t>
            </w:r>
            <w:r w:rsidR="00CF2666">
              <w:rPr>
                <w:noProof/>
                <w:webHidden/>
              </w:rPr>
              <w:fldChar w:fldCharType="end"/>
            </w:r>
          </w:hyperlink>
        </w:p>
        <w:p w14:paraId="2B116326" w14:textId="067FD62C" w:rsidR="00CF2666" w:rsidRDefault="00CF2666">
          <w:pPr>
            <w:pStyle w:val="TOC1"/>
            <w:tabs>
              <w:tab w:val="right" w:leader="dot" w:pos="9016"/>
            </w:tabs>
            <w:rPr>
              <w:rFonts w:asciiTheme="minorHAnsi" w:eastAsiaTheme="minorEastAsia" w:hAnsiTheme="minorHAnsi" w:cstheme="minorBidi"/>
              <w:noProof/>
              <w:kern w:val="2"/>
              <w14:ligatures w14:val="standardContextual"/>
            </w:rPr>
          </w:pPr>
          <w:hyperlink w:anchor="_Toc216371732" w:history="1">
            <w:r w:rsidRPr="00C7639D">
              <w:rPr>
                <w:rStyle w:val="Hyperlink"/>
                <w:noProof/>
              </w:rPr>
              <w:t>Introduction</w:t>
            </w:r>
            <w:r>
              <w:rPr>
                <w:noProof/>
                <w:webHidden/>
              </w:rPr>
              <w:tab/>
            </w:r>
            <w:r>
              <w:rPr>
                <w:noProof/>
                <w:webHidden/>
              </w:rPr>
              <w:fldChar w:fldCharType="begin"/>
            </w:r>
            <w:r>
              <w:rPr>
                <w:noProof/>
                <w:webHidden/>
              </w:rPr>
              <w:instrText xml:space="preserve"> PAGEREF _Toc216371732 \h </w:instrText>
            </w:r>
            <w:r>
              <w:rPr>
                <w:noProof/>
                <w:webHidden/>
              </w:rPr>
            </w:r>
            <w:r>
              <w:rPr>
                <w:noProof/>
                <w:webHidden/>
              </w:rPr>
              <w:fldChar w:fldCharType="separate"/>
            </w:r>
            <w:r>
              <w:rPr>
                <w:noProof/>
                <w:webHidden/>
              </w:rPr>
              <w:t>1</w:t>
            </w:r>
            <w:r>
              <w:rPr>
                <w:noProof/>
                <w:webHidden/>
              </w:rPr>
              <w:fldChar w:fldCharType="end"/>
            </w:r>
          </w:hyperlink>
        </w:p>
        <w:p w14:paraId="5515718F" w14:textId="74B978DD" w:rsidR="00CF2666" w:rsidRDefault="00CF2666">
          <w:pPr>
            <w:pStyle w:val="TOC2"/>
            <w:tabs>
              <w:tab w:val="right" w:leader="dot" w:pos="9016"/>
            </w:tabs>
            <w:rPr>
              <w:rFonts w:asciiTheme="minorHAnsi" w:eastAsiaTheme="minorEastAsia" w:hAnsiTheme="minorHAnsi" w:cstheme="minorBidi"/>
              <w:noProof/>
              <w:kern w:val="2"/>
              <w14:ligatures w14:val="standardContextual"/>
            </w:rPr>
          </w:pPr>
          <w:hyperlink w:anchor="_Toc216371733" w:history="1">
            <w:r w:rsidRPr="00C7639D">
              <w:rPr>
                <w:rStyle w:val="Hyperlink"/>
                <w:noProof/>
              </w:rPr>
              <w:t>Problem Statement</w:t>
            </w:r>
            <w:r>
              <w:rPr>
                <w:noProof/>
                <w:webHidden/>
              </w:rPr>
              <w:tab/>
            </w:r>
            <w:r>
              <w:rPr>
                <w:noProof/>
                <w:webHidden/>
              </w:rPr>
              <w:fldChar w:fldCharType="begin"/>
            </w:r>
            <w:r>
              <w:rPr>
                <w:noProof/>
                <w:webHidden/>
              </w:rPr>
              <w:instrText xml:space="preserve"> PAGEREF _Toc216371733 \h </w:instrText>
            </w:r>
            <w:r>
              <w:rPr>
                <w:noProof/>
                <w:webHidden/>
              </w:rPr>
            </w:r>
            <w:r>
              <w:rPr>
                <w:noProof/>
                <w:webHidden/>
              </w:rPr>
              <w:fldChar w:fldCharType="separate"/>
            </w:r>
            <w:r>
              <w:rPr>
                <w:noProof/>
                <w:webHidden/>
              </w:rPr>
              <w:t>1</w:t>
            </w:r>
            <w:r>
              <w:rPr>
                <w:noProof/>
                <w:webHidden/>
              </w:rPr>
              <w:fldChar w:fldCharType="end"/>
            </w:r>
          </w:hyperlink>
        </w:p>
        <w:p w14:paraId="32B2631A" w14:textId="6B724ED9" w:rsidR="00CF2666" w:rsidRDefault="00CF2666">
          <w:pPr>
            <w:pStyle w:val="TOC2"/>
            <w:tabs>
              <w:tab w:val="right" w:leader="dot" w:pos="9016"/>
            </w:tabs>
            <w:rPr>
              <w:rFonts w:asciiTheme="minorHAnsi" w:eastAsiaTheme="minorEastAsia" w:hAnsiTheme="minorHAnsi" w:cstheme="minorBidi"/>
              <w:noProof/>
              <w:kern w:val="2"/>
              <w14:ligatures w14:val="standardContextual"/>
            </w:rPr>
          </w:pPr>
          <w:hyperlink w:anchor="_Toc216371734" w:history="1">
            <w:r w:rsidRPr="00C7639D">
              <w:rPr>
                <w:rStyle w:val="Hyperlink"/>
                <w:noProof/>
              </w:rPr>
              <w:t>Justification</w:t>
            </w:r>
            <w:r>
              <w:rPr>
                <w:noProof/>
                <w:webHidden/>
              </w:rPr>
              <w:tab/>
            </w:r>
            <w:r>
              <w:rPr>
                <w:noProof/>
                <w:webHidden/>
              </w:rPr>
              <w:fldChar w:fldCharType="begin"/>
            </w:r>
            <w:r>
              <w:rPr>
                <w:noProof/>
                <w:webHidden/>
              </w:rPr>
              <w:instrText xml:space="preserve"> PAGEREF _Toc216371734 \h </w:instrText>
            </w:r>
            <w:r>
              <w:rPr>
                <w:noProof/>
                <w:webHidden/>
              </w:rPr>
            </w:r>
            <w:r>
              <w:rPr>
                <w:noProof/>
                <w:webHidden/>
              </w:rPr>
              <w:fldChar w:fldCharType="separate"/>
            </w:r>
            <w:r>
              <w:rPr>
                <w:noProof/>
                <w:webHidden/>
              </w:rPr>
              <w:t>2</w:t>
            </w:r>
            <w:r>
              <w:rPr>
                <w:noProof/>
                <w:webHidden/>
              </w:rPr>
              <w:fldChar w:fldCharType="end"/>
            </w:r>
          </w:hyperlink>
        </w:p>
        <w:p w14:paraId="0090A25C" w14:textId="2D9F661F" w:rsidR="00CF2666" w:rsidRDefault="00CF2666">
          <w:pPr>
            <w:pStyle w:val="TOC2"/>
            <w:tabs>
              <w:tab w:val="right" w:leader="dot" w:pos="9016"/>
            </w:tabs>
            <w:rPr>
              <w:rFonts w:asciiTheme="minorHAnsi" w:eastAsiaTheme="minorEastAsia" w:hAnsiTheme="minorHAnsi" w:cstheme="minorBidi"/>
              <w:noProof/>
              <w:kern w:val="2"/>
              <w14:ligatures w14:val="standardContextual"/>
            </w:rPr>
          </w:pPr>
          <w:hyperlink w:anchor="_Toc216371735" w:history="1">
            <w:r w:rsidRPr="00C7639D">
              <w:rPr>
                <w:rStyle w:val="Hyperlink"/>
                <w:noProof/>
              </w:rPr>
              <w:t>Information Sources and Justification</w:t>
            </w:r>
            <w:r>
              <w:rPr>
                <w:noProof/>
                <w:webHidden/>
              </w:rPr>
              <w:tab/>
            </w:r>
            <w:r>
              <w:rPr>
                <w:noProof/>
                <w:webHidden/>
              </w:rPr>
              <w:fldChar w:fldCharType="begin"/>
            </w:r>
            <w:r>
              <w:rPr>
                <w:noProof/>
                <w:webHidden/>
              </w:rPr>
              <w:instrText xml:space="preserve"> PAGEREF _Toc216371735 \h </w:instrText>
            </w:r>
            <w:r>
              <w:rPr>
                <w:noProof/>
                <w:webHidden/>
              </w:rPr>
            </w:r>
            <w:r>
              <w:rPr>
                <w:noProof/>
                <w:webHidden/>
              </w:rPr>
              <w:fldChar w:fldCharType="separate"/>
            </w:r>
            <w:r>
              <w:rPr>
                <w:noProof/>
                <w:webHidden/>
              </w:rPr>
              <w:t>2</w:t>
            </w:r>
            <w:r>
              <w:rPr>
                <w:noProof/>
                <w:webHidden/>
              </w:rPr>
              <w:fldChar w:fldCharType="end"/>
            </w:r>
          </w:hyperlink>
        </w:p>
        <w:p w14:paraId="47B14298" w14:textId="1FF23BB4" w:rsidR="00CF2666" w:rsidRDefault="00CF2666">
          <w:pPr>
            <w:pStyle w:val="TOC1"/>
            <w:tabs>
              <w:tab w:val="right" w:leader="dot" w:pos="9016"/>
            </w:tabs>
            <w:rPr>
              <w:rFonts w:asciiTheme="minorHAnsi" w:eastAsiaTheme="minorEastAsia" w:hAnsiTheme="minorHAnsi" w:cstheme="minorBidi"/>
              <w:noProof/>
              <w:kern w:val="2"/>
              <w14:ligatures w14:val="standardContextual"/>
            </w:rPr>
          </w:pPr>
          <w:hyperlink w:anchor="_Toc216371736" w:history="1">
            <w:r w:rsidRPr="00C7639D">
              <w:rPr>
                <w:rStyle w:val="Hyperlink"/>
                <w:noProof/>
              </w:rPr>
              <w:t xml:space="preserve">Task 2: </w:t>
            </w:r>
            <w:r w:rsidRPr="00C7639D">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_Toc216371736 \h </w:instrText>
            </w:r>
            <w:r>
              <w:rPr>
                <w:noProof/>
                <w:webHidden/>
              </w:rPr>
            </w:r>
            <w:r>
              <w:rPr>
                <w:noProof/>
                <w:webHidden/>
              </w:rPr>
              <w:fldChar w:fldCharType="separate"/>
            </w:r>
            <w:r>
              <w:rPr>
                <w:noProof/>
                <w:webHidden/>
              </w:rPr>
              <w:t>3</w:t>
            </w:r>
            <w:r>
              <w:rPr>
                <w:noProof/>
                <w:webHidden/>
              </w:rPr>
              <w:fldChar w:fldCharType="end"/>
            </w:r>
          </w:hyperlink>
        </w:p>
        <w:p w14:paraId="76548A46" w14:textId="4CF5B8C6" w:rsidR="00CF2666" w:rsidRDefault="00CF2666">
          <w:pPr>
            <w:pStyle w:val="TOC2"/>
            <w:tabs>
              <w:tab w:val="right" w:leader="dot" w:pos="9016"/>
            </w:tabs>
            <w:rPr>
              <w:rFonts w:asciiTheme="minorHAnsi" w:eastAsiaTheme="minorEastAsia" w:hAnsiTheme="minorHAnsi" w:cstheme="minorBidi"/>
              <w:noProof/>
              <w:kern w:val="2"/>
              <w14:ligatures w14:val="standardContextual"/>
            </w:rPr>
          </w:pPr>
          <w:hyperlink w:anchor="_Toc216371737" w:history="1">
            <w:r w:rsidRPr="00C7639D">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_Toc216371737 \h </w:instrText>
            </w:r>
            <w:r>
              <w:rPr>
                <w:noProof/>
                <w:webHidden/>
              </w:rPr>
            </w:r>
            <w:r>
              <w:rPr>
                <w:noProof/>
                <w:webHidden/>
              </w:rPr>
              <w:fldChar w:fldCharType="separate"/>
            </w:r>
            <w:r>
              <w:rPr>
                <w:noProof/>
                <w:webHidden/>
              </w:rPr>
              <w:t>3</w:t>
            </w:r>
            <w:r>
              <w:rPr>
                <w:noProof/>
                <w:webHidden/>
              </w:rPr>
              <w:fldChar w:fldCharType="end"/>
            </w:r>
          </w:hyperlink>
        </w:p>
        <w:p w14:paraId="2449888E" w14:textId="6A649A9A" w:rsidR="00CF2666" w:rsidRDefault="00CF2666">
          <w:pPr>
            <w:pStyle w:val="TOC2"/>
            <w:tabs>
              <w:tab w:val="right" w:leader="dot" w:pos="9016"/>
            </w:tabs>
            <w:rPr>
              <w:rFonts w:asciiTheme="minorHAnsi" w:eastAsiaTheme="minorEastAsia" w:hAnsiTheme="minorHAnsi" w:cstheme="minorBidi"/>
              <w:noProof/>
              <w:kern w:val="2"/>
              <w14:ligatures w14:val="standardContextual"/>
            </w:rPr>
          </w:pPr>
          <w:hyperlink w:anchor="_Toc216371738" w:history="1">
            <w:r w:rsidRPr="00C7639D">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_Toc216371738 \h </w:instrText>
            </w:r>
            <w:r>
              <w:rPr>
                <w:noProof/>
                <w:webHidden/>
              </w:rPr>
            </w:r>
            <w:r>
              <w:rPr>
                <w:noProof/>
                <w:webHidden/>
              </w:rPr>
              <w:fldChar w:fldCharType="separate"/>
            </w:r>
            <w:r>
              <w:rPr>
                <w:noProof/>
                <w:webHidden/>
              </w:rPr>
              <w:t>4</w:t>
            </w:r>
            <w:r>
              <w:rPr>
                <w:noProof/>
                <w:webHidden/>
              </w:rPr>
              <w:fldChar w:fldCharType="end"/>
            </w:r>
          </w:hyperlink>
        </w:p>
        <w:p w14:paraId="3408836F" w14:textId="05452375" w:rsidR="00CF2666" w:rsidRDefault="00CF2666">
          <w:pPr>
            <w:pStyle w:val="TOC1"/>
            <w:tabs>
              <w:tab w:val="right" w:leader="dot" w:pos="9016"/>
            </w:tabs>
            <w:rPr>
              <w:rFonts w:asciiTheme="minorHAnsi" w:eastAsiaTheme="minorEastAsia" w:hAnsiTheme="minorHAnsi" w:cstheme="minorBidi"/>
              <w:noProof/>
              <w:kern w:val="2"/>
              <w14:ligatures w14:val="standardContextual"/>
            </w:rPr>
          </w:pPr>
          <w:hyperlink w:anchor="_Toc216371739" w:history="1">
            <w:r w:rsidRPr="00C7639D">
              <w:rPr>
                <w:rStyle w:val="Hyperlink"/>
                <w:noProof/>
              </w:rPr>
              <w:t>Task 3: Data Collection</w:t>
            </w:r>
            <w:r>
              <w:rPr>
                <w:noProof/>
                <w:webHidden/>
              </w:rPr>
              <w:tab/>
            </w:r>
            <w:r>
              <w:rPr>
                <w:noProof/>
                <w:webHidden/>
              </w:rPr>
              <w:fldChar w:fldCharType="begin"/>
            </w:r>
            <w:r>
              <w:rPr>
                <w:noProof/>
                <w:webHidden/>
              </w:rPr>
              <w:instrText xml:space="preserve"> PAGEREF _Toc216371739 \h </w:instrText>
            </w:r>
            <w:r>
              <w:rPr>
                <w:noProof/>
                <w:webHidden/>
              </w:rPr>
            </w:r>
            <w:r>
              <w:rPr>
                <w:noProof/>
                <w:webHidden/>
              </w:rPr>
              <w:fldChar w:fldCharType="separate"/>
            </w:r>
            <w:r>
              <w:rPr>
                <w:noProof/>
                <w:webHidden/>
              </w:rPr>
              <w:t>4</w:t>
            </w:r>
            <w:r>
              <w:rPr>
                <w:noProof/>
                <w:webHidden/>
              </w:rPr>
              <w:fldChar w:fldCharType="end"/>
            </w:r>
          </w:hyperlink>
        </w:p>
        <w:p w14:paraId="45A6F69E" w14:textId="3C997E29" w:rsidR="00CF2666" w:rsidRDefault="00CF2666">
          <w:pPr>
            <w:pStyle w:val="TOC2"/>
            <w:tabs>
              <w:tab w:val="right" w:leader="dot" w:pos="9016"/>
            </w:tabs>
            <w:rPr>
              <w:rFonts w:asciiTheme="minorHAnsi" w:eastAsiaTheme="minorEastAsia" w:hAnsiTheme="minorHAnsi" w:cstheme="minorBidi"/>
              <w:noProof/>
              <w:kern w:val="2"/>
              <w14:ligatures w14:val="standardContextual"/>
            </w:rPr>
          </w:pPr>
          <w:hyperlink w:anchor="_Toc216371740" w:history="1">
            <w:r w:rsidRPr="00C7639D">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_Toc216371740 \h </w:instrText>
            </w:r>
            <w:r>
              <w:rPr>
                <w:noProof/>
                <w:webHidden/>
              </w:rPr>
            </w:r>
            <w:r>
              <w:rPr>
                <w:noProof/>
                <w:webHidden/>
              </w:rPr>
              <w:fldChar w:fldCharType="separate"/>
            </w:r>
            <w:r>
              <w:rPr>
                <w:noProof/>
                <w:webHidden/>
              </w:rPr>
              <w:t>4</w:t>
            </w:r>
            <w:r>
              <w:rPr>
                <w:noProof/>
                <w:webHidden/>
              </w:rPr>
              <w:fldChar w:fldCharType="end"/>
            </w:r>
          </w:hyperlink>
        </w:p>
        <w:p w14:paraId="314FD534" w14:textId="27CF3A31" w:rsidR="00CF2666" w:rsidRDefault="00CF2666">
          <w:pPr>
            <w:pStyle w:val="TOC2"/>
            <w:tabs>
              <w:tab w:val="right" w:leader="dot" w:pos="9016"/>
            </w:tabs>
            <w:rPr>
              <w:rFonts w:asciiTheme="minorHAnsi" w:eastAsiaTheme="minorEastAsia" w:hAnsiTheme="minorHAnsi" w:cstheme="minorBidi"/>
              <w:noProof/>
              <w:kern w:val="2"/>
              <w14:ligatures w14:val="standardContextual"/>
            </w:rPr>
          </w:pPr>
          <w:hyperlink w:anchor="_Toc216371741" w:history="1">
            <w:r w:rsidRPr="00C7639D">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_Toc216371741 \h </w:instrText>
            </w:r>
            <w:r>
              <w:rPr>
                <w:noProof/>
                <w:webHidden/>
              </w:rPr>
            </w:r>
            <w:r>
              <w:rPr>
                <w:noProof/>
                <w:webHidden/>
              </w:rPr>
              <w:fldChar w:fldCharType="separate"/>
            </w:r>
            <w:r>
              <w:rPr>
                <w:noProof/>
                <w:webHidden/>
              </w:rPr>
              <w:t>5</w:t>
            </w:r>
            <w:r>
              <w:rPr>
                <w:noProof/>
                <w:webHidden/>
              </w:rPr>
              <w:fldChar w:fldCharType="end"/>
            </w:r>
          </w:hyperlink>
        </w:p>
        <w:p w14:paraId="5EB30282" w14:textId="72CF8435" w:rsidR="00CF2666" w:rsidRDefault="00CF2666">
          <w:pPr>
            <w:pStyle w:val="TOC1"/>
            <w:tabs>
              <w:tab w:val="right" w:leader="dot" w:pos="9016"/>
            </w:tabs>
            <w:rPr>
              <w:rFonts w:asciiTheme="minorHAnsi" w:eastAsiaTheme="minorEastAsia" w:hAnsiTheme="minorHAnsi" w:cstheme="minorBidi"/>
              <w:noProof/>
              <w:kern w:val="2"/>
              <w14:ligatures w14:val="standardContextual"/>
            </w:rPr>
          </w:pPr>
          <w:hyperlink w:anchor="_Toc216371742" w:history="1">
            <w:r w:rsidRPr="00C7639D">
              <w:rPr>
                <w:rStyle w:val="Hyperlink"/>
                <w:noProof/>
              </w:rPr>
              <w:t>Conclusion</w:t>
            </w:r>
            <w:r>
              <w:rPr>
                <w:noProof/>
                <w:webHidden/>
              </w:rPr>
              <w:tab/>
            </w:r>
            <w:r>
              <w:rPr>
                <w:noProof/>
                <w:webHidden/>
              </w:rPr>
              <w:fldChar w:fldCharType="begin"/>
            </w:r>
            <w:r>
              <w:rPr>
                <w:noProof/>
                <w:webHidden/>
              </w:rPr>
              <w:instrText xml:space="preserve"> PAGEREF _Toc216371742 \h </w:instrText>
            </w:r>
            <w:r>
              <w:rPr>
                <w:noProof/>
                <w:webHidden/>
              </w:rPr>
            </w:r>
            <w:r>
              <w:rPr>
                <w:noProof/>
                <w:webHidden/>
              </w:rPr>
              <w:fldChar w:fldCharType="separate"/>
            </w:r>
            <w:r>
              <w:rPr>
                <w:noProof/>
                <w:webHidden/>
              </w:rPr>
              <w:t>5</w:t>
            </w:r>
            <w:r>
              <w:rPr>
                <w:noProof/>
                <w:webHidden/>
              </w:rPr>
              <w:fldChar w:fldCharType="end"/>
            </w:r>
          </w:hyperlink>
        </w:p>
        <w:p w14:paraId="14740E2B" w14:textId="63EDDF26" w:rsidR="00CF2666" w:rsidRDefault="00CF2666">
          <w:pPr>
            <w:pStyle w:val="TOC1"/>
            <w:tabs>
              <w:tab w:val="right" w:leader="dot" w:pos="9016"/>
            </w:tabs>
            <w:rPr>
              <w:rFonts w:asciiTheme="minorHAnsi" w:eastAsiaTheme="minorEastAsia" w:hAnsiTheme="minorHAnsi" w:cstheme="minorBidi"/>
              <w:noProof/>
              <w:kern w:val="2"/>
              <w14:ligatures w14:val="standardContextual"/>
            </w:rPr>
          </w:pPr>
          <w:hyperlink w:anchor="_Toc216371743" w:history="1">
            <w:r w:rsidRPr="00C7639D">
              <w:rPr>
                <w:rStyle w:val="Hyperlink"/>
                <w:noProof/>
              </w:rPr>
              <w:t>References</w:t>
            </w:r>
            <w:r>
              <w:rPr>
                <w:noProof/>
                <w:webHidden/>
              </w:rPr>
              <w:tab/>
            </w:r>
            <w:r>
              <w:rPr>
                <w:noProof/>
                <w:webHidden/>
              </w:rPr>
              <w:fldChar w:fldCharType="begin"/>
            </w:r>
            <w:r>
              <w:rPr>
                <w:noProof/>
                <w:webHidden/>
              </w:rPr>
              <w:instrText xml:space="preserve"> PAGEREF _Toc216371743 \h </w:instrText>
            </w:r>
            <w:r>
              <w:rPr>
                <w:noProof/>
                <w:webHidden/>
              </w:rPr>
            </w:r>
            <w:r>
              <w:rPr>
                <w:noProof/>
                <w:webHidden/>
              </w:rPr>
              <w:fldChar w:fldCharType="separate"/>
            </w:r>
            <w:r>
              <w:rPr>
                <w:noProof/>
                <w:webHidden/>
              </w:rPr>
              <w:t>6</w:t>
            </w:r>
            <w:r>
              <w:rPr>
                <w:noProof/>
                <w:webHidden/>
              </w:rPr>
              <w:fldChar w:fldCharType="end"/>
            </w:r>
          </w:hyperlink>
        </w:p>
        <w:p w14:paraId="0C00588D" w14:textId="43505266" w:rsidR="00530E16" w:rsidRPr="00CF650B" w:rsidRDefault="004468F8">
          <w:r>
            <w:fldChar w:fldCharType="end"/>
          </w:r>
        </w:p>
      </w:sdtContent>
    </w:sdt>
    <w:p w14:paraId="0451E31B" w14:textId="77777777" w:rsidR="00530E16" w:rsidRDefault="00530E16">
      <w:pPr>
        <w:rPr>
          <w:rFonts w:ascii="Arial" w:eastAsia="Arial" w:hAnsi="Arial" w:cs="Arial"/>
        </w:rPr>
      </w:pPr>
    </w:p>
    <w:p w14:paraId="54823A08" w14:textId="77777777" w:rsidR="00530E16" w:rsidRDefault="00530E16">
      <w:pPr>
        <w:rPr>
          <w:rFonts w:ascii="Arial" w:eastAsia="Arial" w:hAnsi="Arial" w:cs="Arial"/>
        </w:rPr>
      </w:pPr>
    </w:p>
    <w:p w14:paraId="22F919BA" w14:textId="77777777" w:rsidR="00530E16" w:rsidRDefault="00530E16">
      <w:pPr>
        <w:rPr>
          <w:rFonts w:ascii="Arial" w:eastAsia="Arial" w:hAnsi="Arial" w:cs="Arial"/>
        </w:rPr>
      </w:pPr>
    </w:p>
    <w:p w14:paraId="495CBFB9" w14:textId="77777777" w:rsidR="00530E16" w:rsidRDefault="00530E16">
      <w:pPr>
        <w:rPr>
          <w:rFonts w:ascii="Arial" w:eastAsia="Arial" w:hAnsi="Arial" w:cs="Arial"/>
        </w:rPr>
      </w:pPr>
    </w:p>
    <w:p w14:paraId="0633FD2B" w14:textId="77777777" w:rsidR="00530E16" w:rsidRDefault="00530E16">
      <w:pPr>
        <w:rPr>
          <w:rFonts w:ascii="Arial" w:eastAsia="Arial" w:hAnsi="Arial" w:cs="Arial"/>
        </w:rPr>
      </w:pPr>
    </w:p>
    <w:p w14:paraId="13840FC0" w14:textId="77777777" w:rsidR="00530E16" w:rsidRDefault="00530E16">
      <w:pPr>
        <w:rPr>
          <w:rFonts w:ascii="Arial" w:eastAsia="Arial" w:hAnsi="Arial" w:cs="Arial"/>
        </w:rPr>
      </w:pPr>
    </w:p>
    <w:p w14:paraId="4C5CE3E9" w14:textId="77777777" w:rsidR="00530E16" w:rsidRDefault="00530E16">
      <w:pPr>
        <w:rPr>
          <w:rFonts w:ascii="Arial" w:eastAsia="Arial" w:hAnsi="Arial" w:cs="Arial"/>
        </w:rPr>
      </w:pPr>
    </w:p>
    <w:p w14:paraId="22A02D19" w14:textId="77777777" w:rsidR="00530E16" w:rsidRDefault="00530E16">
      <w:pPr>
        <w:rPr>
          <w:rFonts w:ascii="Arial" w:eastAsia="Arial" w:hAnsi="Arial" w:cs="Arial"/>
        </w:rPr>
      </w:pPr>
    </w:p>
    <w:p w14:paraId="75EEEE8C" w14:textId="77777777" w:rsidR="00530E16" w:rsidRDefault="00530E16">
      <w:pPr>
        <w:rPr>
          <w:rFonts w:ascii="Arial" w:eastAsia="Arial" w:hAnsi="Arial" w:cs="Arial"/>
        </w:rPr>
      </w:pPr>
    </w:p>
    <w:p w14:paraId="6A426239" w14:textId="77777777" w:rsidR="00530E16" w:rsidRDefault="00530E16">
      <w:pPr>
        <w:rPr>
          <w:rFonts w:ascii="Arial" w:eastAsia="Arial" w:hAnsi="Arial" w:cs="Arial"/>
        </w:rPr>
      </w:pPr>
    </w:p>
    <w:p w14:paraId="0FBF1E2B" w14:textId="77777777" w:rsidR="00530E16" w:rsidRDefault="00530E16">
      <w:pPr>
        <w:rPr>
          <w:rFonts w:ascii="Arial" w:eastAsia="Arial" w:hAnsi="Arial" w:cs="Arial"/>
        </w:rPr>
      </w:pPr>
    </w:p>
    <w:p w14:paraId="31F51BF5" w14:textId="77777777" w:rsidR="00530E16" w:rsidRDefault="00530E16">
      <w:pPr>
        <w:rPr>
          <w:rFonts w:ascii="Arial" w:eastAsia="Arial" w:hAnsi="Arial" w:cs="Arial"/>
        </w:rPr>
      </w:pPr>
    </w:p>
    <w:p w14:paraId="233E52A8" w14:textId="77777777" w:rsidR="00530E16" w:rsidRDefault="00530E16">
      <w:pPr>
        <w:rPr>
          <w:rFonts w:ascii="Arial" w:eastAsia="Arial" w:hAnsi="Arial" w:cs="Arial"/>
        </w:rPr>
      </w:pPr>
    </w:p>
    <w:p w14:paraId="28F5C9E7" w14:textId="77777777" w:rsidR="00530E16" w:rsidRDefault="00530E16">
      <w:pPr>
        <w:rPr>
          <w:rFonts w:ascii="Arial" w:eastAsia="Arial" w:hAnsi="Arial" w:cs="Arial"/>
        </w:rPr>
      </w:pPr>
    </w:p>
    <w:p w14:paraId="784F78B5" w14:textId="77777777" w:rsidR="002A1842" w:rsidRDefault="002A1842">
      <w:pPr>
        <w:rPr>
          <w:rFonts w:ascii="Arial" w:eastAsia="Arial" w:hAnsi="Arial" w:cs="Arial"/>
        </w:rPr>
        <w:sectPr w:rsidR="002A1842">
          <w:headerReference w:type="default" r:id="rId12"/>
          <w:footerReference w:type="default" r:id="rId13"/>
          <w:headerReference w:type="first" r:id="rId14"/>
          <w:footerReference w:type="first" r:id="rId15"/>
          <w:pgSz w:w="11906" w:h="16838"/>
          <w:pgMar w:top="1440" w:right="1440" w:bottom="1440" w:left="1440" w:header="708" w:footer="708" w:gutter="0"/>
          <w:pgNumType w:start="0"/>
          <w:cols w:space="720"/>
          <w:titlePg/>
        </w:sectPr>
      </w:pPr>
    </w:p>
    <w:p w14:paraId="1BD6B722" w14:textId="77777777" w:rsidR="00530E16" w:rsidRDefault="00530E16">
      <w:pPr>
        <w:rPr>
          <w:rFonts w:ascii="Arial" w:eastAsia="Arial" w:hAnsi="Arial" w:cs="Arial"/>
        </w:rPr>
      </w:pPr>
    </w:p>
    <w:p w14:paraId="173C651A" w14:textId="0F4001EE" w:rsidR="00530E16" w:rsidRDefault="004468F8">
      <w:pPr>
        <w:pStyle w:val="Heading1"/>
      </w:pPr>
      <w:bookmarkStart w:id="0" w:name="_Toc216371731"/>
      <w:r>
        <w:t xml:space="preserve">Research Topic: </w:t>
      </w:r>
      <w:r w:rsidR="00FA76C8">
        <w:t>Doctors leaving the UK in records number</w:t>
      </w:r>
      <w:bookmarkEnd w:id="0"/>
    </w:p>
    <w:p w14:paraId="02FF5072" w14:textId="77777777" w:rsidR="00530E16" w:rsidRPr="004468F8" w:rsidRDefault="00BA0043">
      <w:pPr>
        <w:pStyle w:val="Heading1"/>
        <w:rPr>
          <w:sz w:val="32"/>
          <w:szCs w:val="32"/>
        </w:rPr>
      </w:pPr>
      <w:bookmarkStart w:id="1" w:name="_Toc216371732"/>
      <w:r>
        <w:rPr>
          <w:sz w:val="32"/>
          <w:szCs w:val="32"/>
        </w:rPr>
        <w:t>Introduction</w:t>
      </w:r>
      <w:bookmarkEnd w:id="1"/>
    </w:p>
    <w:p w14:paraId="17BDC928" w14:textId="7EFE6C11" w:rsidR="00BA0043" w:rsidRPr="00FA76C8" w:rsidRDefault="00FA76C8" w:rsidP="002929ED">
      <w:pPr>
        <w:pStyle w:val="Default"/>
        <w:spacing w:line="360" w:lineRule="auto"/>
        <w:jc w:val="both"/>
        <w:rPr>
          <w:rFonts w:ascii="Arial" w:eastAsia="Arial" w:hAnsi="Arial" w:cs="Arial"/>
          <w:color w:val="auto"/>
          <w:sz w:val="22"/>
          <w:szCs w:val="22"/>
        </w:rPr>
      </w:pPr>
      <w:r w:rsidRPr="7D3C53D3">
        <w:rPr>
          <w:rFonts w:ascii="Arial" w:eastAsia="Arial" w:hAnsi="Arial" w:cs="Arial"/>
          <w:color w:val="auto"/>
          <w:sz w:val="22"/>
          <w:szCs w:val="22"/>
        </w:rPr>
        <w:t>Doctors play a vital role in supporting the UK health and social care system, and without them, hospitals and community services would not be able to meet patient needs. In recent years, however, the number of doctors leaving the National Health Service (NHS) has risen, raising concerns about staffing stability, workforce shortages, and the overall quality of care. Many doctors choose to leave because of stress, burnout, better job opportunities overseas, and challenges in maintaining a healthy work life balance. These factors increase pressure on the remaining staff and make it difficult for the NHS to deliver timely and safe care. This report aims to explore why this issue is happening, examine suitable research methodologies, and review appropriate data collection approaches. Understanding this problem is particularly important for NHS Workforce planning and lifelong service delivery (GMC, 2023).</w:t>
      </w:r>
    </w:p>
    <w:p w14:paraId="23015BDA" w14:textId="77777777" w:rsidR="004468F8" w:rsidRDefault="004468F8" w:rsidP="004468F8"/>
    <w:p w14:paraId="062D8640" w14:textId="77777777" w:rsidR="00530E16" w:rsidRDefault="004468F8">
      <w:pPr>
        <w:pStyle w:val="Heading2"/>
        <w:jc w:val="both"/>
      </w:pPr>
      <w:bookmarkStart w:id="2" w:name="_Toc216371733"/>
      <w:r>
        <w:t>Problem Statement</w:t>
      </w:r>
      <w:bookmarkEnd w:id="2"/>
    </w:p>
    <w:p w14:paraId="44B92140" w14:textId="21F7EC50" w:rsidR="00FA76C8" w:rsidRDefault="00FA76C8" w:rsidP="002929ED">
      <w:pPr>
        <w:spacing w:line="360" w:lineRule="auto"/>
        <w:jc w:val="both"/>
        <w:rPr>
          <w:rFonts w:ascii="Arial" w:eastAsia="Arial" w:hAnsi="Arial" w:cs="Arial"/>
          <w:sz w:val="22"/>
          <w:szCs w:val="22"/>
        </w:rPr>
      </w:pPr>
      <w:r w:rsidRPr="071BAA7E">
        <w:rPr>
          <w:rFonts w:ascii="Arial" w:eastAsia="Arial" w:hAnsi="Arial" w:cs="Arial"/>
          <w:sz w:val="22"/>
          <w:szCs w:val="22"/>
        </w:rPr>
        <w:t>The UK relies heavily on overseas trained doctors, often referred to as International Medical Graduates (IMGs). They make up a considerable proportion of the medical human resources and are essential in filling gaps in both hospitals and general practice. For decades, the NHS has depended on international recruitment to manage staff shortages and maintain safe levels of care. However, a growing number of IMGs are choosing to leave the UK shortly after joining the NHS, creating widening gaps in staffing. Many are relocating to countries such as Australia, New Zealand, and Canada, where the working conditions are perceived to be more favourable. These countries often offer higher salaries, reduced working hours, less bureaucracy, and clearer pathways for career progression. As a result, the UK struggles to compete for International medical talent, even though it heavily depends on it</w:t>
      </w:r>
      <w:r w:rsidR="00601A10">
        <w:rPr>
          <w:rFonts w:ascii="Arial" w:eastAsia="Arial" w:hAnsi="Arial" w:cs="Arial"/>
          <w:sz w:val="22"/>
          <w:szCs w:val="22"/>
        </w:rPr>
        <w:t xml:space="preserve"> (</w:t>
      </w:r>
      <w:r w:rsidR="000E5998">
        <w:rPr>
          <w:rFonts w:ascii="Arial" w:eastAsia="Arial" w:hAnsi="Arial" w:cs="Arial"/>
          <w:sz w:val="22"/>
          <w:szCs w:val="22"/>
        </w:rPr>
        <w:t>BMA, 2023)</w:t>
      </w:r>
      <w:r w:rsidRPr="071BAA7E">
        <w:rPr>
          <w:rFonts w:ascii="Arial" w:eastAsia="Arial" w:hAnsi="Arial" w:cs="Arial"/>
          <w:sz w:val="22"/>
          <w:szCs w:val="22"/>
        </w:rPr>
        <w:t>.</w:t>
      </w:r>
    </w:p>
    <w:p w14:paraId="6BE2868D" w14:textId="5A6952F3" w:rsidR="004468F8" w:rsidRPr="002929ED" w:rsidRDefault="00FA76C8" w:rsidP="002929ED">
      <w:pPr>
        <w:spacing w:line="360" w:lineRule="auto"/>
        <w:jc w:val="both"/>
        <w:rPr>
          <w:rFonts w:ascii="Arial" w:eastAsia="Arial" w:hAnsi="Arial" w:cs="Arial"/>
          <w:sz w:val="22"/>
          <w:szCs w:val="22"/>
        </w:rPr>
      </w:pPr>
      <w:r w:rsidRPr="071BAA7E">
        <w:rPr>
          <w:rFonts w:ascii="Arial" w:eastAsia="Arial" w:hAnsi="Arial" w:cs="Arial"/>
          <w:sz w:val="22"/>
          <w:szCs w:val="22"/>
        </w:rPr>
        <w:t xml:space="preserve">This trend has wide ranging effects across the health and social care sector. International doctors face multiple challenges, including long shifts, important levels of stress, discrimination, and limited access to training opportunities. Some IMGs experience difficulties adapting to the NHS system and feel unsupported in their early years of practice. Patients are also impacted, as staff shortages contribute to longer waiting times, reduced continuity of care, and increased strain on emergency and routine services. When IMGs leave, NHS </w:t>
      </w:r>
      <w:r w:rsidRPr="071BAA7E">
        <w:rPr>
          <w:rFonts w:ascii="Arial" w:eastAsia="Arial" w:hAnsi="Arial" w:cs="Arial"/>
          <w:sz w:val="22"/>
          <w:szCs w:val="22"/>
        </w:rPr>
        <w:lastRenderedPageBreak/>
        <w:t>organisations often struggle to fill the vacancies quickly, forcing remaining staff to take on</w:t>
      </w:r>
      <w:r>
        <w:rPr>
          <w:rFonts w:ascii="Arial" w:eastAsia="Arial" w:hAnsi="Arial" w:cs="Arial"/>
          <w:sz w:val="22"/>
          <w:szCs w:val="22"/>
        </w:rPr>
        <w:t xml:space="preserve"> </w:t>
      </w:r>
      <w:r w:rsidRPr="071BAA7E">
        <w:rPr>
          <w:rFonts w:ascii="Arial" w:eastAsia="Arial" w:hAnsi="Arial" w:cs="Arial"/>
          <w:sz w:val="22"/>
          <w:szCs w:val="22"/>
        </w:rPr>
        <w:t>additional responsibilities. This creates even greater pressure in a system already stretched by increasing demand, an ageing population, and established workers issues (BMA, 2023).</w:t>
      </w:r>
    </w:p>
    <w:p w14:paraId="6C50B0B4" w14:textId="77777777" w:rsidR="00530E16" w:rsidRDefault="004468F8">
      <w:pPr>
        <w:pStyle w:val="Heading2"/>
        <w:jc w:val="both"/>
      </w:pPr>
      <w:bookmarkStart w:id="3" w:name="_Toc216371734"/>
      <w:r>
        <w:t>Justification</w:t>
      </w:r>
      <w:bookmarkEnd w:id="3"/>
    </w:p>
    <w:p w14:paraId="41DF2E5D" w14:textId="03E18F50" w:rsidR="004468F8" w:rsidRPr="00947327" w:rsidRDefault="00FA76C8" w:rsidP="00947327">
      <w:pPr>
        <w:spacing w:line="360" w:lineRule="auto"/>
        <w:jc w:val="both"/>
        <w:rPr>
          <w:rFonts w:ascii="Arial" w:eastAsia="Arial" w:hAnsi="Arial" w:cs="Arial"/>
          <w:sz w:val="22"/>
          <w:szCs w:val="22"/>
        </w:rPr>
      </w:pPr>
      <w:r w:rsidRPr="071BAA7E">
        <w:rPr>
          <w:rFonts w:ascii="Arial" w:eastAsia="Arial" w:hAnsi="Arial" w:cs="Arial"/>
          <w:sz w:val="22"/>
          <w:szCs w:val="22"/>
        </w:rPr>
        <w:t>Researching this topic is essential because international trained doctors play a significant role in helping the NHS to maintain safe staffing levels. When many these doctors leave, it becomes difficult for the health system to meet patient needs and deliver timely care. Without straightforward evidence about why, IMGs are leaving in record numbers, policymakers cannot design effective strategies to support them or improve retention. Understanding the drivers behind this trend can help shape improvements in working environments, workplace culture, career support, and pay structures. Research also allows the NHS to plan more effectively for the future, as reliable data can inform lifelong workforce strategies and reduce the risk of service disruptions. As demand for healthcare continues to rise, gaining insight into this issue becomes increasingly urgent for protecting patient safety and ensuring a stable workforce (BMA, 2023).</w:t>
      </w:r>
    </w:p>
    <w:p w14:paraId="2A0272BD" w14:textId="77777777" w:rsidR="00530E16" w:rsidRDefault="004468F8">
      <w:pPr>
        <w:pStyle w:val="Heading2"/>
        <w:jc w:val="both"/>
      </w:pPr>
      <w:bookmarkStart w:id="4" w:name="_Toc216371735"/>
      <w:r>
        <w:t>Information Sources and Justification</w:t>
      </w:r>
      <w:bookmarkEnd w:id="4"/>
    </w:p>
    <w:p w14:paraId="6D50F10E" w14:textId="1E6865E1" w:rsidR="00FA76C8" w:rsidRDefault="00336AC8" w:rsidP="0E836992">
      <w:pPr>
        <w:spacing w:line="360" w:lineRule="auto"/>
        <w:jc w:val="both"/>
        <w:rPr>
          <w:rFonts w:ascii="Arial" w:eastAsia="Arial" w:hAnsi="Arial" w:cs="Arial"/>
          <w:sz w:val="22"/>
          <w:szCs w:val="22"/>
        </w:rPr>
      </w:pPr>
      <w:r>
        <w:rPr>
          <w:noProof/>
        </w:rPr>
        <w:drawing>
          <wp:anchor distT="0" distB="0" distL="114300" distR="114300" simplePos="0" relativeHeight="251659265" behindDoc="1" locked="0" layoutInCell="1" allowOverlap="1" wp14:anchorId="405F2090" wp14:editId="6E1A0BC0">
            <wp:simplePos x="0" y="0"/>
            <wp:positionH relativeFrom="column">
              <wp:posOffset>1047750</wp:posOffset>
            </wp:positionH>
            <wp:positionV relativeFrom="paragraph">
              <wp:posOffset>1938020</wp:posOffset>
            </wp:positionV>
            <wp:extent cx="3114675" cy="1892300"/>
            <wp:effectExtent l="0" t="0" r="9525" b="0"/>
            <wp:wrapTopAndBottom/>
            <wp:docPr id="1372378891" name="Picture 37" descr="A graph showing the number of do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378891" name="Picture 37" descr="A graph showing the number of doctors."/>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14675" cy="1892300"/>
                    </a:xfrm>
                    <a:prstGeom prst="rect">
                      <a:avLst/>
                    </a:prstGeom>
                  </pic:spPr>
                </pic:pic>
              </a:graphicData>
            </a:graphic>
            <wp14:sizeRelH relativeFrom="margin">
              <wp14:pctWidth>0</wp14:pctWidth>
            </wp14:sizeRelH>
            <wp14:sizeRelV relativeFrom="margin">
              <wp14:pctHeight>0</wp14:pctHeight>
            </wp14:sizeRelV>
          </wp:anchor>
        </w:drawing>
      </w:r>
      <w:r w:rsidR="00FA76C8" w:rsidRPr="62D2B2B3">
        <w:rPr>
          <w:rFonts w:ascii="Arial" w:eastAsia="Arial" w:hAnsi="Arial" w:cs="Arial"/>
          <w:sz w:val="22"/>
          <w:szCs w:val="22"/>
        </w:rPr>
        <w:t xml:space="preserve">Three main sources can support research into overseas trained doctors leaving the UK. The first is the GMC Workforce Report, which provides national level data on how many international doctors are entering and leaving the NHS each year. This source is especially reliable because it is produced by the General Medical Council, the organisation responsible for regulating the medical profession in the UK. The report also includes trends over time, making it useful for identifying increases in resignations, migration patterns, and demographic </w:t>
      </w:r>
      <w:r w:rsidR="2D7176A9" w:rsidRPr="62D2B2B3">
        <w:rPr>
          <w:rFonts w:ascii="Arial" w:eastAsia="Arial" w:hAnsi="Arial" w:cs="Arial"/>
          <w:sz w:val="22"/>
          <w:szCs w:val="22"/>
        </w:rPr>
        <w:t>differences.</w:t>
      </w:r>
      <w:r w:rsidR="00E5262B">
        <w:rPr>
          <w:rFonts w:ascii="Arial" w:eastAsia="Arial" w:hAnsi="Arial" w:cs="Arial"/>
          <w:sz w:val="22"/>
          <w:szCs w:val="22"/>
        </w:rPr>
        <w:t xml:space="preserve"> </w:t>
      </w:r>
      <w:r w:rsidR="007362AA">
        <w:rPr>
          <w:rFonts w:ascii="Arial" w:eastAsia="Arial" w:hAnsi="Arial" w:cs="Arial"/>
          <w:sz w:val="22"/>
          <w:szCs w:val="22"/>
        </w:rPr>
        <w:t xml:space="preserve">This diagram below </w:t>
      </w:r>
      <w:r w:rsidR="00ED1C06">
        <w:rPr>
          <w:rFonts w:ascii="Arial" w:eastAsia="Arial" w:hAnsi="Arial" w:cs="Arial"/>
          <w:sz w:val="22"/>
          <w:szCs w:val="22"/>
        </w:rPr>
        <w:t>illustrates</w:t>
      </w:r>
      <w:r w:rsidR="007362AA">
        <w:rPr>
          <w:rFonts w:ascii="Arial" w:eastAsia="Arial" w:hAnsi="Arial" w:cs="Arial"/>
          <w:sz w:val="22"/>
          <w:szCs w:val="22"/>
        </w:rPr>
        <w:t xml:space="preserve"> that </w:t>
      </w:r>
      <w:r w:rsidR="00BF7BFA">
        <w:rPr>
          <w:rFonts w:ascii="Arial" w:eastAsia="Arial" w:hAnsi="Arial" w:cs="Arial"/>
          <w:sz w:val="22"/>
          <w:szCs w:val="22"/>
        </w:rPr>
        <w:t xml:space="preserve">in </w:t>
      </w:r>
      <w:r w:rsidR="00AD547A">
        <w:rPr>
          <w:rFonts w:ascii="Arial" w:eastAsia="Arial" w:hAnsi="Arial" w:cs="Arial"/>
          <w:sz w:val="22"/>
          <w:szCs w:val="22"/>
        </w:rPr>
        <w:t>202</w:t>
      </w:r>
      <w:r w:rsidR="00C82EC2">
        <w:rPr>
          <w:rFonts w:ascii="Arial" w:eastAsia="Arial" w:hAnsi="Arial" w:cs="Arial"/>
          <w:sz w:val="22"/>
          <w:szCs w:val="22"/>
        </w:rPr>
        <w:t>0</w:t>
      </w:r>
      <w:r w:rsidR="00794F37">
        <w:rPr>
          <w:rFonts w:ascii="Arial" w:eastAsia="Arial" w:hAnsi="Arial" w:cs="Arial"/>
          <w:sz w:val="22"/>
          <w:szCs w:val="22"/>
        </w:rPr>
        <w:t>, 2847 IMGs doctors left the UK</w:t>
      </w:r>
      <w:r w:rsidR="00ED1C06">
        <w:rPr>
          <w:rFonts w:ascii="Arial" w:eastAsia="Arial" w:hAnsi="Arial" w:cs="Arial"/>
          <w:sz w:val="22"/>
          <w:szCs w:val="22"/>
        </w:rPr>
        <w:t xml:space="preserve">, </w:t>
      </w:r>
      <w:r>
        <w:rPr>
          <w:rFonts w:ascii="Arial" w:eastAsia="Arial" w:hAnsi="Arial" w:cs="Arial"/>
          <w:sz w:val="22"/>
          <w:szCs w:val="22"/>
        </w:rPr>
        <w:t>with this figure rising significantly to 4880 by 2024.</w:t>
      </w:r>
    </w:p>
    <w:p w14:paraId="0F073EB2" w14:textId="41636D64" w:rsidR="008D7BC4" w:rsidRDefault="00FA76C8" w:rsidP="00FA76C8">
      <w:pPr>
        <w:spacing w:line="360" w:lineRule="auto"/>
        <w:jc w:val="both"/>
        <w:rPr>
          <w:rFonts w:ascii="Arial" w:eastAsia="Arial" w:hAnsi="Arial" w:cs="Arial"/>
          <w:sz w:val="22"/>
          <w:szCs w:val="22"/>
        </w:rPr>
      </w:pPr>
      <w:r>
        <w:rPr>
          <w:rFonts w:ascii="Arial" w:eastAsia="Arial" w:hAnsi="Arial" w:cs="Arial"/>
          <w:sz w:val="22"/>
          <w:szCs w:val="22"/>
        </w:rPr>
        <w:t xml:space="preserve">                            </w:t>
      </w:r>
    </w:p>
    <w:p w14:paraId="5B02CFA7" w14:textId="6D13CFE6" w:rsidR="00FA76C8" w:rsidRDefault="00FA76C8" w:rsidP="00FA76C8">
      <w:pPr>
        <w:spacing w:line="360" w:lineRule="auto"/>
        <w:jc w:val="both"/>
        <w:rPr>
          <w:rFonts w:ascii="Arial" w:eastAsia="Arial" w:hAnsi="Arial" w:cs="Arial"/>
          <w:sz w:val="22"/>
          <w:szCs w:val="22"/>
        </w:rPr>
      </w:pPr>
      <w:r>
        <w:rPr>
          <w:rFonts w:ascii="Arial" w:eastAsia="Arial" w:hAnsi="Arial" w:cs="Arial"/>
          <w:sz w:val="22"/>
          <w:szCs w:val="22"/>
        </w:rPr>
        <w:t xml:space="preserve"> </w:t>
      </w:r>
      <w:r w:rsidR="000C7C8F">
        <w:rPr>
          <w:rFonts w:ascii="Arial" w:eastAsia="Arial" w:hAnsi="Arial" w:cs="Arial"/>
          <w:sz w:val="22"/>
          <w:szCs w:val="22"/>
        </w:rPr>
        <w:t xml:space="preserve">                                </w:t>
      </w:r>
      <w:r w:rsidRPr="003644C5">
        <w:rPr>
          <w:rFonts w:ascii="Arial" w:eastAsia="Arial" w:hAnsi="Arial" w:cs="Arial"/>
          <w:sz w:val="22"/>
          <w:szCs w:val="22"/>
        </w:rPr>
        <w:t>Data source: </w:t>
      </w:r>
      <w:hyperlink r:id="rId17" w:tgtFrame="_blank" w:history="1">
        <w:r w:rsidRPr="003644C5">
          <w:rPr>
            <w:rStyle w:val="Hyperlink"/>
            <w:rFonts w:ascii="Arial" w:eastAsia="Arial" w:hAnsi="Arial" w:cs="Arial"/>
            <w:sz w:val="22"/>
            <w:szCs w:val="22"/>
          </w:rPr>
          <w:t>GMC workforce report 2025</w:t>
        </w:r>
      </w:hyperlink>
    </w:p>
    <w:p w14:paraId="5435A12E" w14:textId="77777777" w:rsidR="00FA76C8" w:rsidRDefault="00FA76C8" w:rsidP="00FA76C8">
      <w:pPr>
        <w:spacing w:line="360" w:lineRule="auto"/>
        <w:jc w:val="both"/>
        <w:rPr>
          <w:rFonts w:ascii="Arial" w:eastAsia="Arial" w:hAnsi="Arial" w:cs="Arial"/>
          <w:sz w:val="22"/>
          <w:szCs w:val="22"/>
        </w:rPr>
      </w:pPr>
      <w:r w:rsidRPr="071BAA7E">
        <w:rPr>
          <w:rFonts w:ascii="Arial" w:eastAsia="Arial" w:hAnsi="Arial" w:cs="Arial"/>
          <w:sz w:val="22"/>
          <w:szCs w:val="22"/>
        </w:rPr>
        <w:lastRenderedPageBreak/>
        <w:t>The second source is the British Medical Association (BMA) survey, which gathers information about doctors’ experiences, including heavy workloads, discrimination, workplace stress, and issues with workloads, discrimination, workplace stress, and issues with career progression. Unlike the GMC report, which focuses on numbers, the BMA survey provides insight into the personal reasons that influence doctors’ decisions to resign or migrate. This helps researchers understand the emotional and professional pressures affecting IMGs.</w:t>
      </w:r>
    </w:p>
    <w:p w14:paraId="28753841" w14:textId="77777777" w:rsidR="00FA76C8" w:rsidRDefault="00FA76C8" w:rsidP="00FA76C8">
      <w:pPr>
        <w:spacing w:line="360" w:lineRule="auto"/>
        <w:jc w:val="both"/>
        <w:rPr>
          <w:rFonts w:ascii="Arial" w:eastAsia="Arial" w:hAnsi="Arial" w:cs="Arial"/>
          <w:sz w:val="22"/>
          <w:szCs w:val="22"/>
        </w:rPr>
      </w:pPr>
      <w:r w:rsidRPr="071BAA7E">
        <w:rPr>
          <w:rFonts w:ascii="Arial" w:eastAsia="Arial" w:hAnsi="Arial" w:cs="Arial"/>
          <w:sz w:val="22"/>
          <w:szCs w:val="22"/>
        </w:rPr>
        <w:t>The third source is the NHS Long Term Workforce Plan, which outlines national recruitment strategies and highlights the importance of international medical graduates in the UK workforce. This document provides useful context about how the NHS intends to address staff shortages and meet future demand. It also discusses the challenges involved in retaining international doctors and ensuring they have adequate training and support. These three sources together provide a solid foundation for understanding both statistical trends and individual experiences related to this issue (GMC, 2023).</w:t>
      </w:r>
    </w:p>
    <w:p w14:paraId="6B14BC4D" w14:textId="77777777" w:rsidR="00172AD1" w:rsidRDefault="00172AD1" w:rsidP="004468F8"/>
    <w:p w14:paraId="1588D6DA" w14:textId="77777777" w:rsidR="004468F8" w:rsidRPr="004468F8" w:rsidRDefault="004468F8" w:rsidP="004468F8">
      <w:pPr>
        <w:pStyle w:val="Heading1"/>
        <w:jc w:val="both"/>
      </w:pPr>
      <w:bookmarkStart w:id="5" w:name="_Toc216371736"/>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3DA72CDB" w14:textId="77777777" w:rsidR="004468F8" w:rsidRDefault="004468F8" w:rsidP="004468F8">
      <w:pPr>
        <w:pStyle w:val="Heading2"/>
        <w:jc w:val="both"/>
        <w:rPr>
          <w:rFonts w:eastAsia="Aptos" w:cs="Arial"/>
          <w:kern w:val="2"/>
          <w:lang w:eastAsia="en-US"/>
          <w14:ligatures w14:val="standardContextual"/>
        </w:rPr>
      </w:pPr>
      <w:bookmarkStart w:id="6" w:name="_Toc216371737"/>
      <w:r w:rsidRPr="004468F8">
        <w:rPr>
          <w:rFonts w:eastAsia="Aptos" w:cs="Arial"/>
          <w:kern w:val="2"/>
          <w:lang w:eastAsia="en-US"/>
          <w14:ligatures w14:val="standardContextual"/>
        </w:rPr>
        <w:t>Give a brief overview of quantitative and qualitative research.</w:t>
      </w:r>
      <w:bookmarkEnd w:id="6"/>
    </w:p>
    <w:p w14:paraId="418E6D9C" w14:textId="77777777" w:rsidR="00FA76C8" w:rsidRPr="001B256E" w:rsidRDefault="00FA76C8" w:rsidP="00FA76C8">
      <w:pPr>
        <w:spacing w:line="360" w:lineRule="auto"/>
        <w:jc w:val="both"/>
        <w:rPr>
          <w:rFonts w:ascii="Arial" w:hAnsi="Arial" w:cs="Arial"/>
          <w:sz w:val="22"/>
          <w:szCs w:val="22"/>
          <w:lang w:eastAsia="en-US"/>
        </w:rPr>
      </w:pPr>
      <w:bookmarkStart w:id="7" w:name="_Toc215884836"/>
      <w:bookmarkStart w:id="8" w:name="_Toc215913886"/>
      <w:bookmarkStart w:id="9" w:name="_Toc215886693"/>
      <w:r w:rsidRPr="001B256E">
        <w:rPr>
          <w:rFonts w:ascii="Arial" w:hAnsi="Arial" w:cs="Arial"/>
          <w:sz w:val="22"/>
          <w:szCs w:val="22"/>
          <w:lang w:eastAsia="en-US"/>
        </w:rPr>
        <w:t>Research methodologies are important because they guide how evidence is collected and analysed. Quantitative research involves gathering numerical data, such as resignation rates, workforce statistics, survey responses, and employment patterns. This method is useful for studying large populations and identifying trends over time. For example, quantitative data can help a researcher measure how many IMGs leave the NHS each year or compare resignation rates between international and UK trained doctors</w:t>
      </w:r>
      <w:r>
        <w:rPr>
          <w:rFonts w:ascii="Arial" w:hAnsi="Arial" w:cs="Arial"/>
          <w:sz w:val="22"/>
          <w:szCs w:val="22"/>
          <w:lang w:eastAsia="en-US"/>
        </w:rPr>
        <w:t xml:space="preserve"> (</w:t>
      </w:r>
      <w:proofErr w:type="spellStart"/>
      <w:r>
        <w:rPr>
          <w:rFonts w:ascii="Arial" w:hAnsi="Arial" w:cs="Arial"/>
          <w:sz w:val="22"/>
          <w:szCs w:val="22"/>
          <w:lang w:eastAsia="en-US"/>
        </w:rPr>
        <w:t>Liapi</w:t>
      </w:r>
      <w:proofErr w:type="spellEnd"/>
      <w:r>
        <w:rPr>
          <w:rFonts w:ascii="Arial" w:hAnsi="Arial" w:cs="Arial"/>
          <w:sz w:val="22"/>
          <w:szCs w:val="22"/>
          <w:lang w:eastAsia="en-US"/>
        </w:rPr>
        <w:t xml:space="preserve"> et al., 2023</w:t>
      </w:r>
      <w:bookmarkEnd w:id="7"/>
      <w:bookmarkEnd w:id="8"/>
      <w:bookmarkEnd w:id="9"/>
      <w:r>
        <w:rPr>
          <w:rFonts w:ascii="Arial" w:hAnsi="Arial" w:cs="Arial"/>
          <w:sz w:val="22"/>
          <w:szCs w:val="22"/>
          <w:lang w:eastAsia="en-US"/>
        </w:rPr>
        <w:t>)</w:t>
      </w:r>
      <w:r w:rsidRPr="001B256E">
        <w:rPr>
          <w:rFonts w:ascii="Arial" w:hAnsi="Arial" w:cs="Arial"/>
          <w:sz w:val="22"/>
          <w:szCs w:val="22"/>
          <w:lang w:eastAsia="en-US"/>
        </w:rPr>
        <w:t>.</w:t>
      </w:r>
      <w:r>
        <w:rPr>
          <w:rFonts w:ascii="Arial" w:hAnsi="Arial" w:cs="Arial"/>
          <w:sz w:val="22"/>
          <w:szCs w:val="22"/>
          <w:lang w:eastAsia="en-US"/>
        </w:rPr>
        <w:t xml:space="preserve"> Quantitative approaches are widely used in healthcare because they support reliable comparison and allow researchers to examine large data sets efficiently (Smajic et al., 2022).</w:t>
      </w:r>
    </w:p>
    <w:p w14:paraId="100FC281" w14:textId="77777777" w:rsidR="00FA76C8" w:rsidRDefault="00FA76C8" w:rsidP="00FA76C8">
      <w:pPr>
        <w:spacing w:line="360" w:lineRule="auto"/>
        <w:jc w:val="both"/>
        <w:rPr>
          <w:rFonts w:ascii="Arial" w:eastAsia="Arial" w:hAnsi="Arial" w:cs="Arial"/>
          <w:sz w:val="22"/>
          <w:szCs w:val="22"/>
        </w:rPr>
      </w:pPr>
      <w:r w:rsidRPr="7D3C53D3">
        <w:rPr>
          <w:rFonts w:ascii="Arial" w:eastAsia="Arial" w:hAnsi="Arial" w:cs="Arial"/>
          <w:sz w:val="22"/>
          <w:szCs w:val="22"/>
        </w:rPr>
        <w:t>In contrast, qualitative research focuses on exploring individual experiences, thoughts, and feelings. It uses open interviews, focus groups, and written responses to understand the personal challenges faced by international doctors. For this topic, qualitative research can provide insight into issues such as discrimination, workplace culture, emotional stress, and difficulties with career progression. These methods help explain the deeper reasons behind why doctors choose to leave, which cannot be understood through numbers alone</w:t>
      </w:r>
      <w:r>
        <w:rPr>
          <w:rFonts w:ascii="Arial" w:eastAsia="Arial" w:hAnsi="Arial" w:cs="Arial"/>
          <w:sz w:val="22"/>
          <w:szCs w:val="22"/>
        </w:rPr>
        <w:t xml:space="preserve"> (Smajic et al., 2022)</w:t>
      </w:r>
      <w:r w:rsidRPr="7D3C53D3">
        <w:rPr>
          <w:rFonts w:ascii="Arial" w:eastAsia="Arial" w:hAnsi="Arial" w:cs="Arial"/>
          <w:sz w:val="22"/>
          <w:szCs w:val="22"/>
        </w:rPr>
        <w:t>.</w:t>
      </w:r>
      <w:r>
        <w:rPr>
          <w:rFonts w:ascii="Arial" w:eastAsia="Arial" w:hAnsi="Arial" w:cs="Arial"/>
          <w:sz w:val="22"/>
          <w:szCs w:val="22"/>
        </w:rPr>
        <w:t xml:space="preserve"> Qualitative approaches are especially valuable in UK health research because they capture the actual experiences of professionals working within complex system </w:t>
      </w:r>
      <w:proofErr w:type="gramStart"/>
      <w:r>
        <w:rPr>
          <w:rFonts w:ascii="Arial" w:eastAsia="Arial" w:hAnsi="Arial" w:cs="Arial"/>
          <w:sz w:val="22"/>
          <w:szCs w:val="22"/>
        </w:rPr>
        <w:t xml:space="preserve">( </w:t>
      </w:r>
      <w:proofErr w:type="spellStart"/>
      <w:r>
        <w:rPr>
          <w:rFonts w:ascii="Arial" w:eastAsia="Arial" w:hAnsi="Arial" w:cs="Arial"/>
          <w:sz w:val="22"/>
          <w:szCs w:val="22"/>
        </w:rPr>
        <w:t>Liapi</w:t>
      </w:r>
      <w:proofErr w:type="spellEnd"/>
      <w:proofErr w:type="gramEnd"/>
      <w:r>
        <w:rPr>
          <w:rFonts w:ascii="Arial" w:eastAsia="Arial" w:hAnsi="Arial" w:cs="Arial"/>
          <w:sz w:val="22"/>
          <w:szCs w:val="22"/>
        </w:rPr>
        <w:t xml:space="preserve"> et al., 2023).</w:t>
      </w:r>
    </w:p>
    <w:p w14:paraId="6971E242" w14:textId="6C557C4B" w:rsidR="00FA76C8" w:rsidRDefault="00FA76C8" w:rsidP="00FA76C8">
      <w:pPr>
        <w:spacing w:line="360" w:lineRule="auto"/>
        <w:jc w:val="both"/>
        <w:rPr>
          <w:rFonts w:ascii="Arial" w:eastAsia="Arial" w:hAnsi="Arial" w:cs="Arial"/>
          <w:sz w:val="22"/>
          <w:szCs w:val="22"/>
        </w:rPr>
      </w:pPr>
      <w:r w:rsidRPr="071BAA7E">
        <w:rPr>
          <w:rFonts w:ascii="Arial" w:eastAsia="Arial" w:hAnsi="Arial" w:cs="Arial"/>
          <w:sz w:val="22"/>
          <w:szCs w:val="22"/>
        </w:rPr>
        <w:lastRenderedPageBreak/>
        <w:t>The main difference between the two is that quantitative research answers, “how many” or “how often,” while qualitative research addresses “why” and “how.” Both methods offer important but different insights. Quantitative research helps identify the scale of the problem,</w:t>
      </w:r>
      <w:r w:rsidRPr="00FA76C8">
        <w:rPr>
          <w:rFonts w:ascii="Arial" w:eastAsia="Arial" w:hAnsi="Arial" w:cs="Arial"/>
          <w:sz w:val="22"/>
          <w:szCs w:val="22"/>
        </w:rPr>
        <w:t xml:space="preserve"> </w:t>
      </w:r>
      <w:r w:rsidRPr="071BAA7E">
        <w:rPr>
          <w:rFonts w:ascii="Arial" w:eastAsia="Arial" w:hAnsi="Arial" w:cs="Arial"/>
          <w:sz w:val="22"/>
          <w:szCs w:val="22"/>
        </w:rPr>
        <w:t>whereas qualitative research helps explain the human side of the issue (</w:t>
      </w:r>
      <w:r>
        <w:rPr>
          <w:rFonts w:ascii="Arial" w:eastAsia="Arial" w:hAnsi="Arial" w:cs="Arial"/>
          <w:sz w:val="22"/>
          <w:szCs w:val="22"/>
        </w:rPr>
        <w:t xml:space="preserve">Smajic </w:t>
      </w:r>
      <w:r w:rsidRPr="003F2533">
        <w:rPr>
          <w:rFonts w:ascii="Arial" w:eastAsia="Arial" w:hAnsi="Arial" w:cs="Arial"/>
          <w:i/>
          <w:iCs/>
          <w:sz w:val="22"/>
          <w:szCs w:val="22"/>
        </w:rPr>
        <w:t>et al</w:t>
      </w:r>
      <w:r w:rsidRPr="071BAA7E">
        <w:rPr>
          <w:rFonts w:ascii="Arial" w:eastAsia="Arial" w:hAnsi="Arial" w:cs="Arial"/>
          <w:sz w:val="22"/>
          <w:szCs w:val="22"/>
        </w:rPr>
        <w:t>, 202</w:t>
      </w:r>
      <w:r>
        <w:rPr>
          <w:rFonts w:ascii="Arial" w:eastAsia="Arial" w:hAnsi="Arial" w:cs="Arial"/>
          <w:sz w:val="22"/>
          <w:szCs w:val="22"/>
        </w:rPr>
        <w:t>2</w:t>
      </w:r>
      <w:r w:rsidRPr="071BAA7E">
        <w:rPr>
          <w:rFonts w:ascii="Arial" w:eastAsia="Arial" w:hAnsi="Arial" w:cs="Arial"/>
          <w:sz w:val="22"/>
          <w:szCs w:val="22"/>
        </w:rPr>
        <w:t>).</w:t>
      </w:r>
      <w:r>
        <w:rPr>
          <w:rFonts w:ascii="Arial" w:eastAsia="Arial" w:hAnsi="Arial" w:cs="Arial"/>
          <w:sz w:val="22"/>
          <w:szCs w:val="22"/>
        </w:rPr>
        <w:t xml:space="preserve"> Using both forms together is recommended in mixed methods healthcare studies because it improves accuracy and provides a fuller understanding of workforce issues (</w:t>
      </w:r>
      <w:proofErr w:type="spellStart"/>
      <w:r>
        <w:rPr>
          <w:rFonts w:ascii="Arial" w:eastAsia="Arial" w:hAnsi="Arial" w:cs="Arial"/>
          <w:sz w:val="22"/>
          <w:szCs w:val="22"/>
        </w:rPr>
        <w:t>Liapi</w:t>
      </w:r>
      <w:proofErr w:type="spellEnd"/>
      <w:r>
        <w:rPr>
          <w:rFonts w:ascii="Arial" w:eastAsia="Arial" w:hAnsi="Arial" w:cs="Arial"/>
          <w:sz w:val="22"/>
          <w:szCs w:val="22"/>
        </w:rPr>
        <w:t xml:space="preserve"> et al., 2023).</w:t>
      </w:r>
    </w:p>
    <w:p w14:paraId="69504407" w14:textId="77777777" w:rsidR="004468F8" w:rsidRPr="004468F8" w:rsidRDefault="004468F8" w:rsidP="004468F8">
      <w:pPr>
        <w:rPr>
          <w:lang w:eastAsia="en-US"/>
        </w:rPr>
      </w:pPr>
    </w:p>
    <w:p w14:paraId="474EB668" w14:textId="77777777" w:rsidR="004468F8" w:rsidRPr="0070379F" w:rsidRDefault="004468F8" w:rsidP="004468F8">
      <w:pPr>
        <w:pStyle w:val="Heading2"/>
        <w:rPr>
          <w:rFonts w:eastAsia="Aptos"/>
          <w:b/>
          <w:bCs/>
          <w:lang w:eastAsia="en-US"/>
        </w:rPr>
      </w:pPr>
      <w:bookmarkStart w:id="10" w:name="_Toc216371738"/>
      <w:r w:rsidRPr="00A37C5B">
        <w:rPr>
          <w:rFonts w:eastAsia="Aptos"/>
          <w:lang w:eastAsia="en-US"/>
        </w:rPr>
        <w:t>What type of research methodology will you use for your research and why?</w:t>
      </w:r>
      <w:bookmarkEnd w:id="10"/>
    </w:p>
    <w:p w14:paraId="1EAA3256" w14:textId="77777777" w:rsidR="00FA76C8" w:rsidRPr="00B8786A" w:rsidRDefault="00FA76C8" w:rsidP="00FA76C8">
      <w:pPr>
        <w:spacing w:line="360" w:lineRule="auto"/>
        <w:jc w:val="both"/>
        <w:rPr>
          <w:rFonts w:ascii="Arial" w:eastAsia="Arial" w:hAnsi="Arial" w:cs="Arial"/>
          <w:sz w:val="22"/>
          <w:szCs w:val="22"/>
        </w:rPr>
      </w:pPr>
      <w:r w:rsidRPr="7D3C53D3">
        <w:rPr>
          <w:rFonts w:ascii="Arial" w:eastAsia="Arial" w:hAnsi="Arial" w:cs="Arial"/>
          <w:sz w:val="22"/>
          <w:szCs w:val="22"/>
        </w:rPr>
        <w:t>For this report, a mixed-methods approach is the most appropriate choice. This approach combines numerical data from quantitative research with personal experiences captured through qualitative methods. Using both types of data provides fuller and more balanced understanding of why international doctors are leaving the UK. The mixed methods approach also strengthens the findings by allowing the researcher to verify patterns identified in statistics with real experiences from individual doctors (</w:t>
      </w:r>
      <w:r>
        <w:rPr>
          <w:rFonts w:ascii="Arial" w:eastAsia="Arial" w:hAnsi="Arial" w:cs="Arial"/>
          <w:sz w:val="22"/>
          <w:szCs w:val="22"/>
        </w:rPr>
        <w:t xml:space="preserve">Smajic </w:t>
      </w:r>
      <w:r w:rsidRPr="003F2533">
        <w:rPr>
          <w:rFonts w:ascii="Arial" w:eastAsia="Arial" w:hAnsi="Arial" w:cs="Arial"/>
          <w:i/>
          <w:iCs/>
          <w:sz w:val="22"/>
          <w:szCs w:val="22"/>
        </w:rPr>
        <w:t>et al</w:t>
      </w:r>
      <w:r w:rsidRPr="7D3C53D3">
        <w:rPr>
          <w:rFonts w:ascii="Arial" w:eastAsia="Arial" w:hAnsi="Arial" w:cs="Arial"/>
          <w:sz w:val="22"/>
          <w:szCs w:val="22"/>
        </w:rPr>
        <w:t>, 202</w:t>
      </w:r>
      <w:r>
        <w:rPr>
          <w:rFonts w:ascii="Arial" w:eastAsia="Arial" w:hAnsi="Arial" w:cs="Arial"/>
          <w:sz w:val="22"/>
          <w:szCs w:val="22"/>
        </w:rPr>
        <w:t>2</w:t>
      </w:r>
      <w:r w:rsidRPr="7D3C53D3">
        <w:rPr>
          <w:rFonts w:ascii="Arial" w:eastAsia="Arial" w:hAnsi="Arial" w:cs="Arial"/>
          <w:sz w:val="22"/>
          <w:szCs w:val="22"/>
        </w:rPr>
        <w:t>).</w:t>
      </w:r>
    </w:p>
    <w:p w14:paraId="1D2A7596" w14:textId="77777777" w:rsidR="004468F8" w:rsidRDefault="004468F8">
      <w:pPr>
        <w:spacing w:line="360" w:lineRule="auto"/>
        <w:jc w:val="both"/>
        <w:rPr>
          <w:rFonts w:ascii="Arial" w:eastAsia="Arial" w:hAnsi="Arial" w:cs="Arial"/>
          <w:sz w:val="22"/>
          <w:szCs w:val="22"/>
        </w:rPr>
      </w:pPr>
    </w:p>
    <w:p w14:paraId="00EDB6B1" w14:textId="77777777" w:rsidR="00530E16" w:rsidRDefault="004468F8">
      <w:pPr>
        <w:pStyle w:val="Heading1"/>
        <w:jc w:val="both"/>
      </w:pPr>
      <w:bookmarkStart w:id="11" w:name="_Toc216371739"/>
      <w:r>
        <w:t>Task 3: Data Collection</w:t>
      </w:r>
      <w:bookmarkEnd w:id="11"/>
      <w:r>
        <w:t xml:space="preserve"> </w:t>
      </w:r>
    </w:p>
    <w:p w14:paraId="3A864472" w14:textId="77777777" w:rsidR="004468F8" w:rsidRDefault="00BA0043" w:rsidP="004468F8">
      <w:pPr>
        <w:pStyle w:val="Heading2"/>
        <w:rPr>
          <w:rFonts w:eastAsia="Aptos"/>
          <w:lang w:eastAsia="en-US"/>
        </w:rPr>
      </w:pPr>
      <w:bookmarkStart w:id="12" w:name="_Toc216371740"/>
      <w:r>
        <w:rPr>
          <w:rFonts w:eastAsia="Aptos"/>
          <w:lang w:eastAsia="en-US"/>
        </w:rPr>
        <w:t>Overview of primary and secondary data collection</w:t>
      </w:r>
      <w:bookmarkEnd w:id="12"/>
    </w:p>
    <w:p w14:paraId="3A7BBE11" w14:textId="7C38B320" w:rsidR="00FA76C8" w:rsidRDefault="00FA76C8" w:rsidP="00FA76C8">
      <w:pPr>
        <w:spacing w:line="360" w:lineRule="auto"/>
        <w:jc w:val="both"/>
        <w:rPr>
          <w:rFonts w:ascii="Arial" w:eastAsia="Arial" w:hAnsi="Arial" w:cs="Arial"/>
          <w:sz w:val="22"/>
          <w:szCs w:val="22"/>
          <w:lang w:eastAsia="en-US"/>
        </w:rPr>
      </w:pPr>
      <w:r w:rsidRPr="68D0862A">
        <w:rPr>
          <w:rFonts w:ascii="Arial" w:eastAsia="Arial" w:hAnsi="Arial" w:cs="Arial"/>
          <w:sz w:val="22"/>
          <w:szCs w:val="22"/>
          <w:lang w:eastAsia="en-US"/>
        </w:rPr>
        <w:t xml:space="preserve">Data collection is a key part of the research process. Primary data refers to information gathered </w:t>
      </w:r>
      <w:r w:rsidR="00634B89">
        <w:rPr>
          <w:rFonts w:ascii="Arial" w:eastAsia="Arial" w:hAnsi="Arial" w:cs="Arial"/>
          <w:sz w:val="22"/>
          <w:szCs w:val="22"/>
          <w:lang w:eastAsia="en-US"/>
        </w:rPr>
        <w:t>personally</w:t>
      </w:r>
      <w:r w:rsidRPr="68D0862A">
        <w:rPr>
          <w:rFonts w:ascii="Arial" w:eastAsia="Arial" w:hAnsi="Arial" w:cs="Arial"/>
          <w:sz w:val="22"/>
          <w:szCs w:val="22"/>
          <w:lang w:eastAsia="en-US"/>
        </w:rPr>
        <w:t xml:space="preserve"> by the researcher. This can include interviews, surveys, or observations. If a researcher conducted interviews with IMGs about their experiences in the NHS, this would count as primary data. While primary data can offer </w:t>
      </w:r>
      <w:r w:rsidR="00832072">
        <w:rPr>
          <w:rFonts w:ascii="Arial" w:eastAsia="Arial" w:hAnsi="Arial" w:cs="Arial"/>
          <w:sz w:val="22"/>
          <w:szCs w:val="22"/>
          <w:lang w:eastAsia="en-US"/>
        </w:rPr>
        <w:t>plenty</w:t>
      </w:r>
      <w:r w:rsidR="00895F33">
        <w:rPr>
          <w:rFonts w:ascii="Arial" w:eastAsia="Arial" w:hAnsi="Arial" w:cs="Arial"/>
          <w:sz w:val="22"/>
          <w:szCs w:val="22"/>
          <w:lang w:eastAsia="en-US"/>
        </w:rPr>
        <w:t xml:space="preserve"> of</w:t>
      </w:r>
      <w:r w:rsidRPr="68D0862A">
        <w:rPr>
          <w:rFonts w:ascii="Arial" w:eastAsia="Arial" w:hAnsi="Arial" w:cs="Arial"/>
          <w:sz w:val="22"/>
          <w:szCs w:val="22"/>
          <w:lang w:eastAsia="en-US"/>
        </w:rPr>
        <w:t xml:space="preserve"> detail and personal insight, it can also be time consuming to collect and may require ethical approval. While secondary data refers to information that has already been collected by an organisation. Examples include GMC workforce statistics, BMA surveys, NHS reports, and previously published academic research. Secondary data is often easier to access, less expensive, and available in massive quantities. For this topic, secondary data is particularly helpful because detailed information already exists about the number of IMGs leaving the UK and the reasons they report. Using secondary data helps the researcher analyse credible information from trusted sources, making it an efficient and appropriate choice for this study (NHS England, 2023).</w:t>
      </w:r>
    </w:p>
    <w:p w14:paraId="4BFCA055" w14:textId="4CFDAA51" w:rsidR="004468F8" w:rsidRPr="009F60D1" w:rsidRDefault="004468F8" w:rsidP="004468F8">
      <w:pPr>
        <w:rPr>
          <w:rFonts w:ascii="Arial" w:hAnsi="Arial" w:cs="Arial"/>
          <w:color w:val="FF0000"/>
          <w:sz w:val="22"/>
          <w:szCs w:val="22"/>
          <w:lang w:eastAsia="en-US"/>
        </w:rPr>
      </w:pPr>
    </w:p>
    <w:p w14:paraId="33AF453C" w14:textId="77777777" w:rsidR="004468F8" w:rsidRPr="004468F8" w:rsidRDefault="004468F8" w:rsidP="004468F8">
      <w:pPr>
        <w:rPr>
          <w:lang w:eastAsia="en-US"/>
        </w:rPr>
      </w:pPr>
    </w:p>
    <w:p w14:paraId="65FFDD65" w14:textId="77777777" w:rsidR="004468F8" w:rsidRDefault="004468F8" w:rsidP="004468F8">
      <w:pPr>
        <w:pStyle w:val="Heading2"/>
        <w:rPr>
          <w:rFonts w:eastAsia="Aptos"/>
          <w:lang w:eastAsia="en-US"/>
        </w:rPr>
      </w:pPr>
      <w:bookmarkStart w:id="13" w:name="_Toc216371741"/>
      <w:r w:rsidRPr="00231A3C">
        <w:rPr>
          <w:rFonts w:eastAsia="Aptos"/>
          <w:lang w:eastAsia="en-US"/>
        </w:rPr>
        <w:lastRenderedPageBreak/>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3"/>
    </w:p>
    <w:p w14:paraId="622C1FE2" w14:textId="3AEDB5E4" w:rsidR="00FA76C8" w:rsidRDefault="00FA76C8" w:rsidP="00FA76C8">
      <w:pPr>
        <w:spacing w:line="360" w:lineRule="auto"/>
        <w:jc w:val="both"/>
        <w:rPr>
          <w:rFonts w:ascii="Arial" w:eastAsia="Arial" w:hAnsi="Arial" w:cs="Arial"/>
          <w:sz w:val="22"/>
          <w:szCs w:val="22"/>
        </w:rPr>
      </w:pPr>
      <w:r w:rsidRPr="7D3C53D3">
        <w:rPr>
          <w:rFonts w:ascii="Arial" w:eastAsia="Arial" w:hAnsi="Arial" w:cs="Arial"/>
          <w:sz w:val="22"/>
          <w:szCs w:val="22"/>
        </w:rPr>
        <w:t>For this research report, secondary data is the most appropriate form of data collection. Organisations such as the GMC, BMA, and NHS England have already gathered reliable workforce statistics and survey responses. Using this data allows the researcher to gain a broad understanding of the issue without needing to carry out new interviews or surveys. Secondary data also supports the mixed methods approach because it contains both numerical information and descriptive findings. This combination helps build a complete picture of why IMGs are choosing to leave the UK (Migration Observatory, 2023).</w:t>
      </w:r>
    </w:p>
    <w:p w14:paraId="287C9F93" w14:textId="77777777" w:rsidR="004468F8" w:rsidRDefault="004468F8" w:rsidP="004468F8"/>
    <w:p w14:paraId="500293AE" w14:textId="77777777" w:rsidR="00530E16" w:rsidRDefault="004468F8">
      <w:pPr>
        <w:pStyle w:val="Heading1"/>
        <w:jc w:val="both"/>
      </w:pPr>
      <w:bookmarkStart w:id="14" w:name="_Toc216371742"/>
      <w:r>
        <w:t>Conclusion</w:t>
      </w:r>
      <w:bookmarkEnd w:id="14"/>
    </w:p>
    <w:p w14:paraId="14FC7BB5" w14:textId="3B7FCB6F" w:rsidR="00FA76C8" w:rsidRDefault="00FA76C8" w:rsidP="00FA76C8">
      <w:pPr>
        <w:spacing w:line="360" w:lineRule="auto"/>
        <w:jc w:val="both"/>
        <w:rPr>
          <w:rFonts w:ascii="Arial" w:eastAsia="Arial" w:hAnsi="Arial" w:cs="Arial"/>
          <w:sz w:val="22"/>
          <w:szCs w:val="22"/>
        </w:rPr>
      </w:pPr>
      <w:r w:rsidRPr="68D0862A">
        <w:rPr>
          <w:rFonts w:ascii="Arial" w:eastAsia="Arial" w:hAnsi="Arial" w:cs="Arial"/>
          <w:sz w:val="22"/>
          <w:szCs w:val="22"/>
        </w:rPr>
        <w:t xml:space="preserve">This report has examined why increasing numbers of overseas trained doctors are leaving the UK and how this trend affects the wider health and social care system. The findings highlight several concerns, including staff shortages, rising pressure on remaining healthcare workers, and difficulties maintaining consistent patient care. Many IMGs choose to move abroad due to demanding workloads, limited career progression, and more attractive opportunities in other countries. On the other hand, understanding this issue is important because international doctors play a significant role in keeping NHS services running. Research into their experiences helps identify the problems that influence their decisions to leave, which can then guide improvements in support, training, and workplace culture. A mixed methods </w:t>
      </w:r>
      <w:r w:rsidR="006E5D30">
        <w:rPr>
          <w:rFonts w:ascii="Arial" w:eastAsia="Arial" w:hAnsi="Arial" w:cs="Arial"/>
          <w:sz w:val="22"/>
          <w:szCs w:val="22"/>
        </w:rPr>
        <w:t>commence</w:t>
      </w:r>
      <w:r w:rsidRPr="68D0862A">
        <w:rPr>
          <w:rFonts w:ascii="Arial" w:eastAsia="Arial" w:hAnsi="Arial" w:cs="Arial"/>
          <w:sz w:val="22"/>
          <w:szCs w:val="22"/>
        </w:rPr>
        <w:t xml:space="preserve"> was shown to be the most appropriate way to explore the problem, as it brings together numerical information and personal viewpoints. Secondary data was identified as the most practical and reliable </w:t>
      </w:r>
      <w:r w:rsidR="00DD671D">
        <w:rPr>
          <w:rFonts w:ascii="Arial" w:eastAsia="Arial" w:hAnsi="Arial" w:cs="Arial"/>
          <w:sz w:val="22"/>
          <w:szCs w:val="22"/>
        </w:rPr>
        <w:t>alternative</w:t>
      </w:r>
      <w:r w:rsidRPr="68D0862A">
        <w:rPr>
          <w:rFonts w:ascii="Arial" w:eastAsia="Arial" w:hAnsi="Arial" w:cs="Arial"/>
          <w:sz w:val="22"/>
          <w:szCs w:val="22"/>
        </w:rPr>
        <w:t xml:space="preserve"> for this report due to the amount of information already co</w:t>
      </w:r>
      <w:r w:rsidR="001A4FEE">
        <w:rPr>
          <w:rFonts w:ascii="Arial" w:eastAsia="Arial" w:hAnsi="Arial" w:cs="Arial"/>
          <w:sz w:val="22"/>
          <w:szCs w:val="22"/>
        </w:rPr>
        <w:t>ntrolled</w:t>
      </w:r>
      <w:r w:rsidRPr="68D0862A">
        <w:rPr>
          <w:rFonts w:ascii="Arial" w:eastAsia="Arial" w:hAnsi="Arial" w:cs="Arial"/>
          <w:sz w:val="22"/>
          <w:szCs w:val="22"/>
        </w:rPr>
        <w:t xml:space="preserve"> by trusted organisations. Strengthening re</w:t>
      </w:r>
      <w:r w:rsidR="000C4DED">
        <w:rPr>
          <w:rFonts w:ascii="Arial" w:eastAsia="Arial" w:hAnsi="Arial" w:cs="Arial"/>
          <w:sz w:val="22"/>
          <w:szCs w:val="22"/>
        </w:rPr>
        <w:t>call</w:t>
      </w:r>
      <w:r w:rsidRPr="68D0862A">
        <w:rPr>
          <w:rFonts w:ascii="Arial" w:eastAsia="Arial" w:hAnsi="Arial" w:cs="Arial"/>
          <w:sz w:val="22"/>
          <w:szCs w:val="22"/>
        </w:rPr>
        <w:t xml:space="preserve"> strategies is essential for workforce planning and ensuring that the NHS can continue to provide safe and effective care in the future.</w:t>
      </w:r>
    </w:p>
    <w:p w14:paraId="28A1DDB8" w14:textId="77777777" w:rsidR="004468F8" w:rsidRDefault="004468F8" w:rsidP="004468F8"/>
    <w:p w14:paraId="69F94B09" w14:textId="77777777" w:rsidR="00FA76C8" w:rsidRDefault="00FA76C8" w:rsidP="004468F8"/>
    <w:p w14:paraId="41F7818F" w14:textId="77777777" w:rsidR="00FA76C8" w:rsidRDefault="00FA76C8" w:rsidP="004468F8"/>
    <w:p w14:paraId="059B8D84" w14:textId="77777777" w:rsidR="00FA76C8" w:rsidRDefault="00FA76C8" w:rsidP="004468F8"/>
    <w:p w14:paraId="2C0F31F8" w14:textId="77777777" w:rsidR="00FA76C8" w:rsidRDefault="00FA76C8" w:rsidP="004468F8"/>
    <w:p w14:paraId="33ED8B1C" w14:textId="77777777" w:rsidR="00FA76C8" w:rsidRDefault="00FA76C8" w:rsidP="004468F8"/>
    <w:p w14:paraId="27C10161" w14:textId="77777777" w:rsidR="00FA76C8" w:rsidRPr="004468F8" w:rsidRDefault="00FA76C8" w:rsidP="004468F8"/>
    <w:p w14:paraId="64C3A3FF" w14:textId="77777777" w:rsidR="00530E16" w:rsidRDefault="004468F8">
      <w:pPr>
        <w:pStyle w:val="Heading1"/>
      </w:pPr>
      <w:bookmarkStart w:id="15" w:name="_Toc216371743"/>
      <w:r>
        <w:t>References</w:t>
      </w:r>
      <w:bookmarkEnd w:id="15"/>
    </w:p>
    <w:p w14:paraId="45A96AF4" w14:textId="77777777" w:rsidR="00FA76C8" w:rsidRPr="00756056" w:rsidRDefault="00FA76C8" w:rsidP="00FA76C8">
      <w:pPr>
        <w:pStyle w:val="NoSpacing"/>
        <w:rPr>
          <w:rFonts w:eastAsia="Segoe UI Historic"/>
        </w:rPr>
      </w:pPr>
      <w:r w:rsidRPr="00756056">
        <w:t xml:space="preserve">British Medical Association (BMA) (2023) </w:t>
      </w:r>
      <w:r w:rsidRPr="00756056">
        <w:rPr>
          <w:i/>
          <w:iCs/>
        </w:rPr>
        <w:t>Overseas doctors and workforce challenges.</w:t>
      </w:r>
      <w:r w:rsidRPr="00756056">
        <w:t xml:space="preserve"> Available at: </w:t>
      </w:r>
      <w:hyperlink r:id="rId18">
        <w:r w:rsidRPr="00756056">
          <w:rPr>
            <w:rStyle w:val="Hyperlink"/>
            <w:rFonts w:ascii="Arial" w:eastAsia="Arial" w:hAnsi="Arial" w:cs="Arial"/>
            <w:color w:val="auto"/>
          </w:rPr>
          <w:t>https://www.</w:t>
        </w:r>
        <w:r w:rsidRPr="00756056">
          <w:rPr>
            <w:rStyle w:val="Hyperlink"/>
            <w:rFonts w:ascii="Arial" w:eastAsia="Segoe UI Historic" w:hAnsi="Arial" w:cs="Arial"/>
            <w:color w:val="auto"/>
          </w:rPr>
          <w:t>bma.org.uk/</w:t>
        </w:r>
      </w:hyperlink>
      <w:r w:rsidRPr="00756056">
        <w:rPr>
          <w:rFonts w:eastAsia="Segoe UI Historic"/>
        </w:rPr>
        <w:t xml:space="preserve"> (Accessed: 12 December 2025).</w:t>
      </w:r>
    </w:p>
    <w:p w14:paraId="0F78FF24" w14:textId="77777777" w:rsidR="00FA76C8" w:rsidRPr="00EC440B" w:rsidRDefault="00FA76C8" w:rsidP="00FA76C8">
      <w:pPr>
        <w:pStyle w:val="NoSpacing"/>
      </w:pPr>
    </w:p>
    <w:p w14:paraId="2FE0BC28" w14:textId="77777777" w:rsidR="00FA76C8" w:rsidRDefault="00FA76C8" w:rsidP="00FA76C8">
      <w:pPr>
        <w:pStyle w:val="NoSpacing"/>
      </w:pPr>
      <w:r w:rsidRPr="00756056">
        <w:t xml:space="preserve">Department of Health and Social Care (DHSC) (2023) </w:t>
      </w:r>
      <w:r w:rsidRPr="00756056">
        <w:rPr>
          <w:i/>
          <w:iCs/>
        </w:rPr>
        <w:t>NHS workforce planning and retention guidance.</w:t>
      </w:r>
      <w:r w:rsidRPr="00756056">
        <w:t xml:space="preserve"> Available at: </w:t>
      </w:r>
      <w:hyperlink r:id="rId19">
        <w:r w:rsidRPr="00756056">
          <w:rPr>
            <w:rStyle w:val="Hyperlink"/>
            <w:rFonts w:ascii="Arial" w:eastAsia="Arial" w:hAnsi="Arial" w:cs="Arial"/>
            <w:color w:val="auto"/>
          </w:rPr>
          <w:t>https://www.gov.uk/</w:t>
        </w:r>
      </w:hyperlink>
      <w:r w:rsidRPr="00756056">
        <w:t xml:space="preserve"> (</w:t>
      </w:r>
      <w:r w:rsidRPr="00EC440B">
        <w:t xml:space="preserve">Accessed: 12 December 2025). </w:t>
      </w:r>
    </w:p>
    <w:p w14:paraId="5B9F0739" w14:textId="77777777" w:rsidR="00FA76C8" w:rsidRPr="00EC440B" w:rsidRDefault="00FA76C8" w:rsidP="00FA76C8">
      <w:pPr>
        <w:pStyle w:val="NoSpacing"/>
        <w:rPr>
          <w:rFonts w:eastAsia="Segoe UI Historic"/>
        </w:rPr>
      </w:pPr>
    </w:p>
    <w:p w14:paraId="7EE4F47D" w14:textId="77777777" w:rsidR="00FA76C8" w:rsidRDefault="00FA76C8" w:rsidP="00FA76C8">
      <w:pPr>
        <w:pStyle w:val="NoSpacing"/>
      </w:pPr>
      <w:r w:rsidRPr="00756056">
        <w:t>General Medical Council (GMC) (2023)</w:t>
      </w:r>
      <w:r w:rsidRPr="00756056">
        <w:rPr>
          <w:i/>
          <w:iCs/>
        </w:rPr>
        <w:t xml:space="preserve"> The state of medical education and practice in the UK: Workforce report.</w:t>
      </w:r>
      <w:r w:rsidRPr="00756056">
        <w:t xml:space="preserve"> Available at: </w:t>
      </w:r>
      <w:hyperlink r:id="rId20">
        <w:r w:rsidRPr="00756056">
          <w:rPr>
            <w:rStyle w:val="Hyperlink"/>
            <w:rFonts w:ascii="Arial" w:eastAsia="Arial" w:hAnsi="Arial" w:cs="Arial"/>
            <w:color w:val="auto"/>
          </w:rPr>
          <w:t>https://www.gmc-uk.org/</w:t>
        </w:r>
      </w:hyperlink>
      <w:r w:rsidRPr="071BAA7E">
        <w:t xml:space="preserve"> (Accessed: 12 December 2025). </w:t>
      </w:r>
    </w:p>
    <w:p w14:paraId="308456FF" w14:textId="77777777" w:rsidR="00FA76C8" w:rsidRDefault="00FA76C8" w:rsidP="00FA76C8">
      <w:pPr>
        <w:pStyle w:val="NoSpacing"/>
      </w:pPr>
    </w:p>
    <w:p w14:paraId="600A4A94" w14:textId="77777777" w:rsidR="00FA76C8" w:rsidRDefault="00FA76C8" w:rsidP="00FA76C8">
      <w:pPr>
        <w:pStyle w:val="NoSpacing"/>
      </w:pPr>
      <w:r w:rsidRPr="002B6204">
        <w:t>LIAPI, F., CHATER, A.M., KENNY, T., ANDERSON, J., RANDHAWA, G. and PAPPAS, Y., 2023. Evaluating step-down, intermediate care programme in Buckinghamshire, UK: a mixed methods study. </w:t>
      </w:r>
      <w:r w:rsidRPr="002B6204">
        <w:rPr>
          <w:i/>
          <w:iCs/>
        </w:rPr>
        <w:t>BMC Public Health, </w:t>
      </w:r>
      <w:r w:rsidRPr="002B6204">
        <w:rPr>
          <w:b/>
          <w:bCs/>
        </w:rPr>
        <w:t>23</w:t>
      </w:r>
      <w:r w:rsidRPr="002B6204">
        <w:t>, pp. 1-11.</w:t>
      </w:r>
    </w:p>
    <w:p w14:paraId="05DBF6B9" w14:textId="77777777" w:rsidR="00FA76C8" w:rsidRPr="00EC440B" w:rsidRDefault="00FA76C8" w:rsidP="00FA76C8">
      <w:pPr>
        <w:pStyle w:val="NoSpacing"/>
      </w:pPr>
    </w:p>
    <w:p w14:paraId="6294BA59" w14:textId="77777777" w:rsidR="00FA76C8" w:rsidRPr="00756056" w:rsidRDefault="00FA76C8" w:rsidP="00FA76C8">
      <w:pPr>
        <w:pStyle w:val="NoSpacing"/>
      </w:pPr>
      <w:r w:rsidRPr="00756056">
        <w:t>Migration Observatory (2023)</w:t>
      </w:r>
      <w:r w:rsidRPr="00756056">
        <w:rPr>
          <w:i/>
          <w:iCs/>
        </w:rPr>
        <w:t xml:space="preserve"> Migrant health workers in the UK: Patterns and trends.</w:t>
      </w:r>
      <w:r w:rsidRPr="00756056">
        <w:t xml:space="preserve"> University of Oxford. Available at: </w:t>
      </w:r>
      <w:hyperlink r:id="rId21">
        <w:r w:rsidRPr="00756056">
          <w:rPr>
            <w:rStyle w:val="Hyperlink"/>
            <w:rFonts w:ascii="Arial" w:eastAsia="Arial" w:hAnsi="Arial" w:cs="Arial"/>
            <w:color w:val="auto"/>
          </w:rPr>
          <w:t>https://migrationobservatory.ox.ac.uk/</w:t>
        </w:r>
      </w:hyperlink>
      <w:r w:rsidRPr="00756056">
        <w:t xml:space="preserve"> (Accessed: 12 December 2025). </w:t>
      </w:r>
    </w:p>
    <w:p w14:paraId="7EBDC970" w14:textId="77777777" w:rsidR="00FA76C8" w:rsidRPr="00EC440B" w:rsidRDefault="00FA76C8" w:rsidP="00FA76C8">
      <w:pPr>
        <w:pStyle w:val="NoSpacing"/>
      </w:pPr>
    </w:p>
    <w:p w14:paraId="51E5B71C" w14:textId="77777777" w:rsidR="00FA76C8" w:rsidRDefault="00FA76C8" w:rsidP="00FA76C8">
      <w:pPr>
        <w:pStyle w:val="NoSpacing"/>
      </w:pPr>
      <w:r w:rsidRPr="00756056">
        <w:t>NHS England (2023)</w:t>
      </w:r>
      <w:r w:rsidRPr="00756056">
        <w:rPr>
          <w:i/>
          <w:iCs/>
        </w:rPr>
        <w:t xml:space="preserve"> Long Term Workforce Plan.</w:t>
      </w:r>
      <w:r w:rsidRPr="00756056">
        <w:t xml:space="preserve"> Available at: </w:t>
      </w:r>
      <w:hyperlink r:id="rId22" w:history="1">
        <w:r w:rsidRPr="006E0817">
          <w:rPr>
            <w:rStyle w:val="Hyperlink"/>
            <w:rFonts w:ascii="Arial" w:eastAsia="Arial" w:hAnsi="Arial" w:cs="Arial"/>
            <w:color w:val="auto"/>
          </w:rPr>
          <w:t>https://www.england.nhs.uk/</w:t>
        </w:r>
      </w:hyperlink>
      <w:r w:rsidRPr="006E0817">
        <w:t xml:space="preserve"> </w:t>
      </w:r>
      <w:r w:rsidRPr="00756056">
        <w:t>(Accessed:12 December 2025).</w:t>
      </w:r>
    </w:p>
    <w:p w14:paraId="74AE9CE3" w14:textId="77777777" w:rsidR="00FA76C8" w:rsidRDefault="00FA76C8" w:rsidP="00FA76C8">
      <w:pPr>
        <w:pStyle w:val="NoSpacing"/>
      </w:pPr>
    </w:p>
    <w:p w14:paraId="69C5A9FF" w14:textId="1D5D3AC6" w:rsidR="00FA76C8" w:rsidRPr="00756056" w:rsidRDefault="00FA76C8" w:rsidP="00FA76C8">
      <w:pPr>
        <w:pStyle w:val="NoSpacing"/>
      </w:pPr>
      <w:r w:rsidRPr="009E7ECE">
        <w:t>SMAJIC, E., AVDIC, D., PASIC, A., PRCIC, A. and STANCIC, M., 2022. Mixed Methodology of Scientific Research in Healthcare. </w:t>
      </w:r>
      <w:r w:rsidRPr="009E7ECE">
        <w:rPr>
          <w:i/>
          <w:iCs/>
        </w:rPr>
        <w:t>Acta Informatica Medica, </w:t>
      </w:r>
      <w:r w:rsidRPr="009E7ECE">
        <w:rPr>
          <w:b/>
          <w:bCs/>
        </w:rPr>
        <w:t>30</w:t>
      </w:r>
      <w:r w:rsidRPr="009E7ECE">
        <w:t>(1), pp. 57-60.</w:t>
      </w:r>
      <w:r w:rsidRPr="00756056">
        <w:br/>
      </w:r>
    </w:p>
    <w:p w14:paraId="40776AC4" w14:textId="2F7AA60C" w:rsidR="00530E16" w:rsidRPr="007637E9" w:rsidRDefault="00530E16" w:rsidP="00FA76C8">
      <w:pPr>
        <w:rPr>
          <w:rFonts w:ascii="Arial" w:eastAsia="Arial" w:hAnsi="Arial" w:cs="Arial"/>
          <w:color w:val="FF0000"/>
          <w:sz w:val="22"/>
          <w:szCs w:val="22"/>
        </w:rPr>
      </w:pPr>
    </w:p>
    <w:sectPr w:rsidR="00530E16" w:rsidRPr="007637E9" w:rsidSect="00722EFE">
      <w:headerReference w:type="default" r:id="rId23"/>
      <w:headerReference w:type="first" r:id="rId24"/>
      <w:footerReference w:type="first" r:id="rId2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4B000" w14:textId="77777777" w:rsidR="0031177C" w:rsidRDefault="0031177C" w:rsidP="002A1842">
      <w:pPr>
        <w:spacing w:after="0" w:line="240" w:lineRule="auto"/>
      </w:pPr>
      <w:r>
        <w:separator/>
      </w:r>
    </w:p>
  </w:endnote>
  <w:endnote w:type="continuationSeparator" w:id="0">
    <w:p w14:paraId="61B28D1C" w14:textId="77777777" w:rsidR="0031177C" w:rsidRDefault="0031177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052CE4"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5397F979"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2D2B2B3" w14:paraId="7CC2B0EF" w14:textId="77777777" w:rsidTr="62D2B2B3">
      <w:trPr>
        <w:trHeight w:val="300"/>
      </w:trPr>
      <w:tc>
        <w:tcPr>
          <w:tcW w:w="3005" w:type="dxa"/>
        </w:tcPr>
        <w:p w14:paraId="0F28ED88" w14:textId="03B132E1" w:rsidR="62D2B2B3" w:rsidRDefault="62D2B2B3" w:rsidP="62D2B2B3">
          <w:pPr>
            <w:pStyle w:val="Header"/>
            <w:ind w:left="-115"/>
          </w:pPr>
        </w:p>
      </w:tc>
      <w:tc>
        <w:tcPr>
          <w:tcW w:w="3005" w:type="dxa"/>
        </w:tcPr>
        <w:p w14:paraId="640B7D90" w14:textId="1E2145B5" w:rsidR="62D2B2B3" w:rsidRDefault="62D2B2B3" w:rsidP="62D2B2B3">
          <w:pPr>
            <w:pStyle w:val="Header"/>
            <w:jc w:val="center"/>
          </w:pPr>
        </w:p>
      </w:tc>
      <w:tc>
        <w:tcPr>
          <w:tcW w:w="3005" w:type="dxa"/>
        </w:tcPr>
        <w:p w14:paraId="5AF7EA10" w14:textId="50AA618D" w:rsidR="62D2B2B3" w:rsidRDefault="62D2B2B3" w:rsidP="62D2B2B3">
          <w:pPr>
            <w:pStyle w:val="Header"/>
            <w:ind w:right="-115"/>
            <w:jc w:val="right"/>
          </w:pPr>
        </w:p>
      </w:tc>
    </w:tr>
  </w:tbl>
  <w:p w14:paraId="319CDFEA" w14:textId="5F333CF6" w:rsidR="62D2B2B3" w:rsidRDefault="62D2B2B3" w:rsidP="62D2B2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CD89CA2"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CFDC37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902AE" w14:textId="77777777" w:rsidR="0031177C" w:rsidRDefault="0031177C" w:rsidP="002A1842">
      <w:pPr>
        <w:spacing w:after="0" w:line="240" w:lineRule="auto"/>
      </w:pPr>
      <w:r>
        <w:separator/>
      </w:r>
    </w:p>
  </w:footnote>
  <w:footnote w:type="continuationSeparator" w:id="0">
    <w:p w14:paraId="06A86819" w14:textId="77777777" w:rsidR="0031177C" w:rsidRDefault="0031177C" w:rsidP="002A1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2D2B2B3" w14:paraId="01D30328" w14:textId="77777777" w:rsidTr="62D2B2B3">
      <w:trPr>
        <w:trHeight w:val="300"/>
      </w:trPr>
      <w:tc>
        <w:tcPr>
          <w:tcW w:w="3005" w:type="dxa"/>
        </w:tcPr>
        <w:p w14:paraId="36A922A6" w14:textId="5D94A6D6" w:rsidR="62D2B2B3" w:rsidRDefault="62D2B2B3" w:rsidP="62D2B2B3">
          <w:pPr>
            <w:pStyle w:val="Header"/>
            <w:ind w:left="-115"/>
          </w:pPr>
        </w:p>
      </w:tc>
      <w:tc>
        <w:tcPr>
          <w:tcW w:w="3005" w:type="dxa"/>
        </w:tcPr>
        <w:p w14:paraId="28D243DE" w14:textId="411171E5" w:rsidR="62D2B2B3" w:rsidRDefault="62D2B2B3" w:rsidP="62D2B2B3">
          <w:pPr>
            <w:pStyle w:val="Header"/>
            <w:jc w:val="center"/>
          </w:pPr>
        </w:p>
      </w:tc>
      <w:tc>
        <w:tcPr>
          <w:tcW w:w="3005" w:type="dxa"/>
        </w:tcPr>
        <w:p w14:paraId="5C760EB1" w14:textId="2D8C3D6A" w:rsidR="62D2B2B3" w:rsidRDefault="62D2B2B3" w:rsidP="62D2B2B3">
          <w:pPr>
            <w:pStyle w:val="Header"/>
            <w:ind w:right="-115"/>
            <w:jc w:val="right"/>
          </w:pPr>
        </w:p>
      </w:tc>
    </w:tr>
  </w:tbl>
  <w:p w14:paraId="7A7F7F21" w14:textId="2649CC37" w:rsidR="62D2B2B3" w:rsidRDefault="62D2B2B3" w:rsidP="62D2B2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2D2B2B3" w14:paraId="08AFF79B" w14:textId="77777777" w:rsidTr="62D2B2B3">
      <w:trPr>
        <w:trHeight w:val="300"/>
      </w:trPr>
      <w:tc>
        <w:tcPr>
          <w:tcW w:w="3005" w:type="dxa"/>
        </w:tcPr>
        <w:p w14:paraId="1ECC7DEC" w14:textId="5E755990" w:rsidR="62D2B2B3" w:rsidRDefault="62D2B2B3" w:rsidP="62D2B2B3">
          <w:pPr>
            <w:pStyle w:val="Header"/>
            <w:ind w:left="-115"/>
          </w:pPr>
        </w:p>
      </w:tc>
      <w:tc>
        <w:tcPr>
          <w:tcW w:w="3005" w:type="dxa"/>
        </w:tcPr>
        <w:p w14:paraId="514679EC" w14:textId="4771C5DE" w:rsidR="62D2B2B3" w:rsidRDefault="62D2B2B3" w:rsidP="62D2B2B3">
          <w:pPr>
            <w:pStyle w:val="Header"/>
            <w:jc w:val="center"/>
          </w:pPr>
        </w:p>
      </w:tc>
      <w:tc>
        <w:tcPr>
          <w:tcW w:w="3005" w:type="dxa"/>
        </w:tcPr>
        <w:p w14:paraId="5C12F447" w14:textId="3D47C6B3" w:rsidR="62D2B2B3" w:rsidRDefault="62D2B2B3" w:rsidP="62D2B2B3">
          <w:pPr>
            <w:pStyle w:val="Header"/>
            <w:ind w:right="-115"/>
            <w:jc w:val="right"/>
          </w:pPr>
        </w:p>
      </w:tc>
    </w:tr>
  </w:tbl>
  <w:p w14:paraId="44365C1D" w14:textId="3B086212" w:rsidR="62D2B2B3" w:rsidRDefault="62D2B2B3" w:rsidP="62D2B2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2D2B2B3" w14:paraId="0A3A997F" w14:textId="77777777" w:rsidTr="62D2B2B3">
      <w:trPr>
        <w:trHeight w:val="300"/>
      </w:trPr>
      <w:tc>
        <w:tcPr>
          <w:tcW w:w="3005" w:type="dxa"/>
        </w:tcPr>
        <w:p w14:paraId="20872321" w14:textId="39D6B827" w:rsidR="62D2B2B3" w:rsidRDefault="62D2B2B3" w:rsidP="62D2B2B3">
          <w:pPr>
            <w:pStyle w:val="Header"/>
            <w:ind w:left="-115"/>
          </w:pPr>
        </w:p>
      </w:tc>
      <w:tc>
        <w:tcPr>
          <w:tcW w:w="3005" w:type="dxa"/>
        </w:tcPr>
        <w:p w14:paraId="18BD75D4" w14:textId="0BA866B8" w:rsidR="62D2B2B3" w:rsidRDefault="62D2B2B3" w:rsidP="62D2B2B3">
          <w:pPr>
            <w:pStyle w:val="Header"/>
            <w:jc w:val="center"/>
          </w:pPr>
        </w:p>
      </w:tc>
      <w:tc>
        <w:tcPr>
          <w:tcW w:w="3005" w:type="dxa"/>
        </w:tcPr>
        <w:p w14:paraId="66B049D0" w14:textId="4206AE43" w:rsidR="62D2B2B3" w:rsidRDefault="62D2B2B3" w:rsidP="62D2B2B3">
          <w:pPr>
            <w:pStyle w:val="Header"/>
            <w:ind w:right="-115"/>
            <w:jc w:val="right"/>
          </w:pPr>
        </w:p>
      </w:tc>
    </w:tr>
  </w:tbl>
  <w:p w14:paraId="0ADE7582" w14:textId="7946B1F7" w:rsidR="62D2B2B3" w:rsidRDefault="62D2B2B3" w:rsidP="62D2B2B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2D2B2B3" w14:paraId="7F8BB883" w14:textId="77777777" w:rsidTr="62D2B2B3">
      <w:trPr>
        <w:trHeight w:val="300"/>
      </w:trPr>
      <w:tc>
        <w:tcPr>
          <w:tcW w:w="3005" w:type="dxa"/>
        </w:tcPr>
        <w:p w14:paraId="5F662BCF" w14:textId="09A77453" w:rsidR="62D2B2B3" w:rsidRDefault="62D2B2B3" w:rsidP="62D2B2B3">
          <w:pPr>
            <w:pStyle w:val="Header"/>
            <w:ind w:left="-115"/>
          </w:pPr>
        </w:p>
      </w:tc>
      <w:tc>
        <w:tcPr>
          <w:tcW w:w="3005" w:type="dxa"/>
        </w:tcPr>
        <w:p w14:paraId="1F36B013" w14:textId="14D50729" w:rsidR="62D2B2B3" w:rsidRDefault="62D2B2B3" w:rsidP="62D2B2B3">
          <w:pPr>
            <w:pStyle w:val="Header"/>
            <w:jc w:val="center"/>
          </w:pPr>
        </w:p>
      </w:tc>
      <w:tc>
        <w:tcPr>
          <w:tcW w:w="3005" w:type="dxa"/>
        </w:tcPr>
        <w:p w14:paraId="0548E4B0" w14:textId="1A75D2B3" w:rsidR="62D2B2B3" w:rsidRDefault="62D2B2B3" w:rsidP="62D2B2B3">
          <w:pPr>
            <w:pStyle w:val="Header"/>
            <w:ind w:right="-115"/>
            <w:jc w:val="right"/>
          </w:pPr>
        </w:p>
      </w:tc>
    </w:tr>
  </w:tbl>
  <w:p w14:paraId="0FD570D3" w14:textId="58CE7657" w:rsidR="62D2B2B3" w:rsidRDefault="62D2B2B3" w:rsidP="62D2B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98657790">
    <w:abstractNumId w:val="5"/>
  </w:num>
  <w:num w:numId="2" w16cid:durableId="1620212094">
    <w:abstractNumId w:val="3"/>
  </w:num>
  <w:num w:numId="3" w16cid:durableId="553661826">
    <w:abstractNumId w:val="2"/>
  </w:num>
  <w:num w:numId="4" w16cid:durableId="589702369">
    <w:abstractNumId w:val="1"/>
  </w:num>
  <w:num w:numId="5" w16cid:durableId="2098283915">
    <w:abstractNumId w:val="4"/>
  </w:num>
  <w:num w:numId="6" w16cid:durableId="2071422721">
    <w:abstractNumId w:val="0"/>
  </w:num>
  <w:num w:numId="7" w16cid:durableId="912474383">
    <w:abstractNumId w:val="7"/>
  </w:num>
  <w:num w:numId="8" w16cid:durableId="12976865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56015"/>
    <w:rsid w:val="000B5D31"/>
    <w:rsid w:val="000C4DED"/>
    <w:rsid w:val="000C7C8F"/>
    <w:rsid w:val="000E5998"/>
    <w:rsid w:val="000F7B7A"/>
    <w:rsid w:val="00165B18"/>
    <w:rsid w:val="00172AD1"/>
    <w:rsid w:val="00177DCD"/>
    <w:rsid w:val="001813E7"/>
    <w:rsid w:val="001A3F9F"/>
    <w:rsid w:val="001A4FEE"/>
    <w:rsid w:val="0023549D"/>
    <w:rsid w:val="002929ED"/>
    <w:rsid w:val="002A1842"/>
    <w:rsid w:val="002C7670"/>
    <w:rsid w:val="002D3704"/>
    <w:rsid w:val="0031177C"/>
    <w:rsid w:val="00336AC8"/>
    <w:rsid w:val="003554AF"/>
    <w:rsid w:val="003F7703"/>
    <w:rsid w:val="004468F8"/>
    <w:rsid w:val="0050081B"/>
    <w:rsid w:val="00511632"/>
    <w:rsid w:val="00530E16"/>
    <w:rsid w:val="00601A10"/>
    <w:rsid w:val="00634B89"/>
    <w:rsid w:val="00680CE0"/>
    <w:rsid w:val="006E5D30"/>
    <w:rsid w:val="00707658"/>
    <w:rsid w:val="00707B8F"/>
    <w:rsid w:val="00722EFE"/>
    <w:rsid w:val="00724A14"/>
    <w:rsid w:val="007362AA"/>
    <w:rsid w:val="00751216"/>
    <w:rsid w:val="007637E9"/>
    <w:rsid w:val="00765D7A"/>
    <w:rsid w:val="00794F37"/>
    <w:rsid w:val="007B09C6"/>
    <w:rsid w:val="00832072"/>
    <w:rsid w:val="00895F33"/>
    <w:rsid w:val="008D7BC4"/>
    <w:rsid w:val="008E7834"/>
    <w:rsid w:val="00947327"/>
    <w:rsid w:val="0099686F"/>
    <w:rsid w:val="009F60D1"/>
    <w:rsid w:val="009F7648"/>
    <w:rsid w:val="00A37266"/>
    <w:rsid w:val="00A75B15"/>
    <w:rsid w:val="00AB631A"/>
    <w:rsid w:val="00AD547A"/>
    <w:rsid w:val="00AE06EA"/>
    <w:rsid w:val="00B21760"/>
    <w:rsid w:val="00B238AF"/>
    <w:rsid w:val="00B6007D"/>
    <w:rsid w:val="00B65ED6"/>
    <w:rsid w:val="00B71385"/>
    <w:rsid w:val="00BA0043"/>
    <w:rsid w:val="00BF7BFA"/>
    <w:rsid w:val="00C37CAC"/>
    <w:rsid w:val="00C82EC2"/>
    <w:rsid w:val="00CE3CD4"/>
    <w:rsid w:val="00CF2666"/>
    <w:rsid w:val="00CF650B"/>
    <w:rsid w:val="00D01E94"/>
    <w:rsid w:val="00D62A9C"/>
    <w:rsid w:val="00DB181C"/>
    <w:rsid w:val="00DD671D"/>
    <w:rsid w:val="00E5262B"/>
    <w:rsid w:val="00E804BA"/>
    <w:rsid w:val="00ED1C06"/>
    <w:rsid w:val="00F17146"/>
    <w:rsid w:val="00F618F2"/>
    <w:rsid w:val="00FA61AC"/>
    <w:rsid w:val="00FA76C8"/>
    <w:rsid w:val="095DC582"/>
    <w:rsid w:val="0E836992"/>
    <w:rsid w:val="19E9192C"/>
    <w:rsid w:val="2D7176A9"/>
    <w:rsid w:val="4565A970"/>
    <w:rsid w:val="57C7B503"/>
    <w:rsid w:val="5F78A940"/>
    <w:rsid w:val="62D2B2B3"/>
    <w:rsid w:val="662591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2E7F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yperlink" Target="https://www.bma.org.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migrationobservatory.ox.ac.uk/" TargetMode="Externa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hyperlink" Target="https://doi.org/https:/www.gmc-uk.org/about/what-we-do-and-why/data-and-research/the-state-of-medical-education-and-practice-in-the-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hyperlink" Target="https://www.gmc-uk.or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4.xml"/><Relationship Id="rId5" Type="http://schemas.openxmlformats.org/officeDocument/2006/relationships/customXml" Target="../customXml/item5.xml"/><Relationship Id="rId15" Type="http://schemas.openxmlformats.org/officeDocument/2006/relationships/footer" Target="footer2.xml"/><Relationship Id="rId23" Type="http://schemas.openxmlformats.org/officeDocument/2006/relationships/header" Target="header3.xml"/><Relationship Id="rId10" Type="http://schemas.openxmlformats.org/officeDocument/2006/relationships/footnotes" Target="footnotes.xml"/><Relationship Id="rId19" Type="http://schemas.openxmlformats.org/officeDocument/2006/relationships/hyperlink" Target="https://www.gov.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hyperlink" Target="https://www.england.nhs.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e657363d0d5fac8187e811d3e8b76622">
  <xsd:schema xmlns:xsd="http://www.w3.org/2001/XMLSchema" xmlns:xs="http://www.w3.org/2001/XMLSchema" xmlns:p="http://schemas.microsoft.com/office/2006/metadata/properties" xmlns:ns3="716bca3a-9bc9-4129-a185-7ea87f9d73cc" targetNamespace="http://schemas.microsoft.com/office/2006/metadata/properties" ma:root="true" ma:fieldsID="1b332ce4a07c2b7fe9105929c7d53b47"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3.xml><?xml version="1.0" encoding="utf-8"?>
<ds:datastoreItem xmlns:ds="http://schemas.openxmlformats.org/officeDocument/2006/customXml" ds:itemID="{768C715C-D5C3-4A57-ABC7-DAF427095215}">
  <ds:schemaRefs>
    <ds:schemaRef ds:uri="http://schemas.microsoft.com/office/2006/metadata/properties"/>
    <ds:schemaRef ds:uri="http://schemas.microsoft.com/office/infopath/2007/PartnerControls"/>
    <ds:schemaRef ds:uri="716bca3a-9bc9-4129-a185-7ea87f9d73cc"/>
  </ds:schemaRefs>
</ds:datastoreItem>
</file>

<file path=customXml/itemProps4.xml><?xml version="1.0" encoding="utf-8"?>
<ds:datastoreItem xmlns:ds="http://schemas.openxmlformats.org/officeDocument/2006/customXml" ds:itemID="{C9A45C70-411D-470B-AE14-891F80CA9AE5}">
  <ds:schemaRefs>
    <ds:schemaRef ds:uri="http://schemas.microsoft.com/sharepoint/v3/contenttype/forms"/>
  </ds:schemaRefs>
</ds:datastoreItem>
</file>

<file path=customXml/itemProps5.xml><?xml version="1.0" encoding="utf-8"?>
<ds:datastoreItem xmlns:ds="http://schemas.openxmlformats.org/officeDocument/2006/customXml" ds:itemID="{B3110B32-45CE-4EB0-9B03-EE8019CC9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8</Pages>
  <Words>2160</Words>
  <Characters>12317</Characters>
  <Application>Microsoft Office Word</Application>
  <DocSecurity>0</DocSecurity>
  <Lines>102</Lines>
  <Paragraphs>28</Paragraphs>
  <ScaleCrop>false</ScaleCrop>
  <Company/>
  <LinksUpToDate>false</LinksUpToDate>
  <CharactersWithSpaces>14449</CharactersWithSpaces>
  <SharedDoc>false</SharedDoc>
  <HLinks>
    <vt:vector size="114" baseType="variant">
      <vt:variant>
        <vt:i4>2555951</vt:i4>
      </vt:variant>
      <vt:variant>
        <vt:i4>96</vt:i4>
      </vt:variant>
      <vt:variant>
        <vt:i4>0</vt:i4>
      </vt:variant>
      <vt:variant>
        <vt:i4>5</vt:i4>
      </vt:variant>
      <vt:variant>
        <vt:lpwstr>https://www.england.nhs.uk/</vt:lpwstr>
      </vt:variant>
      <vt:variant>
        <vt:lpwstr/>
      </vt:variant>
      <vt:variant>
        <vt:i4>7340073</vt:i4>
      </vt:variant>
      <vt:variant>
        <vt:i4>93</vt:i4>
      </vt:variant>
      <vt:variant>
        <vt:i4>0</vt:i4>
      </vt:variant>
      <vt:variant>
        <vt:i4>5</vt:i4>
      </vt:variant>
      <vt:variant>
        <vt:lpwstr>https://migrationobservatory.ox.ac.uk/</vt:lpwstr>
      </vt:variant>
      <vt:variant>
        <vt:lpwstr/>
      </vt:variant>
      <vt:variant>
        <vt:i4>7012461</vt:i4>
      </vt:variant>
      <vt:variant>
        <vt:i4>90</vt:i4>
      </vt:variant>
      <vt:variant>
        <vt:i4>0</vt:i4>
      </vt:variant>
      <vt:variant>
        <vt:i4>5</vt:i4>
      </vt:variant>
      <vt:variant>
        <vt:lpwstr>https://www.gmc-uk.org/</vt:lpwstr>
      </vt:variant>
      <vt:variant>
        <vt:lpwstr/>
      </vt:variant>
      <vt:variant>
        <vt:i4>6422564</vt:i4>
      </vt:variant>
      <vt:variant>
        <vt:i4>87</vt:i4>
      </vt:variant>
      <vt:variant>
        <vt:i4>0</vt:i4>
      </vt:variant>
      <vt:variant>
        <vt:i4>5</vt:i4>
      </vt:variant>
      <vt:variant>
        <vt:lpwstr>https://www.gov.uk/</vt:lpwstr>
      </vt:variant>
      <vt:variant>
        <vt:lpwstr/>
      </vt:variant>
      <vt:variant>
        <vt:i4>3932222</vt:i4>
      </vt:variant>
      <vt:variant>
        <vt:i4>84</vt:i4>
      </vt:variant>
      <vt:variant>
        <vt:i4>0</vt:i4>
      </vt:variant>
      <vt:variant>
        <vt:i4>5</vt:i4>
      </vt:variant>
      <vt:variant>
        <vt:lpwstr>https://www.bma.org.uk/</vt:lpwstr>
      </vt:variant>
      <vt:variant>
        <vt:lpwstr/>
      </vt:variant>
      <vt:variant>
        <vt:i4>3014757</vt:i4>
      </vt:variant>
      <vt:variant>
        <vt:i4>81</vt:i4>
      </vt:variant>
      <vt:variant>
        <vt:i4>0</vt:i4>
      </vt:variant>
      <vt:variant>
        <vt:i4>5</vt:i4>
      </vt:variant>
      <vt:variant>
        <vt:lpwstr>https://doi.org/https:/www.gmc-uk.org/about/what-we-do-and-why/data-and-research/the-state-of-medical-education-and-practice-in-the-uk</vt:lpwstr>
      </vt:variant>
      <vt:variant>
        <vt:lpwstr/>
      </vt:variant>
      <vt:variant>
        <vt:i4>1048628</vt:i4>
      </vt:variant>
      <vt:variant>
        <vt:i4>74</vt:i4>
      </vt:variant>
      <vt:variant>
        <vt:i4>0</vt:i4>
      </vt:variant>
      <vt:variant>
        <vt:i4>5</vt:i4>
      </vt:variant>
      <vt:variant>
        <vt:lpwstr/>
      </vt:variant>
      <vt:variant>
        <vt:lpwstr>_Toc216371743</vt:lpwstr>
      </vt:variant>
      <vt:variant>
        <vt:i4>1048628</vt:i4>
      </vt:variant>
      <vt:variant>
        <vt:i4>68</vt:i4>
      </vt:variant>
      <vt:variant>
        <vt:i4>0</vt:i4>
      </vt:variant>
      <vt:variant>
        <vt:i4>5</vt:i4>
      </vt:variant>
      <vt:variant>
        <vt:lpwstr/>
      </vt:variant>
      <vt:variant>
        <vt:lpwstr>_Toc216371742</vt:lpwstr>
      </vt:variant>
      <vt:variant>
        <vt:i4>1048628</vt:i4>
      </vt:variant>
      <vt:variant>
        <vt:i4>62</vt:i4>
      </vt:variant>
      <vt:variant>
        <vt:i4>0</vt:i4>
      </vt:variant>
      <vt:variant>
        <vt:i4>5</vt:i4>
      </vt:variant>
      <vt:variant>
        <vt:lpwstr/>
      </vt:variant>
      <vt:variant>
        <vt:lpwstr>_Toc216371741</vt:lpwstr>
      </vt:variant>
      <vt:variant>
        <vt:i4>1048628</vt:i4>
      </vt:variant>
      <vt:variant>
        <vt:i4>56</vt:i4>
      </vt:variant>
      <vt:variant>
        <vt:i4>0</vt:i4>
      </vt:variant>
      <vt:variant>
        <vt:i4>5</vt:i4>
      </vt:variant>
      <vt:variant>
        <vt:lpwstr/>
      </vt:variant>
      <vt:variant>
        <vt:lpwstr>_Toc216371740</vt:lpwstr>
      </vt:variant>
      <vt:variant>
        <vt:i4>1507380</vt:i4>
      </vt:variant>
      <vt:variant>
        <vt:i4>50</vt:i4>
      </vt:variant>
      <vt:variant>
        <vt:i4>0</vt:i4>
      </vt:variant>
      <vt:variant>
        <vt:i4>5</vt:i4>
      </vt:variant>
      <vt:variant>
        <vt:lpwstr/>
      </vt:variant>
      <vt:variant>
        <vt:lpwstr>_Toc216371739</vt:lpwstr>
      </vt:variant>
      <vt:variant>
        <vt:i4>1507380</vt:i4>
      </vt:variant>
      <vt:variant>
        <vt:i4>44</vt:i4>
      </vt:variant>
      <vt:variant>
        <vt:i4>0</vt:i4>
      </vt:variant>
      <vt:variant>
        <vt:i4>5</vt:i4>
      </vt:variant>
      <vt:variant>
        <vt:lpwstr/>
      </vt:variant>
      <vt:variant>
        <vt:lpwstr>_Toc216371738</vt:lpwstr>
      </vt:variant>
      <vt:variant>
        <vt:i4>1507380</vt:i4>
      </vt:variant>
      <vt:variant>
        <vt:i4>38</vt:i4>
      </vt:variant>
      <vt:variant>
        <vt:i4>0</vt:i4>
      </vt:variant>
      <vt:variant>
        <vt:i4>5</vt:i4>
      </vt:variant>
      <vt:variant>
        <vt:lpwstr/>
      </vt:variant>
      <vt:variant>
        <vt:lpwstr>_Toc216371737</vt:lpwstr>
      </vt:variant>
      <vt:variant>
        <vt:i4>1507380</vt:i4>
      </vt:variant>
      <vt:variant>
        <vt:i4>32</vt:i4>
      </vt:variant>
      <vt:variant>
        <vt:i4>0</vt:i4>
      </vt:variant>
      <vt:variant>
        <vt:i4>5</vt:i4>
      </vt:variant>
      <vt:variant>
        <vt:lpwstr/>
      </vt:variant>
      <vt:variant>
        <vt:lpwstr>_Toc216371736</vt:lpwstr>
      </vt:variant>
      <vt:variant>
        <vt:i4>1507380</vt:i4>
      </vt:variant>
      <vt:variant>
        <vt:i4>26</vt:i4>
      </vt:variant>
      <vt:variant>
        <vt:i4>0</vt:i4>
      </vt:variant>
      <vt:variant>
        <vt:i4>5</vt:i4>
      </vt:variant>
      <vt:variant>
        <vt:lpwstr/>
      </vt:variant>
      <vt:variant>
        <vt:lpwstr>_Toc216371735</vt:lpwstr>
      </vt:variant>
      <vt:variant>
        <vt:i4>1507380</vt:i4>
      </vt:variant>
      <vt:variant>
        <vt:i4>20</vt:i4>
      </vt:variant>
      <vt:variant>
        <vt:i4>0</vt:i4>
      </vt:variant>
      <vt:variant>
        <vt:i4>5</vt:i4>
      </vt:variant>
      <vt:variant>
        <vt:lpwstr/>
      </vt:variant>
      <vt:variant>
        <vt:lpwstr>_Toc216371734</vt:lpwstr>
      </vt:variant>
      <vt:variant>
        <vt:i4>1507380</vt:i4>
      </vt:variant>
      <vt:variant>
        <vt:i4>14</vt:i4>
      </vt:variant>
      <vt:variant>
        <vt:i4>0</vt:i4>
      </vt:variant>
      <vt:variant>
        <vt:i4>5</vt:i4>
      </vt:variant>
      <vt:variant>
        <vt:lpwstr/>
      </vt:variant>
      <vt:variant>
        <vt:lpwstr>_Toc216371733</vt:lpwstr>
      </vt:variant>
      <vt:variant>
        <vt:i4>1507380</vt:i4>
      </vt:variant>
      <vt:variant>
        <vt:i4>8</vt:i4>
      </vt:variant>
      <vt:variant>
        <vt:i4>0</vt:i4>
      </vt:variant>
      <vt:variant>
        <vt:i4>5</vt:i4>
      </vt:variant>
      <vt:variant>
        <vt:lpwstr/>
      </vt:variant>
      <vt:variant>
        <vt:lpwstr>_Toc216371732</vt:lpwstr>
      </vt:variant>
      <vt:variant>
        <vt:i4>1507380</vt:i4>
      </vt:variant>
      <vt:variant>
        <vt:i4>2</vt:i4>
      </vt:variant>
      <vt:variant>
        <vt:i4>0</vt:i4>
      </vt:variant>
      <vt:variant>
        <vt:i4>5</vt:i4>
      </vt:variant>
      <vt:variant>
        <vt:lpwstr/>
      </vt:variant>
      <vt:variant>
        <vt:lpwstr>_Toc216371731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Sanilen Dolores Stevens (2508295)</cp:lastModifiedBy>
  <cp:revision>49</cp:revision>
  <dcterms:created xsi:type="dcterms:W3CDTF">2025-12-11T18:54:00Z</dcterms:created>
  <dcterms:modified xsi:type="dcterms:W3CDTF">2025-12-13T11:18:00Z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