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F26FD" w14:textId="77777777" w:rsidR="00812B22" w:rsidRDefault="00812B22" w:rsidP="00BC06A4">
      <w:pPr>
        <w:pStyle w:val="Normal1"/>
        <w:spacing w:line="360" w:lineRule="auto"/>
        <w:jc w:val="center"/>
        <w:rPr>
          <w:rFonts w:eastAsia="Times New Roman"/>
          <w:b/>
          <w:sz w:val="32"/>
          <w:lang w:val="en-GB"/>
        </w:rPr>
      </w:pPr>
    </w:p>
    <w:p w14:paraId="658CC5F9" w14:textId="77777777" w:rsidR="00812B22" w:rsidRDefault="00812B22" w:rsidP="00BC06A4">
      <w:pPr>
        <w:pStyle w:val="Normal1"/>
        <w:spacing w:line="360" w:lineRule="auto"/>
        <w:jc w:val="center"/>
        <w:rPr>
          <w:rFonts w:eastAsia="Times New Roman"/>
          <w:b/>
          <w:sz w:val="32"/>
          <w:lang w:val="en-GB"/>
        </w:rPr>
      </w:pPr>
    </w:p>
    <w:p w14:paraId="141D51EC" w14:textId="77777777" w:rsidR="00812B22" w:rsidRDefault="00812B22" w:rsidP="00BC06A4">
      <w:pPr>
        <w:pStyle w:val="Normal1"/>
        <w:spacing w:line="360" w:lineRule="auto"/>
        <w:jc w:val="center"/>
        <w:rPr>
          <w:rFonts w:eastAsia="Times New Roman"/>
          <w:b/>
          <w:sz w:val="32"/>
          <w:lang w:val="en-GB"/>
        </w:rPr>
      </w:pPr>
    </w:p>
    <w:p w14:paraId="7B5BC0E0" w14:textId="77777777" w:rsidR="00812B22" w:rsidRDefault="00812B22" w:rsidP="00BC06A4">
      <w:pPr>
        <w:pStyle w:val="Normal1"/>
        <w:spacing w:line="360" w:lineRule="auto"/>
        <w:jc w:val="center"/>
        <w:rPr>
          <w:rFonts w:eastAsia="Times New Roman"/>
          <w:b/>
          <w:sz w:val="32"/>
          <w:lang w:val="en-GB"/>
        </w:rPr>
      </w:pPr>
    </w:p>
    <w:p w14:paraId="3A0D4727" w14:textId="77777777" w:rsidR="00812B22" w:rsidRDefault="00812B22" w:rsidP="00BC06A4">
      <w:pPr>
        <w:pStyle w:val="Normal1"/>
        <w:spacing w:line="360" w:lineRule="auto"/>
        <w:jc w:val="center"/>
        <w:rPr>
          <w:rFonts w:eastAsia="Times New Roman"/>
          <w:b/>
          <w:sz w:val="32"/>
          <w:lang w:val="en-GB"/>
        </w:rPr>
      </w:pPr>
    </w:p>
    <w:p w14:paraId="2AD4FAD8" w14:textId="0A034225" w:rsidR="00776227" w:rsidRDefault="00776227" w:rsidP="00BC06A4">
      <w:pPr>
        <w:pStyle w:val="Normal1"/>
        <w:spacing w:line="360" w:lineRule="auto"/>
        <w:jc w:val="center"/>
        <w:rPr>
          <w:rFonts w:eastAsia="Times New Roman"/>
          <w:b/>
          <w:sz w:val="32"/>
          <w:lang w:val="en-GB"/>
        </w:rPr>
      </w:pPr>
      <w:r w:rsidRPr="0032759B">
        <w:rPr>
          <w:rFonts w:eastAsia="Times New Roman"/>
          <w:b/>
          <w:sz w:val="32"/>
          <w:lang w:val="en-GB"/>
        </w:rPr>
        <w:t>COMPONENT 2: ANALYTICAL REPORT</w:t>
      </w:r>
    </w:p>
    <w:p w14:paraId="7164A83A" w14:textId="77777777" w:rsidR="003D06D9" w:rsidRDefault="003D06D9" w:rsidP="00BC06A4">
      <w:pPr>
        <w:pStyle w:val="Normal1"/>
        <w:spacing w:line="360" w:lineRule="auto"/>
        <w:jc w:val="center"/>
        <w:rPr>
          <w:rFonts w:eastAsia="Times New Roman"/>
          <w:b/>
          <w:sz w:val="32"/>
          <w:lang w:val="en-GB"/>
        </w:rPr>
      </w:pPr>
    </w:p>
    <w:p w14:paraId="0948E127" w14:textId="3AA2FADC"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Programme: </w:t>
      </w:r>
      <w:r w:rsidR="00497E7C" w:rsidRPr="006447BB">
        <w:rPr>
          <w:rFonts w:eastAsia="Times New Roman"/>
          <w:bCs/>
          <w:sz w:val="28"/>
          <w:szCs w:val="20"/>
          <w:lang w:val="en-GB"/>
        </w:rPr>
        <w:t>MSC</w:t>
      </w:r>
      <w:r w:rsidRPr="006447BB">
        <w:rPr>
          <w:rFonts w:eastAsia="Times New Roman"/>
          <w:bCs/>
          <w:sz w:val="28"/>
          <w:szCs w:val="20"/>
          <w:lang w:val="en-GB"/>
        </w:rPr>
        <w:t xml:space="preserve"> </w:t>
      </w:r>
      <w:r w:rsidR="00812B22" w:rsidRPr="006447BB">
        <w:rPr>
          <w:rFonts w:eastAsia="Times New Roman"/>
          <w:bCs/>
          <w:sz w:val="28"/>
          <w:szCs w:val="20"/>
          <w:lang w:val="en-GB"/>
        </w:rPr>
        <w:t>Public Health and Social Care in Practice</w:t>
      </w:r>
      <w:r w:rsidR="00812B22" w:rsidRPr="006447BB">
        <w:rPr>
          <w:rFonts w:eastAsia="Times New Roman"/>
          <w:b/>
          <w:sz w:val="28"/>
          <w:szCs w:val="20"/>
          <w:lang w:val="en-GB"/>
        </w:rPr>
        <w:t xml:space="preserve"> </w:t>
      </w:r>
    </w:p>
    <w:p w14:paraId="26615011" w14:textId="2663E828"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Module: </w:t>
      </w:r>
      <w:r w:rsidR="00812B22" w:rsidRPr="006447BB">
        <w:rPr>
          <w:rFonts w:eastAsia="Times New Roman"/>
          <w:bCs/>
          <w:sz w:val="28"/>
          <w:szCs w:val="20"/>
          <w:lang w:val="en-GB"/>
        </w:rPr>
        <w:t>Social Epidemiology and Public Health Development</w:t>
      </w:r>
      <w:r w:rsidR="00812B22" w:rsidRPr="006447BB">
        <w:rPr>
          <w:rFonts w:eastAsia="Times New Roman"/>
          <w:b/>
          <w:sz w:val="28"/>
          <w:szCs w:val="20"/>
          <w:lang w:val="en-GB"/>
        </w:rPr>
        <w:t xml:space="preserve"> </w:t>
      </w:r>
    </w:p>
    <w:p w14:paraId="6113A236" w14:textId="2A617461"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Module Code: </w:t>
      </w:r>
      <w:r w:rsidRPr="006447BB">
        <w:rPr>
          <w:rFonts w:eastAsia="Times New Roman"/>
          <w:bCs/>
          <w:sz w:val="28"/>
          <w:szCs w:val="20"/>
          <w:lang w:val="en-GB"/>
        </w:rPr>
        <w:t>LCHS7000</w:t>
      </w:r>
    </w:p>
    <w:p w14:paraId="2746E258" w14:textId="77777777"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Lecturer Name: </w:t>
      </w:r>
      <w:r w:rsidRPr="006447BB">
        <w:rPr>
          <w:rFonts w:eastAsia="Times New Roman"/>
          <w:bCs/>
          <w:sz w:val="28"/>
          <w:szCs w:val="20"/>
          <w:lang w:val="en-GB"/>
        </w:rPr>
        <w:t>Muhammad Aliyu</w:t>
      </w:r>
    </w:p>
    <w:p w14:paraId="174272DC" w14:textId="29982209"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Internal verifier: </w:t>
      </w:r>
      <w:r w:rsidRPr="006447BB">
        <w:rPr>
          <w:rFonts w:eastAsia="Times New Roman"/>
          <w:bCs/>
          <w:sz w:val="28"/>
          <w:szCs w:val="20"/>
          <w:lang w:val="en-GB"/>
        </w:rPr>
        <w:t>Dr</w:t>
      </w:r>
      <w:r w:rsidRPr="006447BB">
        <w:rPr>
          <w:rFonts w:eastAsia="Times New Roman"/>
          <w:bCs/>
          <w:sz w:val="28"/>
          <w:szCs w:val="20"/>
          <w:lang w:val="en-GB"/>
        </w:rPr>
        <w:t>.</w:t>
      </w:r>
      <w:r w:rsidRPr="006447BB">
        <w:rPr>
          <w:rFonts w:eastAsia="Times New Roman"/>
          <w:bCs/>
          <w:sz w:val="28"/>
          <w:szCs w:val="20"/>
          <w:lang w:val="en-GB"/>
        </w:rPr>
        <w:t xml:space="preserve"> </w:t>
      </w:r>
      <w:r w:rsidRPr="006447BB">
        <w:rPr>
          <w:rFonts w:eastAsia="Times New Roman"/>
          <w:bCs/>
          <w:sz w:val="28"/>
          <w:szCs w:val="20"/>
          <w:lang w:val="en-GB"/>
        </w:rPr>
        <w:t>H</w:t>
      </w:r>
      <w:r w:rsidRPr="006447BB">
        <w:rPr>
          <w:rFonts w:eastAsia="Times New Roman"/>
          <w:bCs/>
          <w:sz w:val="28"/>
          <w:szCs w:val="20"/>
          <w:lang w:val="en-GB"/>
        </w:rPr>
        <w:t>amdi Hussain</w:t>
      </w:r>
      <w:r w:rsidRPr="006447BB">
        <w:rPr>
          <w:rFonts w:eastAsia="Times New Roman"/>
          <w:b/>
          <w:sz w:val="28"/>
          <w:szCs w:val="20"/>
          <w:lang w:val="en-GB"/>
        </w:rPr>
        <w:t xml:space="preserve"> </w:t>
      </w:r>
    </w:p>
    <w:p w14:paraId="25810CA7" w14:textId="1A899CAA"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Assignment tit</w:t>
      </w:r>
      <w:r w:rsidR="00342EA1" w:rsidRPr="006447BB">
        <w:rPr>
          <w:rFonts w:eastAsia="Times New Roman"/>
          <w:b/>
          <w:sz w:val="28"/>
          <w:szCs w:val="20"/>
          <w:lang w:val="en-GB"/>
        </w:rPr>
        <w:t>le</w:t>
      </w:r>
      <w:r w:rsidRPr="006447BB">
        <w:rPr>
          <w:rFonts w:eastAsia="Times New Roman"/>
          <w:b/>
          <w:sz w:val="28"/>
          <w:szCs w:val="20"/>
          <w:lang w:val="en-GB"/>
        </w:rPr>
        <w:t xml:space="preserve">: </w:t>
      </w:r>
      <w:r w:rsidRPr="006447BB">
        <w:rPr>
          <w:rFonts w:eastAsia="Times New Roman"/>
          <w:bCs/>
          <w:sz w:val="28"/>
          <w:szCs w:val="20"/>
          <w:lang w:val="en-GB"/>
        </w:rPr>
        <w:t>Component 2 analytical report</w:t>
      </w:r>
      <w:r w:rsidRPr="006447BB">
        <w:rPr>
          <w:rFonts w:eastAsia="Times New Roman"/>
          <w:b/>
          <w:sz w:val="28"/>
          <w:szCs w:val="20"/>
          <w:lang w:val="en-GB"/>
        </w:rPr>
        <w:t xml:space="preserve"> </w:t>
      </w:r>
    </w:p>
    <w:p w14:paraId="31027216" w14:textId="77777777" w:rsidR="006447BB" w:rsidRDefault="006447BB" w:rsidP="003D06D9">
      <w:pPr>
        <w:pStyle w:val="Normal1"/>
        <w:spacing w:line="360" w:lineRule="auto"/>
        <w:jc w:val="center"/>
        <w:rPr>
          <w:rFonts w:eastAsia="Times New Roman"/>
          <w:b/>
          <w:sz w:val="28"/>
          <w:szCs w:val="20"/>
          <w:lang w:val="en-GB"/>
        </w:rPr>
      </w:pPr>
    </w:p>
    <w:p w14:paraId="42B02024" w14:textId="290146B6"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Student Name: </w:t>
      </w:r>
      <w:proofErr w:type="spellStart"/>
      <w:r w:rsidRPr="006447BB">
        <w:rPr>
          <w:rFonts w:eastAsia="Times New Roman"/>
          <w:bCs/>
          <w:sz w:val="28"/>
          <w:szCs w:val="20"/>
          <w:lang w:val="en-GB"/>
        </w:rPr>
        <w:t>Ronakkumar</w:t>
      </w:r>
      <w:proofErr w:type="spellEnd"/>
      <w:r w:rsidRPr="006447BB">
        <w:rPr>
          <w:rFonts w:eastAsia="Times New Roman"/>
          <w:bCs/>
          <w:sz w:val="28"/>
          <w:szCs w:val="20"/>
          <w:lang w:val="en-GB"/>
        </w:rPr>
        <w:t xml:space="preserve"> </w:t>
      </w:r>
      <w:proofErr w:type="spellStart"/>
      <w:r w:rsidRPr="006447BB">
        <w:rPr>
          <w:rFonts w:eastAsia="Times New Roman"/>
          <w:bCs/>
          <w:sz w:val="28"/>
          <w:szCs w:val="20"/>
          <w:lang w:val="en-GB"/>
        </w:rPr>
        <w:t>Nileshbhai</w:t>
      </w:r>
      <w:proofErr w:type="spellEnd"/>
      <w:r w:rsidRPr="006447BB">
        <w:rPr>
          <w:rFonts w:eastAsia="Times New Roman"/>
          <w:bCs/>
          <w:sz w:val="28"/>
          <w:szCs w:val="20"/>
          <w:lang w:val="en-GB"/>
        </w:rPr>
        <w:t xml:space="preserve"> Barad</w:t>
      </w:r>
      <w:r w:rsidRPr="006447BB">
        <w:rPr>
          <w:rFonts w:eastAsia="Times New Roman"/>
          <w:b/>
          <w:sz w:val="28"/>
          <w:szCs w:val="20"/>
          <w:lang w:val="en-GB"/>
        </w:rPr>
        <w:t xml:space="preserve"> </w:t>
      </w:r>
    </w:p>
    <w:p w14:paraId="596B6E51" w14:textId="1675B633" w:rsidR="003D06D9" w:rsidRPr="006447BB" w:rsidRDefault="003D06D9" w:rsidP="003D06D9">
      <w:pPr>
        <w:pStyle w:val="Normal1"/>
        <w:spacing w:line="360" w:lineRule="auto"/>
        <w:jc w:val="center"/>
        <w:rPr>
          <w:rFonts w:eastAsia="Times New Roman"/>
          <w:b/>
          <w:sz w:val="28"/>
          <w:szCs w:val="20"/>
          <w:lang w:val="en-GB"/>
        </w:rPr>
      </w:pPr>
      <w:r w:rsidRPr="006447BB">
        <w:rPr>
          <w:rFonts w:eastAsia="Times New Roman"/>
          <w:b/>
          <w:sz w:val="28"/>
          <w:szCs w:val="20"/>
          <w:lang w:val="en-GB"/>
        </w:rPr>
        <w:t xml:space="preserve">Student </w:t>
      </w:r>
      <w:r w:rsidR="00342EA1" w:rsidRPr="006447BB">
        <w:rPr>
          <w:rFonts w:eastAsia="Times New Roman"/>
          <w:b/>
          <w:sz w:val="28"/>
          <w:szCs w:val="20"/>
          <w:lang w:val="en-GB"/>
        </w:rPr>
        <w:t>ID</w:t>
      </w:r>
      <w:r w:rsidRPr="006447BB">
        <w:rPr>
          <w:rFonts w:eastAsia="Times New Roman"/>
          <w:b/>
          <w:sz w:val="28"/>
          <w:szCs w:val="20"/>
          <w:lang w:val="en-GB"/>
        </w:rPr>
        <w:t xml:space="preserve"> number: </w:t>
      </w:r>
      <w:r w:rsidRPr="006447BB">
        <w:rPr>
          <w:rFonts w:eastAsia="Times New Roman"/>
          <w:bCs/>
          <w:sz w:val="28"/>
          <w:szCs w:val="20"/>
          <w:lang w:val="en-GB"/>
        </w:rPr>
        <w:t>2527222</w:t>
      </w:r>
    </w:p>
    <w:p w14:paraId="2AD4FAD9" w14:textId="77777777" w:rsidR="00776227" w:rsidRPr="00BC06A4" w:rsidRDefault="00776227" w:rsidP="00BC06A4">
      <w:pPr>
        <w:spacing w:line="360" w:lineRule="auto"/>
        <w:rPr>
          <w:rFonts w:eastAsia="Times New Roman"/>
          <w:lang w:val="en-GB"/>
        </w:rPr>
      </w:pPr>
      <w:r w:rsidRPr="00BC06A4">
        <w:rPr>
          <w:rFonts w:eastAsia="Times New Roman"/>
          <w:lang w:val="en-GB"/>
        </w:rPr>
        <w:br w:type="page"/>
      </w:r>
    </w:p>
    <w:sdt>
      <w:sdtPr>
        <w:rPr>
          <w:rFonts w:ascii="Arial" w:eastAsia="Arial" w:hAnsi="Arial" w:cs="Arial"/>
          <w:b w:val="0"/>
          <w:bCs w:val="0"/>
          <w:color w:val="auto"/>
          <w:sz w:val="22"/>
          <w:szCs w:val="22"/>
          <w:lang w:val="en-US"/>
        </w:rPr>
        <w:id w:val="-314994013"/>
        <w:docPartObj>
          <w:docPartGallery w:val="Table of Contents"/>
          <w:docPartUnique/>
        </w:docPartObj>
      </w:sdtPr>
      <w:sdtEndPr/>
      <w:sdtContent>
        <w:p w14:paraId="2AD4FADA" w14:textId="77777777" w:rsidR="00911CD7" w:rsidRPr="00BC06A4" w:rsidRDefault="00911CD7" w:rsidP="0032759B">
          <w:pPr>
            <w:pStyle w:val="TOCHeading"/>
            <w:spacing w:before="0" w:line="360" w:lineRule="auto"/>
            <w:jc w:val="center"/>
          </w:pPr>
          <w:r w:rsidRPr="0032759B">
            <w:rPr>
              <w:rFonts w:ascii="Arial" w:hAnsi="Arial" w:cs="Arial"/>
              <w:color w:val="000000" w:themeColor="text1"/>
            </w:rPr>
            <w:t>Table of Contents</w:t>
          </w:r>
        </w:p>
        <w:p w14:paraId="2493F424" w14:textId="22922655" w:rsidR="001E4AAA" w:rsidRDefault="00060306" w:rsidP="001E4AAA">
          <w:pPr>
            <w:pStyle w:val="TOC1"/>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r w:rsidRPr="00BC06A4">
            <w:fldChar w:fldCharType="begin"/>
          </w:r>
          <w:r w:rsidR="00911CD7" w:rsidRPr="00BC06A4">
            <w:instrText xml:space="preserve"> TOC \o "1-3" \h \z \u </w:instrText>
          </w:r>
          <w:r w:rsidRPr="00BC06A4">
            <w:fldChar w:fldCharType="separate"/>
          </w:r>
          <w:hyperlink w:anchor="_Toc237865933" w:history="1">
            <w:r w:rsidR="001E4AAA" w:rsidRPr="005F6FA1">
              <w:rPr>
                <w:rStyle w:val="Hyperlink"/>
                <w:noProof/>
              </w:rPr>
              <w:t>TASK 1: SOCIAL EPIDEMIOLOGICAL ANALYSIS</w:t>
            </w:r>
            <w:r w:rsidR="001E4AAA">
              <w:rPr>
                <w:noProof/>
                <w:webHidden/>
              </w:rPr>
              <w:tab/>
            </w:r>
            <w:r w:rsidR="001E4AAA">
              <w:rPr>
                <w:noProof/>
                <w:webHidden/>
              </w:rPr>
              <w:fldChar w:fldCharType="begin"/>
            </w:r>
            <w:r w:rsidR="001E4AAA">
              <w:rPr>
                <w:noProof/>
                <w:webHidden/>
              </w:rPr>
              <w:instrText xml:space="preserve"> PAGEREF _Toc237865933 \h </w:instrText>
            </w:r>
            <w:r w:rsidR="001E4AAA">
              <w:rPr>
                <w:noProof/>
                <w:webHidden/>
              </w:rPr>
            </w:r>
            <w:r w:rsidR="001E4AAA">
              <w:rPr>
                <w:noProof/>
                <w:webHidden/>
              </w:rPr>
              <w:fldChar w:fldCharType="separate"/>
            </w:r>
            <w:r w:rsidR="001E4AAA">
              <w:rPr>
                <w:noProof/>
                <w:webHidden/>
              </w:rPr>
              <w:t>3</w:t>
            </w:r>
            <w:r w:rsidR="001E4AAA">
              <w:rPr>
                <w:noProof/>
                <w:webHidden/>
              </w:rPr>
              <w:fldChar w:fldCharType="end"/>
            </w:r>
          </w:hyperlink>
        </w:p>
        <w:p w14:paraId="5B09D0DC" w14:textId="23C8010E" w:rsidR="001E4AAA" w:rsidRDefault="001E4AAA" w:rsidP="001E4AAA">
          <w:pPr>
            <w:pStyle w:val="TOC2"/>
            <w:tabs>
              <w:tab w:val="right" w:leader="dot" w:pos="9350"/>
            </w:tabs>
            <w:spacing w:line="360" w:lineRule="auto"/>
            <w:rPr>
              <w:noProof/>
            </w:rPr>
          </w:pPr>
          <w:hyperlink w:anchor="_Toc237865934" w:history="1">
            <w:r w:rsidRPr="005F6FA1">
              <w:rPr>
                <w:rStyle w:val="Hyperlink"/>
                <w:noProof/>
              </w:rPr>
              <w:t>Introduction</w:t>
            </w:r>
            <w:r>
              <w:rPr>
                <w:noProof/>
                <w:webHidden/>
              </w:rPr>
              <w:tab/>
            </w:r>
            <w:r>
              <w:rPr>
                <w:noProof/>
                <w:webHidden/>
              </w:rPr>
              <w:fldChar w:fldCharType="begin"/>
            </w:r>
            <w:r>
              <w:rPr>
                <w:noProof/>
                <w:webHidden/>
              </w:rPr>
              <w:instrText xml:space="preserve"> PAGEREF _Toc237865934 \h </w:instrText>
            </w:r>
            <w:r>
              <w:rPr>
                <w:noProof/>
                <w:webHidden/>
              </w:rPr>
            </w:r>
            <w:r>
              <w:rPr>
                <w:noProof/>
                <w:webHidden/>
              </w:rPr>
              <w:fldChar w:fldCharType="separate"/>
            </w:r>
            <w:r>
              <w:rPr>
                <w:noProof/>
                <w:webHidden/>
              </w:rPr>
              <w:t>3</w:t>
            </w:r>
            <w:r>
              <w:rPr>
                <w:noProof/>
                <w:webHidden/>
              </w:rPr>
              <w:fldChar w:fldCharType="end"/>
            </w:r>
          </w:hyperlink>
        </w:p>
        <w:p w14:paraId="229E6236" w14:textId="220345D0" w:rsidR="001E4AAA" w:rsidRDefault="001E4AAA" w:rsidP="001E4AAA">
          <w:pPr>
            <w:pStyle w:val="TOC2"/>
            <w:tabs>
              <w:tab w:val="right" w:leader="dot" w:pos="9350"/>
            </w:tabs>
            <w:spacing w:line="360" w:lineRule="auto"/>
            <w:rPr>
              <w:noProof/>
            </w:rPr>
          </w:pPr>
          <w:hyperlink w:anchor="_Toc237865935" w:history="1">
            <w:r w:rsidRPr="005F6FA1">
              <w:rPr>
                <w:rStyle w:val="Hyperlink"/>
                <w:noProof/>
              </w:rPr>
              <w:t>Contextual background and underlying factor</w:t>
            </w:r>
            <w:r>
              <w:rPr>
                <w:noProof/>
                <w:webHidden/>
              </w:rPr>
              <w:tab/>
            </w:r>
            <w:r>
              <w:rPr>
                <w:noProof/>
                <w:webHidden/>
              </w:rPr>
              <w:fldChar w:fldCharType="begin"/>
            </w:r>
            <w:r>
              <w:rPr>
                <w:noProof/>
                <w:webHidden/>
              </w:rPr>
              <w:instrText xml:space="preserve"> PAGEREF _Toc237865935 \h </w:instrText>
            </w:r>
            <w:r>
              <w:rPr>
                <w:noProof/>
                <w:webHidden/>
              </w:rPr>
            </w:r>
            <w:r>
              <w:rPr>
                <w:noProof/>
                <w:webHidden/>
              </w:rPr>
              <w:fldChar w:fldCharType="separate"/>
            </w:r>
            <w:r>
              <w:rPr>
                <w:noProof/>
                <w:webHidden/>
              </w:rPr>
              <w:t>3</w:t>
            </w:r>
            <w:r>
              <w:rPr>
                <w:noProof/>
                <w:webHidden/>
              </w:rPr>
              <w:fldChar w:fldCharType="end"/>
            </w:r>
          </w:hyperlink>
        </w:p>
        <w:p w14:paraId="312A86BD" w14:textId="1A941387" w:rsidR="001E4AAA" w:rsidRDefault="001E4AAA" w:rsidP="001E4AAA">
          <w:pPr>
            <w:pStyle w:val="TOC2"/>
            <w:tabs>
              <w:tab w:val="right" w:leader="dot" w:pos="9350"/>
            </w:tabs>
            <w:spacing w:line="360" w:lineRule="auto"/>
            <w:rPr>
              <w:noProof/>
            </w:rPr>
          </w:pPr>
          <w:hyperlink w:anchor="_Toc237865936" w:history="1">
            <w:r w:rsidRPr="005F6FA1">
              <w:rPr>
                <w:rStyle w:val="Hyperlink"/>
                <w:noProof/>
              </w:rPr>
              <w:t>Explain the statistics you have found under each heading</w:t>
            </w:r>
            <w:r>
              <w:rPr>
                <w:noProof/>
                <w:webHidden/>
              </w:rPr>
              <w:tab/>
            </w:r>
            <w:r>
              <w:rPr>
                <w:noProof/>
                <w:webHidden/>
              </w:rPr>
              <w:fldChar w:fldCharType="begin"/>
            </w:r>
            <w:r>
              <w:rPr>
                <w:noProof/>
                <w:webHidden/>
              </w:rPr>
              <w:instrText xml:space="preserve"> PAGEREF _Toc237865936 \h </w:instrText>
            </w:r>
            <w:r>
              <w:rPr>
                <w:noProof/>
                <w:webHidden/>
              </w:rPr>
            </w:r>
            <w:r>
              <w:rPr>
                <w:noProof/>
                <w:webHidden/>
              </w:rPr>
              <w:fldChar w:fldCharType="separate"/>
            </w:r>
            <w:r>
              <w:rPr>
                <w:noProof/>
                <w:webHidden/>
              </w:rPr>
              <w:t>5</w:t>
            </w:r>
            <w:r>
              <w:rPr>
                <w:noProof/>
                <w:webHidden/>
              </w:rPr>
              <w:fldChar w:fldCharType="end"/>
            </w:r>
          </w:hyperlink>
        </w:p>
        <w:p w14:paraId="477FC153" w14:textId="367BA393" w:rsidR="001E4AAA" w:rsidRDefault="001E4AAA" w:rsidP="001E4AAA">
          <w:pPr>
            <w:pStyle w:val="TOC2"/>
            <w:tabs>
              <w:tab w:val="right" w:leader="dot" w:pos="9350"/>
            </w:tabs>
            <w:spacing w:line="360" w:lineRule="auto"/>
            <w:rPr>
              <w:noProof/>
            </w:rPr>
          </w:pPr>
          <w:hyperlink w:anchor="_Toc237865937" w:history="1">
            <w:r w:rsidRPr="005F6FA1">
              <w:rPr>
                <w:rStyle w:val="Hyperlink"/>
                <w:noProof/>
              </w:rPr>
              <w:t>Organisation Supporting Older Adults: Age UK</w:t>
            </w:r>
            <w:r>
              <w:rPr>
                <w:noProof/>
                <w:webHidden/>
              </w:rPr>
              <w:tab/>
            </w:r>
            <w:r>
              <w:rPr>
                <w:noProof/>
                <w:webHidden/>
              </w:rPr>
              <w:fldChar w:fldCharType="begin"/>
            </w:r>
            <w:r>
              <w:rPr>
                <w:noProof/>
                <w:webHidden/>
              </w:rPr>
              <w:instrText xml:space="preserve"> PAGEREF _Toc237865937 \h </w:instrText>
            </w:r>
            <w:r>
              <w:rPr>
                <w:noProof/>
                <w:webHidden/>
              </w:rPr>
            </w:r>
            <w:r>
              <w:rPr>
                <w:noProof/>
                <w:webHidden/>
              </w:rPr>
              <w:fldChar w:fldCharType="separate"/>
            </w:r>
            <w:r>
              <w:rPr>
                <w:noProof/>
                <w:webHidden/>
              </w:rPr>
              <w:t>6</w:t>
            </w:r>
            <w:r>
              <w:rPr>
                <w:noProof/>
                <w:webHidden/>
              </w:rPr>
              <w:fldChar w:fldCharType="end"/>
            </w:r>
          </w:hyperlink>
        </w:p>
        <w:p w14:paraId="0B285DA1" w14:textId="505B0B24" w:rsidR="001E4AAA" w:rsidRDefault="001E4AAA" w:rsidP="001E4AAA">
          <w:pPr>
            <w:pStyle w:val="TOC2"/>
            <w:tabs>
              <w:tab w:val="right" w:leader="dot" w:pos="9350"/>
            </w:tabs>
            <w:spacing w:line="360" w:lineRule="auto"/>
            <w:rPr>
              <w:noProof/>
            </w:rPr>
          </w:pPr>
          <w:hyperlink w:anchor="_Toc237865938" w:history="1">
            <w:r w:rsidRPr="005F6FA1">
              <w:rPr>
                <w:rStyle w:val="Hyperlink"/>
                <w:noProof/>
              </w:rPr>
              <w:t>Conclusion</w:t>
            </w:r>
            <w:r>
              <w:rPr>
                <w:noProof/>
                <w:webHidden/>
              </w:rPr>
              <w:tab/>
            </w:r>
            <w:r>
              <w:rPr>
                <w:noProof/>
                <w:webHidden/>
              </w:rPr>
              <w:fldChar w:fldCharType="begin"/>
            </w:r>
            <w:r>
              <w:rPr>
                <w:noProof/>
                <w:webHidden/>
              </w:rPr>
              <w:instrText xml:space="preserve"> PAGEREF _Toc237865938 \h </w:instrText>
            </w:r>
            <w:r>
              <w:rPr>
                <w:noProof/>
                <w:webHidden/>
              </w:rPr>
            </w:r>
            <w:r>
              <w:rPr>
                <w:noProof/>
                <w:webHidden/>
              </w:rPr>
              <w:fldChar w:fldCharType="separate"/>
            </w:r>
            <w:r>
              <w:rPr>
                <w:noProof/>
                <w:webHidden/>
              </w:rPr>
              <w:t>6</w:t>
            </w:r>
            <w:r>
              <w:rPr>
                <w:noProof/>
                <w:webHidden/>
              </w:rPr>
              <w:fldChar w:fldCharType="end"/>
            </w:r>
          </w:hyperlink>
        </w:p>
        <w:p w14:paraId="269CA01D" w14:textId="2C511302" w:rsidR="001E4AAA" w:rsidRDefault="001E4AAA" w:rsidP="001E4AAA">
          <w:pPr>
            <w:pStyle w:val="TOC1"/>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865939" w:history="1">
            <w:r w:rsidRPr="005F6FA1">
              <w:rPr>
                <w:rStyle w:val="Hyperlink"/>
                <w:noProof/>
              </w:rPr>
              <w:t>TASK 2: EPIDEMIOLOGICAL ANALYSIS</w:t>
            </w:r>
            <w:r>
              <w:rPr>
                <w:noProof/>
                <w:webHidden/>
              </w:rPr>
              <w:tab/>
            </w:r>
            <w:r>
              <w:rPr>
                <w:noProof/>
                <w:webHidden/>
              </w:rPr>
              <w:fldChar w:fldCharType="begin"/>
            </w:r>
            <w:r>
              <w:rPr>
                <w:noProof/>
                <w:webHidden/>
              </w:rPr>
              <w:instrText xml:space="preserve"> PAGEREF _Toc237865939 \h </w:instrText>
            </w:r>
            <w:r>
              <w:rPr>
                <w:noProof/>
                <w:webHidden/>
              </w:rPr>
            </w:r>
            <w:r>
              <w:rPr>
                <w:noProof/>
                <w:webHidden/>
              </w:rPr>
              <w:fldChar w:fldCharType="separate"/>
            </w:r>
            <w:r>
              <w:rPr>
                <w:noProof/>
                <w:webHidden/>
              </w:rPr>
              <w:t>7</w:t>
            </w:r>
            <w:r>
              <w:rPr>
                <w:noProof/>
                <w:webHidden/>
              </w:rPr>
              <w:fldChar w:fldCharType="end"/>
            </w:r>
          </w:hyperlink>
        </w:p>
        <w:p w14:paraId="61B73BF8" w14:textId="31AD39DB" w:rsidR="001E4AAA" w:rsidRDefault="001E4AAA" w:rsidP="001E4AAA">
          <w:pPr>
            <w:pStyle w:val="TOC2"/>
            <w:tabs>
              <w:tab w:val="right" w:leader="dot" w:pos="9350"/>
            </w:tabs>
            <w:spacing w:line="360" w:lineRule="auto"/>
            <w:rPr>
              <w:noProof/>
            </w:rPr>
          </w:pPr>
          <w:hyperlink w:anchor="_Toc237865940" w:history="1">
            <w:r w:rsidRPr="005F6FA1">
              <w:rPr>
                <w:rStyle w:val="Hyperlink"/>
                <w:noProof/>
              </w:rPr>
              <w:t>Introduction</w:t>
            </w:r>
            <w:r>
              <w:rPr>
                <w:noProof/>
                <w:webHidden/>
              </w:rPr>
              <w:tab/>
            </w:r>
            <w:r>
              <w:rPr>
                <w:noProof/>
                <w:webHidden/>
              </w:rPr>
              <w:fldChar w:fldCharType="begin"/>
            </w:r>
            <w:r>
              <w:rPr>
                <w:noProof/>
                <w:webHidden/>
              </w:rPr>
              <w:instrText xml:space="preserve"> PAGEREF _Toc237865940 \h </w:instrText>
            </w:r>
            <w:r>
              <w:rPr>
                <w:noProof/>
                <w:webHidden/>
              </w:rPr>
            </w:r>
            <w:r>
              <w:rPr>
                <w:noProof/>
                <w:webHidden/>
              </w:rPr>
              <w:fldChar w:fldCharType="separate"/>
            </w:r>
            <w:r>
              <w:rPr>
                <w:noProof/>
                <w:webHidden/>
              </w:rPr>
              <w:t>7</w:t>
            </w:r>
            <w:r>
              <w:rPr>
                <w:noProof/>
                <w:webHidden/>
              </w:rPr>
              <w:fldChar w:fldCharType="end"/>
            </w:r>
          </w:hyperlink>
        </w:p>
        <w:p w14:paraId="4D848537" w14:textId="2AE1951C" w:rsidR="001E4AAA" w:rsidRDefault="001E4AAA" w:rsidP="001E4AAA">
          <w:pPr>
            <w:pStyle w:val="TOC2"/>
            <w:tabs>
              <w:tab w:val="right" w:leader="dot" w:pos="9350"/>
            </w:tabs>
            <w:spacing w:line="360" w:lineRule="auto"/>
            <w:rPr>
              <w:noProof/>
            </w:rPr>
          </w:pPr>
          <w:hyperlink w:anchor="_Toc237865941" w:history="1">
            <w:r w:rsidRPr="005F6FA1">
              <w:rPr>
                <w:rStyle w:val="Hyperlink"/>
                <w:noProof/>
              </w:rPr>
              <w:t>Discussion</w:t>
            </w:r>
            <w:r>
              <w:rPr>
                <w:noProof/>
                <w:webHidden/>
              </w:rPr>
              <w:tab/>
            </w:r>
            <w:r>
              <w:rPr>
                <w:noProof/>
                <w:webHidden/>
              </w:rPr>
              <w:fldChar w:fldCharType="begin"/>
            </w:r>
            <w:r>
              <w:rPr>
                <w:noProof/>
                <w:webHidden/>
              </w:rPr>
              <w:instrText xml:space="preserve"> PAGEREF _Toc237865941 \h </w:instrText>
            </w:r>
            <w:r>
              <w:rPr>
                <w:noProof/>
                <w:webHidden/>
              </w:rPr>
            </w:r>
            <w:r>
              <w:rPr>
                <w:noProof/>
                <w:webHidden/>
              </w:rPr>
              <w:fldChar w:fldCharType="separate"/>
            </w:r>
            <w:r>
              <w:rPr>
                <w:noProof/>
                <w:webHidden/>
              </w:rPr>
              <w:t>7</w:t>
            </w:r>
            <w:r>
              <w:rPr>
                <w:noProof/>
                <w:webHidden/>
              </w:rPr>
              <w:fldChar w:fldCharType="end"/>
            </w:r>
          </w:hyperlink>
        </w:p>
        <w:p w14:paraId="6FF76CF0" w14:textId="5895E43A" w:rsidR="001E4AAA" w:rsidRDefault="001E4AAA" w:rsidP="001E4AAA">
          <w:pPr>
            <w:pStyle w:val="TOC2"/>
            <w:tabs>
              <w:tab w:val="right" w:leader="dot" w:pos="9350"/>
            </w:tabs>
            <w:spacing w:line="360" w:lineRule="auto"/>
            <w:rPr>
              <w:noProof/>
            </w:rPr>
          </w:pPr>
          <w:hyperlink w:anchor="_Toc237865942" w:history="1">
            <w:r w:rsidRPr="005F6FA1">
              <w:rPr>
                <w:rStyle w:val="Hyperlink"/>
                <w:noProof/>
              </w:rPr>
              <w:t>Conclusion</w:t>
            </w:r>
            <w:r>
              <w:rPr>
                <w:noProof/>
                <w:webHidden/>
              </w:rPr>
              <w:tab/>
            </w:r>
            <w:r>
              <w:rPr>
                <w:noProof/>
                <w:webHidden/>
              </w:rPr>
              <w:fldChar w:fldCharType="begin"/>
            </w:r>
            <w:r>
              <w:rPr>
                <w:noProof/>
                <w:webHidden/>
              </w:rPr>
              <w:instrText xml:space="preserve"> PAGEREF _Toc237865942 \h </w:instrText>
            </w:r>
            <w:r>
              <w:rPr>
                <w:noProof/>
                <w:webHidden/>
              </w:rPr>
            </w:r>
            <w:r>
              <w:rPr>
                <w:noProof/>
                <w:webHidden/>
              </w:rPr>
              <w:fldChar w:fldCharType="separate"/>
            </w:r>
            <w:r>
              <w:rPr>
                <w:noProof/>
                <w:webHidden/>
              </w:rPr>
              <w:t>12</w:t>
            </w:r>
            <w:r>
              <w:rPr>
                <w:noProof/>
                <w:webHidden/>
              </w:rPr>
              <w:fldChar w:fldCharType="end"/>
            </w:r>
          </w:hyperlink>
        </w:p>
        <w:p w14:paraId="021B2ADA" w14:textId="7993CA84" w:rsidR="001E4AAA" w:rsidRDefault="001E4AAA" w:rsidP="001E4AAA">
          <w:pPr>
            <w:pStyle w:val="TOC1"/>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865943" w:history="1">
            <w:r w:rsidRPr="005F6FA1">
              <w:rPr>
                <w:rStyle w:val="Hyperlink"/>
                <w:noProof/>
              </w:rPr>
              <w:t>Reference list</w:t>
            </w:r>
            <w:r>
              <w:rPr>
                <w:noProof/>
                <w:webHidden/>
              </w:rPr>
              <w:tab/>
            </w:r>
            <w:r>
              <w:rPr>
                <w:noProof/>
                <w:webHidden/>
              </w:rPr>
              <w:fldChar w:fldCharType="begin"/>
            </w:r>
            <w:r>
              <w:rPr>
                <w:noProof/>
                <w:webHidden/>
              </w:rPr>
              <w:instrText xml:space="preserve"> PAGEREF _Toc237865943 \h </w:instrText>
            </w:r>
            <w:r>
              <w:rPr>
                <w:noProof/>
                <w:webHidden/>
              </w:rPr>
            </w:r>
            <w:r>
              <w:rPr>
                <w:noProof/>
                <w:webHidden/>
              </w:rPr>
              <w:fldChar w:fldCharType="separate"/>
            </w:r>
            <w:r>
              <w:rPr>
                <w:noProof/>
                <w:webHidden/>
              </w:rPr>
              <w:t>13</w:t>
            </w:r>
            <w:r>
              <w:rPr>
                <w:noProof/>
                <w:webHidden/>
              </w:rPr>
              <w:fldChar w:fldCharType="end"/>
            </w:r>
          </w:hyperlink>
        </w:p>
        <w:p w14:paraId="2AD4FAE6" w14:textId="6747A3D1" w:rsidR="00911CD7" w:rsidRPr="00BC06A4" w:rsidRDefault="00060306" w:rsidP="0032759B">
          <w:pPr>
            <w:spacing w:line="360" w:lineRule="auto"/>
            <w:jc w:val="both"/>
          </w:pPr>
          <w:r w:rsidRPr="00BC06A4">
            <w:fldChar w:fldCharType="end"/>
          </w:r>
        </w:p>
      </w:sdtContent>
    </w:sdt>
    <w:p w14:paraId="2AD4FAE7" w14:textId="77777777" w:rsidR="00776227" w:rsidRPr="00BC06A4" w:rsidRDefault="00776227" w:rsidP="00BC06A4">
      <w:pPr>
        <w:spacing w:line="360" w:lineRule="auto"/>
        <w:rPr>
          <w:rFonts w:eastAsia="Times New Roman"/>
          <w:lang w:val="en-GB"/>
        </w:rPr>
      </w:pPr>
      <w:r w:rsidRPr="00BC06A4">
        <w:rPr>
          <w:rFonts w:eastAsia="Times New Roman"/>
          <w:lang w:val="en-GB"/>
        </w:rPr>
        <w:br w:type="page"/>
      </w:r>
    </w:p>
    <w:p w14:paraId="2AD4FAE8" w14:textId="0D284B80" w:rsidR="00BC06A4" w:rsidRDefault="001E4AAA" w:rsidP="00BC06A4">
      <w:pPr>
        <w:pStyle w:val="Heading1"/>
      </w:pPr>
      <w:bookmarkStart w:id="0" w:name="_Toc237865933"/>
      <w:r>
        <w:lastRenderedPageBreak/>
        <w:t xml:space="preserve">TASK 1: </w:t>
      </w:r>
      <w:r w:rsidRPr="07555A71">
        <w:t>SOCIAL EPIDEMIOLOGICAL ANALYSIS</w:t>
      </w:r>
      <w:bookmarkEnd w:id="0"/>
    </w:p>
    <w:p w14:paraId="2AD4FAE9" w14:textId="77777777" w:rsidR="00101A0D" w:rsidRPr="001E4AAA" w:rsidRDefault="003F5D05" w:rsidP="001E4AAA">
      <w:pPr>
        <w:pStyle w:val="Heading2"/>
      </w:pPr>
      <w:bookmarkStart w:id="1" w:name="_Toc237865934"/>
      <w:r w:rsidRPr="001E4AAA">
        <w:t>Introduction</w:t>
      </w:r>
      <w:bookmarkEnd w:id="1"/>
    </w:p>
    <w:p w14:paraId="2AD4FAEA"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Age and health inequalities are referred to as systematic differences in health outcomes, access to quality and healthcare of life experienced by people across different age groups. This analysis is going to focus on older adults aged 65 years and above, who may be particularly vulnerable to health inequalities. Aging is sometimes associated with higher rates of chronic illness, disability, reduced mobility and increased reliance on health and social care services. Nevertheless, these risks can be added to by social determinants such as social isolation, low income, inappropriate housing and unequal access to health care. Understanding these inequalities is essential to promote healthy aging and fair healthcare delivery.</w:t>
      </w:r>
    </w:p>
    <w:p w14:paraId="2AD4FAEB" w14:textId="77777777" w:rsidR="00101A0D" w:rsidRPr="00BC06A4" w:rsidRDefault="003F5D05" w:rsidP="001E4AAA">
      <w:pPr>
        <w:pStyle w:val="Heading2"/>
      </w:pPr>
      <w:bookmarkStart w:id="2" w:name="_Toc237865935"/>
      <w:r w:rsidRPr="00BC06A4">
        <w:t>Contextual background and underlying factor</w:t>
      </w:r>
      <w:bookmarkEnd w:id="2"/>
    </w:p>
    <w:p w14:paraId="2AD4FAEC" w14:textId="77777777" w:rsidR="00101A0D" w:rsidRPr="00D27BAA" w:rsidRDefault="003F5D05" w:rsidP="00BC06A4">
      <w:pPr>
        <w:pStyle w:val="Normal1"/>
        <w:spacing w:line="360" w:lineRule="auto"/>
        <w:jc w:val="both"/>
        <w:rPr>
          <w:rFonts w:eastAsia="Times New Roman"/>
          <w:b/>
          <w:lang w:val="en-GB"/>
        </w:rPr>
      </w:pPr>
      <w:r w:rsidRPr="00D27BAA">
        <w:rPr>
          <w:rFonts w:eastAsia="Times New Roman"/>
          <w:b/>
          <w:lang w:val="en-GB"/>
        </w:rPr>
        <w:t>3 diseases</w:t>
      </w:r>
    </w:p>
    <w:p w14:paraId="2AD4FAED" w14:textId="77777777" w:rsidR="00101A0D" w:rsidRPr="00EF6402" w:rsidRDefault="003F5D05" w:rsidP="00BC06A4">
      <w:pPr>
        <w:pStyle w:val="Normal1"/>
        <w:spacing w:line="360" w:lineRule="auto"/>
        <w:jc w:val="both"/>
        <w:rPr>
          <w:rFonts w:eastAsia="Times New Roman"/>
          <w:b/>
          <w:i/>
          <w:lang w:val="en-GB"/>
        </w:rPr>
      </w:pPr>
      <w:r w:rsidRPr="00EF6402">
        <w:rPr>
          <w:rFonts w:eastAsia="Times New Roman"/>
          <w:b/>
          <w:i/>
          <w:lang w:val="en-GB"/>
        </w:rPr>
        <w:t>Disease 1: Heart disease</w:t>
      </w:r>
    </w:p>
    <w:p w14:paraId="2AD4FAEE"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Cardiovascular disease (CVD) including coronary heart disease and stroke represents a major health challenge in later life. The British Heart Foundation’s 2025 statistics demonstrate the large UK burden of heart and circulatory diseases (bhf.org.uk, 2026). Age-related physiological changes are superimposed on cumulative exposure to hypertension, smoking, poor diet and physical inactivity. However, the socioeconomic context is also relevant as disadvantaged older people may experience higher levels of risk factors and barriers to preventive health care. Therefore, the inequality is not simply explained by chronological age. Prevention requires accessible blood-pressure and cholesterol monitoring, smoking cessation, physical activity support and timely primary-care management, with greater attention given to socioeconomically disadvantaged communities.</w:t>
      </w:r>
    </w:p>
    <w:p w14:paraId="2AD4FAEF" w14:textId="77777777" w:rsidR="00101A0D" w:rsidRPr="00BC06A4" w:rsidRDefault="003F5D05" w:rsidP="00BC06A4">
      <w:pPr>
        <w:pStyle w:val="Normal1"/>
        <w:spacing w:line="360" w:lineRule="auto"/>
        <w:jc w:val="center"/>
        <w:rPr>
          <w:rFonts w:eastAsia="Times New Roman"/>
          <w:lang w:val="en-GB"/>
        </w:rPr>
      </w:pPr>
      <w:r w:rsidRPr="00BC06A4">
        <w:rPr>
          <w:rFonts w:eastAsia="Times New Roman"/>
          <w:noProof/>
          <w:lang w:val="en-IN" w:eastAsia="en-IN"/>
        </w:rPr>
        <w:drawing>
          <wp:inline distT="114300" distB="114300" distL="114300" distR="114300" wp14:anchorId="2AD4FB74" wp14:editId="2AD4FB75">
            <wp:extent cx="5943600" cy="1333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1333500"/>
                    </a:xfrm>
                    <a:prstGeom prst="rect">
                      <a:avLst/>
                    </a:prstGeom>
                    <a:ln/>
                  </pic:spPr>
                </pic:pic>
              </a:graphicData>
            </a:graphic>
          </wp:inline>
        </w:drawing>
      </w:r>
    </w:p>
    <w:p w14:paraId="2AD4FAF0" w14:textId="77777777" w:rsidR="00101A0D" w:rsidRPr="00BC06A4" w:rsidRDefault="003F5D05" w:rsidP="00BC06A4">
      <w:pPr>
        <w:pStyle w:val="Normal1"/>
        <w:spacing w:line="360" w:lineRule="auto"/>
        <w:jc w:val="center"/>
        <w:rPr>
          <w:rFonts w:eastAsia="Times New Roman"/>
          <w:b/>
          <w:bCs/>
          <w:lang w:val="en-GB"/>
        </w:rPr>
      </w:pPr>
      <w:r w:rsidRPr="00BC06A4">
        <w:rPr>
          <w:rFonts w:eastAsia="Times New Roman"/>
          <w:b/>
          <w:bCs/>
          <w:lang w:val="en-GB"/>
        </w:rPr>
        <w:t>Figure 1: Percentage of adults NOT meeting 5-a-day fruit</w:t>
      </w:r>
    </w:p>
    <w:p w14:paraId="2AD4FAF1" w14:textId="77777777" w:rsidR="00101A0D" w:rsidRPr="00BC06A4" w:rsidRDefault="003F5D05" w:rsidP="00BC06A4">
      <w:pPr>
        <w:pStyle w:val="Normal1"/>
        <w:spacing w:line="360" w:lineRule="auto"/>
        <w:jc w:val="center"/>
        <w:rPr>
          <w:rFonts w:eastAsia="Times New Roman"/>
          <w:lang w:val="en-GB"/>
        </w:rPr>
      </w:pPr>
      <w:r w:rsidRPr="00BC06A4">
        <w:rPr>
          <w:rFonts w:eastAsia="Times New Roman"/>
          <w:lang w:val="en-GB"/>
        </w:rPr>
        <w:t>(Source: bhf.org.uk, 2026)</w:t>
      </w:r>
    </w:p>
    <w:p w14:paraId="2AD4FAF2" w14:textId="77777777" w:rsidR="00101A0D" w:rsidRPr="0021243C" w:rsidRDefault="003F5D05" w:rsidP="00BC06A4">
      <w:pPr>
        <w:pStyle w:val="Normal1"/>
        <w:spacing w:line="360" w:lineRule="auto"/>
        <w:jc w:val="both"/>
        <w:rPr>
          <w:rFonts w:eastAsia="Times New Roman"/>
          <w:b/>
          <w:i/>
          <w:lang w:val="en-GB"/>
        </w:rPr>
      </w:pPr>
      <w:r w:rsidRPr="0021243C">
        <w:rPr>
          <w:rFonts w:eastAsia="Times New Roman"/>
          <w:b/>
          <w:i/>
          <w:lang w:val="en-GB"/>
        </w:rPr>
        <w:t xml:space="preserve">Disease 2: Dementia </w:t>
      </w:r>
    </w:p>
    <w:p w14:paraId="2AD4FAF3"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lastRenderedPageBreak/>
        <w:t>Dementia produces a particularly clear age-related inequality. Around one million people in the UK live with dementia, while approximately one in 14 people over 65 and one in six over 80 have the condition (alzheimers.org.uk, 2026). Increasing age is therefore an important risk factor, although dementia should not be considered an inevitable consequence of ageing. Inequalities can also emerge through differences in diagnosis, socioeconomic circumstances and access to specialist support. A late diagnosis may mean people don’t get the right treatment and care planning. Earlier assessment, improved access to memory services, dementia-friendly communities and support for carers can reduce these disadvantages.</w:t>
      </w:r>
    </w:p>
    <w:p w14:paraId="2AD4FAF4" w14:textId="77777777" w:rsidR="00101A0D" w:rsidRPr="00555407" w:rsidRDefault="003F5D05" w:rsidP="00BC06A4">
      <w:pPr>
        <w:pStyle w:val="Normal1"/>
        <w:spacing w:line="360" w:lineRule="auto"/>
        <w:jc w:val="both"/>
        <w:rPr>
          <w:rFonts w:eastAsia="Times New Roman"/>
          <w:b/>
          <w:i/>
          <w:lang w:val="en-GB"/>
        </w:rPr>
      </w:pPr>
      <w:r w:rsidRPr="00555407">
        <w:rPr>
          <w:rFonts w:eastAsia="Times New Roman"/>
          <w:b/>
          <w:i/>
          <w:lang w:val="en-GB"/>
        </w:rPr>
        <w:t xml:space="preserve">Disease 3: Mental Ill-Health </w:t>
      </w:r>
    </w:p>
    <w:p w14:paraId="2AD4FAF5"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 xml:space="preserve">Poor mental health is another significant issue among older </w:t>
      </w:r>
      <w:proofErr w:type="gramStart"/>
      <w:r w:rsidRPr="00BC06A4">
        <w:rPr>
          <w:rFonts w:eastAsia="Times New Roman"/>
          <w:lang w:val="en-GB"/>
        </w:rPr>
        <w:t>adults</w:t>
      </w:r>
      <w:proofErr w:type="gramEnd"/>
      <w:r w:rsidRPr="00BC06A4">
        <w:rPr>
          <w:rFonts w:eastAsia="Times New Roman"/>
          <w:lang w:val="en-GB"/>
        </w:rPr>
        <w:t xml:space="preserve"> and depression and anxiety may </w:t>
      </w:r>
      <w:proofErr w:type="gramStart"/>
      <w:r w:rsidRPr="00BC06A4">
        <w:rPr>
          <w:rFonts w:eastAsia="Times New Roman"/>
          <w:lang w:val="en-GB"/>
        </w:rPr>
        <w:t>be connected with</w:t>
      </w:r>
      <w:proofErr w:type="gramEnd"/>
      <w:r w:rsidRPr="00BC06A4">
        <w:rPr>
          <w:rFonts w:eastAsia="Times New Roman"/>
          <w:lang w:val="en-GB"/>
        </w:rPr>
        <w:t xml:space="preserve"> bereavement, chronic disease, loss of independence, retirement and decreased social interaction. These factors can accumulate, meaning socially disadvantaged older adults may experience several risks simultaneously. Mental illness can also be overlooked where symptoms such as withdrawal or low mood are incorrectly attributed to normal ageing (Reynolds </w:t>
      </w:r>
      <w:r w:rsidRPr="00BC06A4">
        <w:rPr>
          <w:rFonts w:eastAsia="Times New Roman"/>
          <w:i/>
          <w:iCs/>
          <w:lang w:val="en-GB"/>
        </w:rPr>
        <w:t xml:space="preserve">et al. </w:t>
      </w:r>
      <w:r w:rsidRPr="00BC06A4">
        <w:rPr>
          <w:rFonts w:eastAsia="Times New Roman"/>
          <w:lang w:val="en-GB"/>
        </w:rPr>
        <w:t xml:space="preserve">2022). This creates inequality because unmet mental-health needs can reduce quality of life and worsen management of existing physical conditions. Solutions include routine mental-health assessment within primary care, access to psychological therapies, social prescribing and closer integration of mental-health, primary-care and community services. </w:t>
      </w:r>
    </w:p>
    <w:p w14:paraId="2AD4FAF6" w14:textId="77777777" w:rsidR="00101A0D" w:rsidRPr="00D27BAA" w:rsidRDefault="003F5D05" w:rsidP="00BC06A4">
      <w:pPr>
        <w:pStyle w:val="Normal1"/>
        <w:spacing w:line="360" w:lineRule="auto"/>
        <w:jc w:val="both"/>
        <w:rPr>
          <w:rFonts w:eastAsia="Times New Roman"/>
          <w:b/>
          <w:lang w:val="en-GB"/>
        </w:rPr>
      </w:pPr>
      <w:r w:rsidRPr="00D27BAA">
        <w:rPr>
          <w:rFonts w:eastAsia="Times New Roman"/>
          <w:b/>
          <w:lang w:val="en-GB"/>
        </w:rPr>
        <w:t>3 social issues</w:t>
      </w:r>
    </w:p>
    <w:p w14:paraId="2AD4FAF7" w14:textId="77777777" w:rsidR="00101A0D" w:rsidRPr="00D27BAA" w:rsidRDefault="003F5D05" w:rsidP="00BC06A4">
      <w:pPr>
        <w:pStyle w:val="Normal1"/>
        <w:spacing w:line="360" w:lineRule="auto"/>
        <w:jc w:val="both"/>
        <w:rPr>
          <w:rFonts w:eastAsia="Times New Roman"/>
          <w:b/>
          <w:i/>
          <w:lang w:val="en-GB"/>
        </w:rPr>
      </w:pPr>
      <w:r w:rsidRPr="00D27BAA">
        <w:rPr>
          <w:rFonts w:eastAsia="Times New Roman"/>
          <w:b/>
          <w:i/>
          <w:lang w:val="en-GB"/>
        </w:rPr>
        <w:t>Social issue 1:</w:t>
      </w:r>
      <w:r w:rsidR="00776227" w:rsidRPr="00D27BAA">
        <w:rPr>
          <w:rFonts w:eastAsia="Times New Roman"/>
          <w:b/>
          <w:i/>
          <w:lang w:val="en-GB"/>
        </w:rPr>
        <w:t xml:space="preserve"> </w:t>
      </w:r>
      <w:r w:rsidRPr="00D27BAA">
        <w:rPr>
          <w:rFonts w:eastAsia="Times New Roman"/>
          <w:b/>
          <w:i/>
          <w:lang w:val="en-GB"/>
        </w:rPr>
        <w:t>Social Isolation and Loneliness</w:t>
      </w:r>
    </w:p>
    <w:p w14:paraId="2AD4FAF8"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Social isolation is a significant social determinant of health and almost one million people aged 65 and above in the UK often experience loneliness. Bereavement, mobility problems, living alone and declining social networks can maximise vulnerability. Digital exclusion may intensify the problem as healthcare information and social activities increasingly move online (Mubarak and Suomi, 2022). Loneliness is a common experience and can affect mental wellbeing and lead to poorer health in general. Community activities, befriending programs, social prescribing, accessible transport and digital-skills support can all help to reinforce social participation while retaining face-to-face services for those unable to use digital technologies.</w:t>
      </w:r>
    </w:p>
    <w:p w14:paraId="2AD4FAF9" w14:textId="77777777" w:rsidR="00101A0D" w:rsidRPr="00B01F7D" w:rsidRDefault="003F5D05" w:rsidP="00BC06A4">
      <w:pPr>
        <w:pStyle w:val="Normal1"/>
        <w:spacing w:line="360" w:lineRule="auto"/>
        <w:jc w:val="both"/>
        <w:rPr>
          <w:rFonts w:eastAsia="Times New Roman"/>
          <w:b/>
          <w:i/>
          <w:lang w:val="en-GB"/>
        </w:rPr>
      </w:pPr>
      <w:r w:rsidRPr="00B01F7D">
        <w:rPr>
          <w:rFonts w:eastAsia="Times New Roman"/>
          <w:b/>
          <w:i/>
          <w:lang w:val="en-GB"/>
        </w:rPr>
        <w:t xml:space="preserve">Social Issue 2: Poverty and Economic Insecurity </w:t>
      </w:r>
    </w:p>
    <w:p w14:paraId="2AD4FAFA"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 xml:space="preserve">Older people may be financially disadvantaged and unable to afford nutritious food, heating, transport and social participation. Information from DWP shows that only 62% of people entitled to Pension Credit received it in 2023-24, falling to 60% among people aged 75 and above (gov.uk, 2026). This means that the current level of financial support is not reaching all eligible older persons. Financial hardship can subsequently translate into poorer health through material </w:t>
      </w:r>
      <w:r w:rsidRPr="00BC06A4">
        <w:rPr>
          <w:rFonts w:eastAsia="Times New Roman"/>
          <w:lang w:val="en-GB"/>
        </w:rPr>
        <w:lastRenderedPageBreak/>
        <w:t>deprivation. Maximising Pension Credit awareness, simplifying claims and providing accessible benefits advice could improve financial security and reduce associated health inequalities.</w:t>
      </w:r>
    </w:p>
    <w:p w14:paraId="2AD4FAFB" w14:textId="77777777" w:rsidR="00101A0D" w:rsidRPr="00BC06A4" w:rsidRDefault="003F5D05" w:rsidP="00BC06A4">
      <w:pPr>
        <w:pStyle w:val="Normal1"/>
        <w:spacing w:line="360" w:lineRule="auto"/>
        <w:jc w:val="center"/>
        <w:rPr>
          <w:rFonts w:eastAsia="Times New Roman"/>
          <w:lang w:val="en-GB"/>
        </w:rPr>
      </w:pPr>
      <w:r w:rsidRPr="00BC06A4">
        <w:rPr>
          <w:rFonts w:eastAsia="Times New Roman"/>
          <w:noProof/>
          <w:lang w:val="en-IN" w:eastAsia="en-IN"/>
        </w:rPr>
        <w:drawing>
          <wp:inline distT="114300" distB="114300" distL="114300" distR="114300" wp14:anchorId="2AD4FB76" wp14:editId="2AD4FB77">
            <wp:extent cx="5372100" cy="3533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72100" cy="3533775"/>
                    </a:xfrm>
                    <a:prstGeom prst="rect">
                      <a:avLst/>
                    </a:prstGeom>
                    <a:ln/>
                  </pic:spPr>
                </pic:pic>
              </a:graphicData>
            </a:graphic>
          </wp:inline>
        </w:drawing>
      </w:r>
    </w:p>
    <w:p w14:paraId="2AD4FAFC" w14:textId="77777777" w:rsidR="00101A0D" w:rsidRPr="00BC06A4" w:rsidRDefault="003F5D05" w:rsidP="00BC06A4">
      <w:pPr>
        <w:pStyle w:val="Normal1"/>
        <w:spacing w:line="360" w:lineRule="auto"/>
        <w:jc w:val="center"/>
        <w:rPr>
          <w:rFonts w:eastAsia="Times New Roman"/>
          <w:b/>
          <w:lang w:val="en-GB"/>
        </w:rPr>
      </w:pPr>
      <w:r w:rsidRPr="00BC06A4">
        <w:rPr>
          <w:rFonts w:eastAsia="Times New Roman"/>
          <w:b/>
          <w:lang w:val="en-GB"/>
        </w:rPr>
        <w:t>Figure 2: Take-up range (caseload) of PC, FYE 2013 to FYE 2024</w:t>
      </w:r>
    </w:p>
    <w:p w14:paraId="2AD4FAFD" w14:textId="77777777" w:rsidR="00101A0D" w:rsidRPr="00BC06A4" w:rsidRDefault="003F5D05" w:rsidP="00BC06A4">
      <w:pPr>
        <w:pStyle w:val="Normal1"/>
        <w:spacing w:line="360" w:lineRule="auto"/>
        <w:jc w:val="center"/>
        <w:rPr>
          <w:rFonts w:eastAsia="Times New Roman"/>
          <w:lang w:val="en-GB"/>
        </w:rPr>
      </w:pPr>
      <w:r w:rsidRPr="00BC06A4">
        <w:rPr>
          <w:rFonts w:eastAsia="Times New Roman"/>
          <w:lang w:val="en-GB"/>
        </w:rPr>
        <w:t>(Source: gov.uk, 2026)</w:t>
      </w:r>
    </w:p>
    <w:p w14:paraId="2AD4FAFE" w14:textId="77777777" w:rsidR="00101A0D" w:rsidRPr="00B01F7D" w:rsidRDefault="003F5D05" w:rsidP="00BC06A4">
      <w:pPr>
        <w:pStyle w:val="Normal1"/>
        <w:spacing w:line="360" w:lineRule="auto"/>
        <w:jc w:val="both"/>
        <w:rPr>
          <w:rFonts w:eastAsia="Times New Roman"/>
          <w:b/>
          <w:i/>
          <w:lang w:val="en-GB"/>
        </w:rPr>
      </w:pPr>
      <w:r w:rsidRPr="00B01F7D">
        <w:rPr>
          <w:rFonts w:eastAsia="Times New Roman"/>
          <w:b/>
          <w:i/>
          <w:lang w:val="en-GB"/>
        </w:rPr>
        <w:t>Social issue 3: Poor and Unsuitable Housing</w:t>
      </w:r>
    </w:p>
    <w:p w14:paraId="2AD4FAFF"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Housing conditions can further maximise inequality and Age UK reported that 75% of surveyed people aged 66 and above experienced homes that were colder than they wanted at least some of the time. Cold, damp or inaccessible housing can particularly affect older people with chronic illness or mobility limitations (ageuk.org.uk, 2026). Lower-income households may have fewer resources to heat, repair or adapt their properties. Housing adaptations, insulation improvements, energy assistance and falls-prevention assessments could therefore help older adults remain healthier and independent within their homes.</w:t>
      </w:r>
    </w:p>
    <w:p w14:paraId="2AD4FB00" w14:textId="77777777" w:rsidR="00101A0D" w:rsidRPr="00BC06A4" w:rsidRDefault="003F5D05" w:rsidP="001E4AAA">
      <w:pPr>
        <w:pStyle w:val="Heading2"/>
      </w:pPr>
      <w:bookmarkStart w:id="3" w:name="_Toc237865936"/>
      <w:r w:rsidRPr="00BC06A4">
        <w:t>Explain the statistics you have found under each heading</w:t>
      </w:r>
      <w:bookmarkEnd w:id="3"/>
    </w:p>
    <w:p w14:paraId="2AD4FB01" w14:textId="77777777" w:rsidR="00101A0D" w:rsidRPr="00BC06A4" w:rsidRDefault="003F5D05" w:rsidP="00BC06A4">
      <w:pPr>
        <w:pStyle w:val="Normal1"/>
        <w:spacing w:line="360" w:lineRule="auto"/>
        <w:jc w:val="both"/>
        <w:rPr>
          <w:rFonts w:eastAsia="Times New Roman"/>
          <w:i/>
          <w:iCs/>
          <w:lang w:val="en-GB"/>
        </w:rPr>
      </w:pPr>
      <w:r w:rsidRPr="00BC06A4">
        <w:rPr>
          <w:rFonts w:eastAsia="Times New Roman"/>
          <w:i/>
          <w:iCs/>
          <w:lang w:val="en-GB"/>
        </w:rPr>
        <w:t>NHS Healthy Ageing and Frailty Support</w:t>
      </w:r>
    </w:p>
    <w:p w14:paraId="2AD4FB02"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 xml:space="preserve">NHS England's healthy ageing and frailty approach represents one national response. It recognises poor nutrition, physical inactivity, falls, social isolation and other modifiable factors influencing older people's independence (england.nhs.uk, 2026). Preventive and personalised practices can search out risks before substantial deterioration occurs. Conversely, benefits </w:t>
      </w:r>
      <w:r w:rsidRPr="00BC06A4">
        <w:rPr>
          <w:rFonts w:eastAsia="Times New Roman"/>
          <w:lang w:val="en-GB"/>
        </w:rPr>
        <w:lastRenderedPageBreak/>
        <w:t>depend upon accessible local services and sufficient healthcare capacity, meaning implementation differences can potentially maintain geographical inequalities.</w:t>
      </w:r>
    </w:p>
    <w:p w14:paraId="2AD4FB03" w14:textId="77777777" w:rsidR="00101A0D" w:rsidRPr="00BC06A4" w:rsidRDefault="003F5D05" w:rsidP="00BC06A4">
      <w:pPr>
        <w:pStyle w:val="Normal1"/>
        <w:spacing w:line="360" w:lineRule="auto"/>
        <w:jc w:val="both"/>
        <w:rPr>
          <w:rFonts w:eastAsia="Times New Roman"/>
          <w:i/>
          <w:iCs/>
          <w:lang w:val="en-GB"/>
        </w:rPr>
      </w:pPr>
      <w:r w:rsidRPr="00BC06A4">
        <w:rPr>
          <w:rFonts w:eastAsia="Times New Roman"/>
          <w:i/>
          <w:iCs/>
          <w:lang w:val="en-GB"/>
        </w:rPr>
        <w:t>Pension Credit</w:t>
      </w:r>
    </w:p>
    <w:p w14:paraId="2AD4FB04"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Pension Credit represents a second national response through providing additional financial support to eligible people over State Pension age. This can indirectly improve health by maximising people's ability to meet essential costs such as food and heating (gov.uk, 2026). Conversely, DWP proof of incomplete take-up reflects a significant limitation. Proactive identification of eligible households and accessible application support are therefore required if the policy is to decrease financial inequality effectively.</w:t>
      </w:r>
    </w:p>
    <w:p w14:paraId="2AD4FB05" w14:textId="77777777" w:rsidR="00101A0D" w:rsidRPr="00BC06A4" w:rsidRDefault="003F5D05" w:rsidP="001E4AAA">
      <w:pPr>
        <w:pStyle w:val="Heading2"/>
      </w:pPr>
      <w:bookmarkStart w:id="4" w:name="_Toc237865937"/>
      <w:r w:rsidRPr="00BC06A4">
        <w:t>Organisation Supporting Older Adults: Age UK</w:t>
      </w:r>
      <w:bookmarkEnd w:id="4"/>
    </w:p>
    <w:p w14:paraId="2AD4FB06" w14:textId="77777777" w:rsidR="00101A0D" w:rsidRPr="00BC06A4" w:rsidRDefault="003F5D05" w:rsidP="00BC06A4">
      <w:pPr>
        <w:pStyle w:val="Normal1"/>
        <w:spacing w:line="360" w:lineRule="auto"/>
        <w:jc w:val="both"/>
        <w:rPr>
          <w:rFonts w:eastAsia="Times New Roman"/>
          <w:lang w:val="en-GB"/>
        </w:rPr>
      </w:pPr>
      <w:r w:rsidRPr="00BC06A4">
        <w:rPr>
          <w:rFonts w:eastAsia="Times New Roman"/>
          <w:lang w:val="en-GB"/>
        </w:rPr>
        <w:t>Age UK is recognised to be a major charity seeking to improve later life and address disadvantages affecting older people. It also provides information and advice on benefits, housing, health and social care alongside community and loneliness support. Its wider role is to raise awareness, undertake research and campaign on issues such as pensioner poverty, loneliness and social-care provision (ageuk.org.uk, 2026). These activities can help to bring the experiences of older people into view in public policy. Nevertheless, charitable interventions are usually a supplement, rather than a substitute, for statutory healthcare, social-care and welfare provision, so structural inequalities will ultimately require ongoing government action.</w:t>
      </w:r>
    </w:p>
    <w:p w14:paraId="2AD4FB07" w14:textId="77777777" w:rsidR="00101A0D" w:rsidRPr="00BC06A4" w:rsidRDefault="003F5D05" w:rsidP="001E4AAA">
      <w:pPr>
        <w:pStyle w:val="Heading2"/>
      </w:pPr>
      <w:bookmarkStart w:id="5" w:name="_Toc237865938"/>
      <w:r w:rsidRPr="00BC06A4">
        <w:t>Conclusion</w:t>
      </w:r>
      <w:bookmarkEnd w:id="5"/>
    </w:p>
    <w:p w14:paraId="2AD4FB08" w14:textId="77777777" w:rsidR="00BC06A4" w:rsidRDefault="003F5D05" w:rsidP="00BC06A4">
      <w:pPr>
        <w:pStyle w:val="Normal1"/>
        <w:spacing w:line="360" w:lineRule="auto"/>
        <w:jc w:val="both"/>
        <w:rPr>
          <w:rFonts w:eastAsia="Times New Roman"/>
          <w:lang w:val="en-GB"/>
        </w:rPr>
      </w:pPr>
      <w:r w:rsidRPr="00BC06A4">
        <w:rPr>
          <w:rFonts w:eastAsia="Times New Roman"/>
          <w:lang w:val="en-GB"/>
        </w:rPr>
        <w:t xml:space="preserve">From the above text, it can be concluded that age-related health inequality outcomes from interactions between disease and social disadvantage. Cardiovascular disease, dementia and mental ill-health represent significant health challenges, while loneliness, poverty and unsuitable housing can intensify poor outcomes. Therefore, decreasing these inequalities needs accessible preventive healthcare alongside financial, housing and social support. NHS initiatives, Pension Credit and Age UK's activities provide important responses, but coordinated action on the wider determinants of health remains necessary to achieve equitable healthy ageing. </w:t>
      </w:r>
    </w:p>
    <w:p w14:paraId="2AD4FB09" w14:textId="77777777" w:rsidR="00BC06A4" w:rsidRDefault="00BC06A4">
      <w:pPr>
        <w:rPr>
          <w:rFonts w:eastAsia="Times New Roman"/>
          <w:lang w:val="en-GB"/>
        </w:rPr>
      </w:pPr>
      <w:r>
        <w:rPr>
          <w:rFonts w:eastAsia="Times New Roman"/>
          <w:lang w:val="en-GB"/>
        </w:rPr>
        <w:br w:type="page"/>
      </w:r>
    </w:p>
    <w:p w14:paraId="2AD4FB0A" w14:textId="72604EB6" w:rsidR="00BC06A4" w:rsidRPr="00BC06A4" w:rsidRDefault="001E4AAA" w:rsidP="00BC06A4">
      <w:pPr>
        <w:pStyle w:val="Heading1"/>
      </w:pPr>
      <w:bookmarkStart w:id="6" w:name="_Toc237865939"/>
      <w:r w:rsidRPr="00BC06A4">
        <w:lastRenderedPageBreak/>
        <w:t>TASK 2: EPIDEMIOLOGICAL ANALYSIS</w:t>
      </w:r>
      <w:bookmarkEnd w:id="6"/>
    </w:p>
    <w:p w14:paraId="2AD4FB0B" w14:textId="77777777" w:rsidR="00BC06A4" w:rsidRPr="00097952" w:rsidRDefault="00BC06A4" w:rsidP="001E4AAA">
      <w:pPr>
        <w:pStyle w:val="Heading2"/>
      </w:pPr>
      <w:bookmarkStart w:id="7" w:name="_Toc237865940"/>
      <w:r w:rsidRPr="00097952">
        <w:t>Introduction</w:t>
      </w:r>
      <w:bookmarkEnd w:id="7"/>
    </w:p>
    <w:p w14:paraId="2AD4FB0C" w14:textId="77777777" w:rsidR="00BC06A4" w:rsidRPr="00097952" w:rsidRDefault="00BC06A4" w:rsidP="00BC06A4">
      <w:pPr>
        <w:pStyle w:val="Normal1"/>
        <w:spacing w:line="360" w:lineRule="auto"/>
        <w:jc w:val="both"/>
        <w:rPr>
          <w:lang w:val="en-GB"/>
        </w:rPr>
      </w:pPr>
      <w:r w:rsidRPr="00097952">
        <w:rPr>
          <w:lang w:val="en-GB"/>
        </w:rPr>
        <w:t>Dementia is an umbrella term and refers to diseases that cause a gradual decline in memory, thinking, behaviour and function. Alzheimer's disease accounts for about 60-70% of all dementias worldwide as the most common variety of dementia (</w:t>
      </w:r>
      <w:proofErr w:type="spellStart"/>
      <w:r w:rsidRPr="00097952">
        <w:rPr>
          <w:lang w:val="en-GB"/>
        </w:rPr>
        <w:t>Mayoclinic</w:t>
      </w:r>
      <w:proofErr w:type="spellEnd"/>
      <w:r w:rsidRPr="00097952">
        <w:rPr>
          <w:lang w:val="en-GB"/>
        </w:rPr>
        <w:t xml:space="preserve">, 2026). Dementia primarily affects older people, though it does not always occur just because someone is old. In older people, dementia diminishes and impairs independence, dignity, communication, mobility and the ability to make many decisions about daily living. Long-term deprivation of care and support impacts families and informal carers emotionally, physically, socially and financially. </w:t>
      </w:r>
    </w:p>
    <w:p w14:paraId="2AD4FB0D" w14:textId="77777777" w:rsidR="00BC06A4" w:rsidRPr="00097952" w:rsidRDefault="00BC06A4" w:rsidP="00BC06A4">
      <w:pPr>
        <w:pStyle w:val="Normal1"/>
        <w:spacing w:line="360" w:lineRule="auto"/>
        <w:jc w:val="center"/>
        <w:rPr>
          <w:lang w:val="en-GB"/>
        </w:rPr>
      </w:pPr>
      <w:r w:rsidRPr="00097952">
        <w:rPr>
          <w:noProof/>
          <w:lang w:val="en-IN" w:eastAsia="en-IN"/>
        </w:rPr>
        <w:drawing>
          <wp:inline distT="114300" distB="114300" distL="114300" distR="114300" wp14:anchorId="2AD4FB78" wp14:editId="2AD4FB79">
            <wp:extent cx="3578523" cy="172044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3578523" cy="1720444"/>
                    </a:xfrm>
                    <a:prstGeom prst="rect">
                      <a:avLst/>
                    </a:prstGeom>
                  </pic:spPr>
                </pic:pic>
              </a:graphicData>
            </a:graphic>
          </wp:inline>
        </w:drawing>
      </w:r>
    </w:p>
    <w:p w14:paraId="2AD4FB0E" w14:textId="77777777" w:rsidR="00BC06A4" w:rsidRPr="00097952" w:rsidRDefault="00BC06A4" w:rsidP="00BC06A4">
      <w:pPr>
        <w:pStyle w:val="Normal1"/>
        <w:spacing w:line="360" w:lineRule="auto"/>
        <w:jc w:val="center"/>
        <w:rPr>
          <w:b/>
          <w:bCs/>
          <w:lang w:val="en-GB"/>
        </w:rPr>
      </w:pPr>
      <w:r>
        <w:rPr>
          <w:b/>
          <w:bCs/>
          <w:lang w:val="en-GB"/>
        </w:rPr>
        <w:t>Figure 3</w:t>
      </w:r>
      <w:r w:rsidRPr="00097952">
        <w:rPr>
          <w:b/>
          <w:bCs/>
          <w:lang w:val="en-GB"/>
        </w:rPr>
        <w:t>: Key data facts in dementia</w:t>
      </w:r>
    </w:p>
    <w:p w14:paraId="2AD4FB0F" w14:textId="77777777" w:rsidR="00BC06A4" w:rsidRPr="00097952" w:rsidRDefault="00BC06A4" w:rsidP="00BC06A4">
      <w:pPr>
        <w:pStyle w:val="Normal1"/>
        <w:spacing w:line="360" w:lineRule="auto"/>
        <w:jc w:val="center"/>
        <w:rPr>
          <w:lang w:val="en-GB"/>
        </w:rPr>
      </w:pPr>
      <w:r w:rsidRPr="00097952">
        <w:rPr>
          <w:lang w:val="en-GB"/>
        </w:rPr>
        <w:t xml:space="preserve">(Source: </w:t>
      </w:r>
      <w:proofErr w:type="spellStart"/>
      <w:r w:rsidRPr="00097952">
        <w:rPr>
          <w:lang w:val="en-GB"/>
        </w:rPr>
        <w:t>Nhs</w:t>
      </w:r>
      <w:proofErr w:type="spellEnd"/>
      <w:r w:rsidRPr="00097952">
        <w:rPr>
          <w:lang w:val="en-GB"/>
        </w:rPr>
        <w:t>, 2026)</w:t>
      </w:r>
    </w:p>
    <w:p w14:paraId="2AD4FB10" w14:textId="77777777" w:rsidR="00BC06A4" w:rsidRPr="00097952" w:rsidRDefault="00BC06A4" w:rsidP="00BC06A4">
      <w:pPr>
        <w:pStyle w:val="Normal1"/>
        <w:spacing w:line="360" w:lineRule="auto"/>
        <w:jc w:val="both"/>
        <w:rPr>
          <w:lang w:val="en-GB"/>
        </w:rPr>
      </w:pPr>
      <w:r w:rsidRPr="00097952">
        <w:rPr>
          <w:lang w:val="en-GB"/>
        </w:rPr>
        <w:t xml:space="preserve">There was a heavy population burden of </w:t>
      </w:r>
      <w:proofErr w:type="gramStart"/>
      <w:r w:rsidRPr="00097952">
        <w:rPr>
          <w:lang w:val="en-GB"/>
        </w:rPr>
        <w:t>dementia</w:t>
      </w:r>
      <w:proofErr w:type="gramEnd"/>
      <w:r w:rsidRPr="00097952">
        <w:rPr>
          <w:lang w:val="en-GB"/>
        </w:rPr>
        <w:t xml:space="preserve"> and it has been observed that the number of people living with dementia worldwide in</w:t>
      </w:r>
      <w:r>
        <w:rPr>
          <w:lang w:val="en-GB"/>
        </w:rPr>
        <w:t xml:space="preserve"> 2021 was around 57 million (WHO</w:t>
      </w:r>
      <w:r w:rsidRPr="00097952">
        <w:rPr>
          <w:lang w:val="en-GB"/>
        </w:rPr>
        <w:t>, 2026). Dementia is of continuing epidemiological importance, with almost 10 million new ca</w:t>
      </w:r>
      <w:r>
        <w:rPr>
          <w:lang w:val="en-GB"/>
        </w:rPr>
        <w:t>ses every year in the world (WHO</w:t>
      </w:r>
      <w:r w:rsidRPr="00097952">
        <w:rPr>
          <w:lang w:val="en-GB"/>
        </w:rPr>
        <w:t>, 2026). The WHO has estimated that dementia is now the seventh leading cause of death in the world. It is still a major source of disability and dependency for older people all over the world. It has been stated that the NHS had 513,135 patients who had been diagnosed with dementi</w:t>
      </w:r>
      <w:r>
        <w:rPr>
          <w:lang w:val="en-GB"/>
        </w:rPr>
        <w:t xml:space="preserve">a in England in </w:t>
      </w:r>
      <w:proofErr w:type="gramStart"/>
      <w:r>
        <w:rPr>
          <w:lang w:val="en-GB"/>
        </w:rPr>
        <w:t>March,</w:t>
      </w:r>
      <w:proofErr w:type="gramEnd"/>
      <w:r>
        <w:rPr>
          <w:lang w:val="en-GB"/>
        </w:rPr>
        <w:t xml:space="preserve"> 2026 (NHS</w:t>
      </w:r>
      <w:r w:rsidRPr="00097952">
        <w:rPr>
          <w:lang w:val="en-GB"/>
        </w:rPr>
        <w:t xml:space="preserve">, 2026). Estimated cases showed a high number of diagnosed cases at 66.3% in individuals aged 65 years and older (Qin </w:t>
      </w:r>
      <w:r w:rsidRPr="00097952">
        <w:rPr>
          <w:i/>
          <w:iCs/>
          <w:lang w:val="en-GB"/>
        </w:rPr>
        <w:t>et al.</w:t>
      </w:r>
      <w:r w:rsidRPr="00097952">
        <w:rPr>
          <w:lang w:val="en-GB"/>
        </w:rPr>
        <w:t xml:space="preserve"> 2025). This diagnostic deficit reflected a lack of recognition of dementia and ongoing issues in the diagnosis of dementia in the elderly. Thus, it is important to recognise that dementia can be a significant public health issue that needs to be detected, monitored, prevented, treated and supported.</w:t>
      </w:r>
    </w:p>
    <w:p w14:paraId="2AD4FB11" w14:textId="77777777" w:rsidR="00BC06A4" w:rsidRPr="00097952" w:rsidRDefault="00BC06A4" w:rsidP="001E4AAA">
      <w:pPr>
        <w:pStyle w:val="Heading2"/>
      </w:pPr>
      <w:bookmarkStart w:id="8" w:name="_Toc237865941"/>
      <w:r w:rsidRPr="00097952">
        <w:t>Discussion</w:t>
      </w:r>
      <w:bookmarkEnd w:id="8"/>
    </w:p>
    <w:p w14:paraId="2AD4FB12" w14:textId="77777777" w:rsidR="00BC06A4" w:rsidRPr="00097952" w:rsidRDefault="00BC06A4" w:rsidP="00BC06A4">
      <w:pPr>
        <w:pStyle w:val="Normal1"/>
        <w:spacing w:line="360" w:lineRule="auto"/>
        <w:jc w:val="both"/>
        <w:rPr>
          <w:b/>
          <w:bCs/>
          <w:i/>
          <w:iCs/>
          <w:lang w:val="en-GB"/>
        </w:rPr>
      </w:pPr>
      <w:r w:rsidRPr="00097952">
        <w:rPr>
          <w:b/>
          <w:bCs/>
          <w:i/>
          <w:iCs/>
          <w:lang w:val="en-GB"/>
        </w:rPr>
        <w:t>Public health measures</w:t>
      </w:r>
    </w:p>
    <w:p w14:paraId="2AD4FB13" w14:textId="77777777" w:rsidR="00BC06A4" w:rsidRPr="00097952" w:rsidRDefault="00BC06A4" w:rsidP="00BC06A4">
      <w:pPr>
        <w:pStyle w:val="Normal1"/>
        <w:spacing w:line="360" w:lineRule="auto"/>
        <w:jc w:val="both"/>
        <w:rPr>
          <w:b/>
          <w:bCs/>
          <w:color w:val="FF0000"/>
          <w:lang w:val="en-GB"/>
        </w:rPr>
      </w:pPr>
      <w:r w:rsidRPr="00097952">
        <w:rPr>
          <w:lang w:val="en-GB"/>
        </w:rPr>
        <w:t xml:space="preserve">Preventing, managing and reducing dementia among adults aged 65 years and older is the main emphasis of public health measures. Prevention has encouraged the promotion of </w:t>
      </w:r>
      <w:r w:rsidRPr="00097952">
        <w:rPr>
          <w:lang w:val="en-GB"/>
        </w:rPr>
        <w:lastRenderedPageBreak/>
        <w:t xml:space="preserve">dementia risk-factor management, social inclusion, healthy diets, and physical activity (Tsai and Shen, 2022). Protection services have facilitated early identification, cognitive appraisals, medication reviews, and personalised care planning. Community awareness-raising efforts have prompted families to be more aware of signs and symptoms and seek prompt advice and professional assistance. Promotion has boosted cognition, independence, social participation and healthy ageing of older people. Multidisciplinary teams have organised primary, specialist, social and </w:t>
      </w:r>
      <w:proofErr w:type="gramStart"/>
      <w:r w:rsidRPr="00097952">
        <w:rPr>
          <w:lang w:val="en-GB"/>
        </w:rPr>
        <w:t>community based</w:t>
      </w:r>
      <w:proofErr w:type="gramEnd"/>
      <w:r w:rsidRPr="00097952">
        <w:rPr>
          <w:lang w:val="en-GB"/>
        </w:rPr>
        <w:t xml:space="preserve"> services. This has decreased unnecessary complications and helped to preserve wellbeing, independence and longevity.</w:t>
      </w:r>
    </w:p>
    <w:p w14:paraId="2AD4FB14" w14:textId="77777777" w:rsidR="00BC06A4" w:rsidRPr="00097952" w:rsidRDefault="00BC06A4" w:rsidP="00BC06A4">
      <w:pPr>
        <w:pStyle w:val="Normal1"/>
        <w:spacing w:line="360" w:lineRule="auto"/>
        <w:jc w:val="both"/>
        <w:rPr>
          <w:b/>
          <w:bCs/>
          <w:i/>
          <w:iCs/>
          <w:lang w:val="en-GB"/>
        </w:rPr>
      </w:pPr>
      <w:r w:rsidRPr="00097952">
        <w:rPr>
          <w:b/>
          <w:bCs/>
          <w:i/>
          <w:iCs/>
          <w:lang w:val="en-GB"/>
        </w:rPr>
        <w:t xml:space="preserve">Risk factors </w:t>
      </w:r>
    </w:p>
    <w:p w14:paraId="2AD4FB15" w14:textId="77777777" w:rsidR="00BC06A4" w:rsidRPr="00097952" w:rsidRDefault="00BC06A4" w:rsidP="00BC06A4">
      <w:pPr>
        <w:pStyle w:val="Normal1"/>
        <w:spacing w:line="360" w:lineRule="auto"/>
        <w:jc w:val="both"/>
        <w:rPr>
          <w:lang w:val="en-GB"/>
        </w:rPr>
      </w:pPr>
      <w:r w:rsidRPr="00097952">
        <w:rPr>
          <w:lang w:val="en-GB"/>
        </w:rPr>
        <w:t xml:space="preserve">The most important non-modifiable risk factor for dementia in the elderly is age. The risk of dementia is also greatly influenced by family history or genetic predisposition in the very elderly (Chen </w:t>
      </w:r>
      <w:r w:rsidRPr="00097952">
        <w:rPr>
          <w:i/>
          <w:iCs/>
          <w:lang w:val="en-GB"/>
        </w:rPr>
        <w:t>et al.</w:t>
      </w:r>
      <w:r w:rsidRPr="00097952">
        <w:rPr>
          <w:lang w:val="en-GB"/>
        </w:rPr>
        <w:t xml:space="preserve"> 2024). Cognitive impairment can also result from cardiovascular problems, such as high blood pressure, stroke, diabetes and high blood cholesterol. Inactivity leads to a decline in vascular health and raises the risk of cognitive decline. Excessive alcohol intake and smoking are well-recognised modifiable behavioural risk factors for dementia. A lack of engagement in society and restricted cognitive stimulation might make older people more vulnerable to dementia. In older adults, depression and hearing loss have also been linked to increased risk for dementia. Through the mechanisms of vascular and metabolic processes, obesity, inadequate nutrition and sleep disturbances can be contributing factors. </w:t>
      </w:r>
    </w:p>
    <w:p w14:paraId="2AD4FB16" w14:textId="77777777" w:rsidR="00BC06A4" w:rsidRPr="00097952" w:rsidRDefault="00BC06A4" w:rsidP="00BC06A4">
      <w:pPr>
        <w:pStyle w:val="Normal1"/>
        <w:spacing w:line="360" w:lineRule="auto"/>
        <w:jc w:val="both"/>
        <w:rPr>
          <w:b/>
          <w:bCs/>
          <w:i/>
          <w:iCs/>
          <w:lang w:val="en-GB"/>
        </w:rPr>
      </w:pPr>
      <w:r w:rsidRPr="00097952">
        <w:rPr>
          <w:b/>
          <w:bCs/>
          <w:i/>
          <w:iCs/>
          <w:lang w:val="en-GB"/>
        </w:rPr>
        <w:t>Assessment of health needs</w:t>
      </w:r>
    </w:p>
    <w:p w14:paraId="2AD4FB17" w14:textId="77777777" w:rsidR="00BC06A4" w:rsidRPr="00097952" w:rsidRDefault="00BC06A4" w:rsidP="00BC06A4">
      <w:pPr>
        <w:pStyle w:val="Normal1"/>
        <w:spacing w:line="360" w:lineRule="auto"/>
        <w:jc w:val="both"/>
        <w:rPr>
          <w:lang w:val="en-GB"/>
        </w:rPr>
      </w:pPr>
      <w:r w:rsidRPr="00097952">
        <w:rPr>
          <w:lang w:val="en-GB"/>
        </w:rPr>
        <w:t xml:space="preserve">Epidemiological papers have revealed that prevalence rates of dementia significantly rise in people from the age of 65. The risk increases, especially for older persons aged 75 years and above, particularly those older than 85 years. Women are affected at a higher percentage as they live longer, they are more likely to have heart failure (Mehta </w:t>
      </w:r>
      <w:r w:rsidRPr="00097952">
        <w:rPr>
          <w:i/>
          <w:iCs/>
          <w:lang w:val="en-GB"/>
        </w:rPr>
        <w:t>et al</w:t>
      </w:r>
      <w:r w:rsidRPr="00097952">
        <w:rPr>
          <w:lang w:val="en-GB"/>
        </w:rPr>
        <w:t>. 2023). In ageing, those who have cardiovascular disease, diabetes, hypertension and obesity are at higher risk for developing dementia. Some older adults may be at higher risk because of factors such as social isolation, depression, hearing loss, and a low level of education. Among people aged 60 and above, the risk of developing dementia also varies according to their family history and genetic predisposition.</w:t>
      </w:r>
    </w:p>
    <w:p w14:paraId="2AD4FB18" w14:textId="77777777" w:rsidR="00BC06A4" w:rsidRPr="00097952" w:rsidRDefault="00BC06A4" w:rsidP="00BC06A4">
      <w:pPr>
        <w:pStyle w:val="Normal1"/>
        <w:spacing w:line="360" w:lineRule="auto"/>
        <w:jc w:val="both"/>
        <w:rPr>
          <w:color w:val="FF0000"/>
          <w:lang w:val="en-GB"/>
        </w:rPr>
      </w:pPr>
      <w:r w:rsidRPr="00097952">
        <w:rPr>
          <w:lang w:val="en-GB"/>
        </w:rPr>
        <w:t xml:space="preserve">Older individuals who are experiencing declines in their cognitive function, limitations in their physical function and growing dependency should be detected through health needs assessments. The age, sex, ethnicity, socioeconomic factors and health issues that need to be addressed in the long term should be carefully considered (Ding </w:t>
      </w:r>
      <w:r w:rsidRPr="00097952">
        <w:rPr>
          <w:i/>
          <w:iCs/>
          <w:lang w:val="en-GB"/>
        </w:rPr>
        <w:t>et al</w:t>
      </w:r>
      <w:r w:rsidRPr="00097952">
        <w:rPr>
          <w:lang w:val="en-GB"/>
        </w:rPr>
        <w:t xml:space="preserve">. 2025). Those who live alone and have reduced social contact regularly should be a particular target of this. There </w:t>
      </w:r>
      <w:r w:rsidRPr="00097952">
        <w:rPr>
          <w:lang w:val="en-GB"/>
        </w:rPr>
        <w:lastRenderedPageBreak/>
        <w:t xml:space="preserve">could be a higher exposure to modifiable dementia risk factors in older populations in deprived communities. Barriers in diagnostic, </w:t>
      </w:r>
      <w:r w:rsidR="0032759B" w:rsidRPr="00097952">
        <w:rPr>
          <w:lang w:val="en-GB"/>
        </w:rPr>
        <w:t>treatment</w:t>
      </w:r>
      <w:r w:rsidRPr="00097952">
        <w:rPr>
          <w:lang w:val="en-GB"/>
        </w:rPr>
        <w:t xml:space="preserve"> support and dementia related care services should also be identified via assessment. Prevention, early detection, individualised care, support for the caregiver and access equity must thus be emphasised for population level planning.</w:t>
      </w:r>
    </w:p>
    <w:p w14:paraId="2AD4FB19" w14:textId="77777777" w:rsidR="00BC06A4" w:rsidRPr="00097952" w:rsidRDefault="00BC06A4" w:rsidP="00BC06A4">
      <w:pPr>
        <w:pStyle w:val="Normal1"/>
        <w:spacing w:line="360" w:lineRule="auto"/>
        <w:jc w:val="both"/>
        <w:rPr>
          <w:b/>
          <w:bCs/>
          <w:i/>
          <w:iCs/>
          <w:lang w:val="en-GB"/>
        </w:rPr>
      </w:pPr>
      <w:r w:rsidRPr="00097952">
        <w:rPr>
          <w:b/>
          <w:bCs/>
          <w:i/>
          <w:iCs/>
          <w:lang w:val="en-GB"/>
        </w:rPr>
        <w:t>Main public health approaches</w:t>
      </w:r>
    </w:p>
    <w:p w14:paraId="2AD4FB1A" w14:textId="77777777" w:rsidR="00BC06A4" w:rsidRPr="00097952" w:rsidRDefault="00BC06A4" w:rsidP="00BC06A4">
      <w:pPr>
        <w:pStyle w:val="Normal1"/>
        <w:spacing w:line="360" w:lineRule="auto"/>
        <w:jc w:val="both"/>
        <w:rPr>
          <w:lang w:val="en-GB"/>
        </w:rPr>
      </w:pPr>
      <w:r w:rsidRPr="00097952">
        <w:rPr>
          <w:lang w:val="en-GB"/>
        </w:rPr>
        <w:t>Nationwide, complementary monitoring, surveillance and information systems are used to monitor dementia in the adult population, including those persons over 65 years of age. By coding diagnoses and regular patient review, diagnosed prevalence is recorded in primary care records. The records help to estimate how common these conditions are in the population, and those who do not get diagnosed are not being picked up in routine surveillance. Hospital episode statistics identify older hospitalisation and dementia diagnosis, hospital admissions and complications and hospital healthcare utilisation (</w:t>
      </w:r>
      <w:proofErr w:type="spellStart"/>
      <w:r w:rsidRPr="00097952">
        <w:rPr>
          <w:lang w:val="en-GB"/>
        </w:rPr>
        <w:t>Tjin</w:t>
      </w:r>
      <w:proofErr w:type="spellEnd"/>
      <w:r w:rsidRPr="00097952">
        <w:rPr>
          <w:lang w:val="en-GB"/>
        </w:rPr>
        <w:t xml:space="preserve"> </w:t>
      </w:r>
      <w:r w:rsidRPr="00097952">
        <w:rPr>
          <w:i/>
          <w:iCs/>
          <w:lang w:val="en-GB"/>
        </w:rPr>
        <w:t>et al</w:t>
      </w:r>
      <w:r w:rsidRPr="00097952">
        <w:rPr>
          <w:lang w:val="en-GB"/>
        </w:rPr>
        <w:t>. 2026). However, hospital data potentially overestimate seriousness as only serious cases of dementia are likely to lead to hospital admission. Mortality rates due to dementia are quite underestimated due to coding practices. National registers and linked data enhance case ascertainment in various healthcare systems and groups of people.</w:t>
      </w:r>
    </w:p>
    <w:p w14:paraId="2AD4FB1B" w14:textId="77777777" w:rsidR="00BC06A4" w:rsidRPr="00097952" w:rsidRDefault="00BC06A4" w:rsidP="00BC06A4">
      <w:pPr>
        <w:pStyle w:val="Normal1"/>
        <w:spacing w:line="360" w:lineRule="auto"/>
        <w:jc w:val="center"/>
        <w:rPr>
          <w:lang w:val="en-GB"/>
        </w:rPr>
      </w:pPr>
      <w:r w:rsidRPr="00097952">
        <w:rPr>
          <w:noProof/>
          <w:lang w:val="en-IN" w:eastAsia="en-IN"/>
        </w:rPr>
        <w:drawing>
          <wp:inline distT="114300" distB="114300" distL="114300" distR="114300" wp14:anchorId="2AD4FB7A" wp14:editId="2AD4FB7B">
            <wp:extent cx="2858156" cy="239553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2858156" cy="2395538"/>
                    </a:xfrm>
                    <a:prstGeom prst="rect">
                      <a:avLst/>
                    </a:prstGeom>
                  </pic:spPr>
                </pic:pic>
              </a:graphicData>
            </a:graphic>
          </wp:inline>
        </w:drawing>
      </w:r>
    </w:p>
    <w:p w14:paraId="2AD4FB1C" w14:textId="77777777" w:rsidR="00BC06A4" w:rsidRPr="00097952" w:rsidRDefault="00BC06A4" w:rsidP="00BC06A4">
      <w:pPr>
        <w:pStyle w:val="Normal1"/>
        <w:spacing w:line="360" w:lineRule="auto"/>
        <w:jc w:val="center"/>
        <w:rPr>
          <w:b/>
          <w:bCs/>
          <w:lang w:val="en-GB"/>
        </w:rPr>
      </w:pPr>
      <w:r>
        <w:rPr>
          <w:b/>
          <w:bCs/>
          <w:lang w:val="en-GB"/>
        </w:rPr>
        <w:t>Figure 4</w:t>
      </w:r>
      <w:r w:rsidRPr="00097952">
        <w:rPr>
          <w:b/>
          <w:bCs/>
          <w:lang w:val="en-GB"/>
        </w:rPr>
        <w:t>: Data storage in healthcare sector</w:t>
      </w:r>
    </w:p>
    <w:p w14:paraId="2AD4FB1D" w14:textId="77777777" w:rsidR="00BC06A4" w:rsidRPr="00097952" w:rsidRDefault="00BC06A4" w:rsidP="00BC06A4">
      <w:pPr>
        <w:pStyle w:val="Normal1"/>
        <w:spacing w:line="360" w:lineRule="auto"/>
        <w:jc w:val="center"/>
        <w:rPr>
          <w:lang w:val="en-GB"/>
        </w:rPr>
      </w:pPr>
      <w:r w:rsidRPr="00097952">
        <w:rPr>
          <w:lang w:val="en-GB"/>
        </w:rPr>
        <w:t xml:space="preserve">(Source: Barbieri </w:t>
      </w:r>
      <w:r w:rsidRPr="00097952">
        <w:rPr>
          <w:i/>
          <w:iCs/>
          <w:lang w:val="en-GB"/>
        </w:rPr>
        <w:t>et al.</w:t>
      </w:r>
      <w:r w:rsidRPr="00097952">
        <w:rPr>
          <w:lang w:val="en-GB"/>
        </w:rPr>
        <w:t xml:space="preserve"> 2023)</w:t>
      </w:r>
    </w:p>
    <w:p w14:paraId="2AD4FB1E" w14:textId="77777777" w:rsidR="00BC06A4" w:rsidRPr="00097952" w:rsidRDefault="00BC06A4" w:rsidP="00BC06A4">
      <w:pPr>
        <w:pStyle w:val="Normal1"/>
        <w:spacing w:line="360" w:lineRule="auto"/>
        <w:jc w:val="both"/>
        <w:rPr>
          <w:lang w:val="en-GB"/>
        </w:rPr>
      </w:pPr>
      <w:r w:rsidRPr="00097952">
        <w:rPr>
          <w:lang w:val="en-GB"/>
        </w:rPr>
        <w:t xml:space="preserve">Diagnosis rates, treatment, referrals, care planning and access are monitored by health services via a set of performance frameworks. These indicators show inequities in dementia service delivery, continuity of care and diagnosis. Use of electronic health records allows real-time monitoring and linkage of health and social health services (Barbieri </w:t>
      </w:r>
      <w:r w:rsidRPr="00097952">
        <w:rPr>
          <w:i/>
          <w:iCs/>
          <w:lang w:val="en-GB"/>
        </w:rPr>
        <w:t>et al.</w:t>
      </w:r>
      <w:r w:rsidRPr="00097952">
        <w:rPr>
          <w:lang w:val="en-GB"/>
        </w:rPr>
        <w:t xml:space="preserve"> 2023). However, differences are only recorded when this has a big impact on the comparability between </w:t>
      </w:r>
      <w:r w:rsidRPr="00097952">
        <w:rPr>
          <w:lang w:val="en-GB"/>
        </w:rPr>
        <w:lastRenderedPageBreak/>
        <w:t xml:space="preserve">practices, regions and population groups. Diagnostic recognition is a crucial component of surveillance which is underestimated in underserved older communities. Prevalence is more robust than disease incidence since the onset of disease is still challenging. </w:t>
      </w:r>
    </w:p>
    <w:p w14:paraId="2AD4FB1F" w14:textId="77777777" w:rsidR="00BC06A4" w:rsidRPr="00097952" w:rsidRDefault="00BC06A4" w:rsidP="00BC06A4">
      <w:pPr>
        <w:pStyle w:val="Normal1"/>
        <w:spacing w:line="360" w:lineRule="auto"/>
        <w:jc w:val="both"/>
        <w:rPr>
          <w:b/>
          <w:bCs/>
          <w:color w:val="FF0000"/>
          <w:lang w:val="en-GB"/>
        </w:rPr>
      </w:pPr>
      <w:r w:rsidRPr="00097952">
        <w:rPr>
          <w:b/>
          <w:bCs/>
          <w:i/>
          <w:iCs/>
          <w:lang w:val="en-GB"/>
        </w:rPr>
        <w:t>Public health impact</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2068"/>
        <w:gridCol w:w="2668"/>
        <w:gridCol w:w="2698"/>
        <w:gridCol w:w="2126"/>
      </w:tblGrid>
      <w:tr w:rsidR="00BC06A4" w14:paraId="2AD4FB24" w14:textId="77777777" w:rsidTr="00BC06A4">
        <w:trPr>
          <w:cantSplit/>
          <w:trHeight w:val="770"/>
          <w:tblHeader/>
        </w:trPr>
        <w:tc>
          <w:tcPr>
            <w:tcW w:w="10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0" w14:textId="77777777" w:rsidR="00BC06A4" w:rsidRPr="00097952" w:rsidRDefault="00BC06A4" w:rsidP="0085349C">
            <w:pPr>
              <w:pStyle w:val="Normal1"/>
              <w:spacing w:line="360" w:lineRule="auto"/>
              <w:jc w:val="center"/>
              <w:rPr>
                <w:lang w:val="en-GB"/>
              </w:rPr>
            </w:pPr>
            <w:r w:rsidRPr="00097952">
              <w:rPr>
                <w:b/>
                <w:bCs/>
                <w:lang w:val="en-GB"/>
              </w:rPr>
              <w:t>Epidemiological dimension</w:t>
            </w:r>
          </w:p>
        </w:tc>
        <w:tc>
          <w:tcPr>
            <w:tcW w:w="13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1" w14:textId="77777777" w:rsidR="00BC06A4" w:rsidRPr="00097952" w:rsidRDefault="00BC06A4" w:rsidP="0085349C">
            <w:pPr>
              <w:pStyle w:val="Normal1"/>
              <w:spacing w:line="360" w:lineRule="auto"/>
              <w:jc w:val="center"/>
              <w:rPr>
                <w:lang w:val="en-GB"/>
              </w:rPr>
            </w:pPr>
            <w:r w:rsidRPr="00097952">
              <w:rPr>
                <w:b/>
                <w:bCs/>
                <w:lang w:val="en-GB"/>
              </w:rPr>
              <w:t>Short-term consequences</w:t>
            </w:r>
          </w:p>
        </w:tc>
        <w:tc>
          <w:tcPr>
            <w:tcW w:w="14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2" w14:textId="77777777" w:rsidR="00BC06A4" w:rsidRPr="00097952" w:rsidRDefault="00BC06A4" w:rsidP="0085349C">
            <w:pPr>
              <w:pStyle w:val="Normal1"/>
              <w:spacing w:line="360" w:lineRule="auto"/>
              <w:jc w:val="center"/>
              <w:rPr>
                <w:lang w:val="en-GB"/>
              </w:rPr>
            </w:pPr>
            <w:r w:rsidRPr="00097952">
              <w:rPr>
                <w:b/>
                <w:bCs/>
                <w:lang w:val="en-GB"/>
              </w:rPr>
              <w:t>Long-term consequences</w:t>
            </w:r>
          </w:p>
        </w:tc>
        <w:tc>
          <w:tcPr>
            <w:tcW w:w="11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3" w14:textId="77777777" w:rsidR="00BC06A4" w:rsidRPr="00097952" w:rsidRDefault="00BC06A4" w:rsidP="0085349C">
            <w:pPr>
              <w:pStyle w:val="Normal1"/>
              <w:spacing w:line="360" w:lineRule="auto"/>
              <w:jc w:val="center"/>
              <w:rPr>
                <w:lang w:val="en-GB"/>
              </w:rPr>
            </w:pPr>
            <w:r w:rsidRPr="00097952">
              <w:rPr>
                <w:b/>
                <w:bCs/>
                <w:lang w:val="en-GB"/>
              </w:rPr>
              <w:t>Public health effects</w:t>
            </w:r>
          </w:p>
        </w:tc>
      </w:tr>
      <w:tr w:rsidR="00BC06A4" w14:paraId="2AD4FB29" w14:textId="77777777" w:rsidTr="00BC06A4">
        <w:trPr>
          <w:cantSplit/>
          <w:trHeight w:val="1310"/>
          <w:tblHeader/>
        </w:trPr>
        <w:tc>
          <w:tcPr>
            <w:tcW w:w="10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5" w14:textId="77777777" w:rsidR="00BC06A4" w:rsidRPr="00097952" w:rsidRDefault="00BC06A4" w:rsidP="0085349C">
            <w:pPr>
              <w:pStyle w:val="Normal1"/>
              <w:spacing w:line="360" w:lineRule="auto"/>
              <w:jc w:val="both"/>
              <w:rPr>
                <w:i/>
                <w:iCs/>
                <w:lang w:val="en-GB"/>
              </w:rPr>
            </w:pPr>
            <w:r w:rsidRPr="00097952">
              <w:rPr>
                <w:b/>
                <w:bCs/>
                <w:i/>
                <w:iCs/>
                <w:lang w:val="en-GB"/>
              </w:rPr>
              <w:t>Individual</w:t>
            </w:r>
          </w:p>
        </w:tc>
        <w:tc>
          <w:tcPr>
            <w:tcW w:w="13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6" w14:textId="77777777" w:rsidR="00BC06A4" w:rsidRPr="00097952" w:rsidRDefault="00BC06A4" w:rsidP="0085349C">
            <w:pPr>
              <w:pStyle w:val="Normal1"/>
              <w:spacing w:line="360" w:lineRule="auto"/>
              <w:jc w:val="both"/>
              <w:rPr>
                <w:lang w:val="en-GB"/>
              </w:rPr>
            </w:pPr>
            <w:r w:rsidRPr="00097952">
              <w:rPr>
                <w:lang w:val="en-GB"/>
              </w:rPr>
              <w:t>Cognitive decline, falls, anxiety, medication errors and reduced independence</w:t>
            </w:r>
          </w:p>
        </w:tc>
        <w:tc>
          <w:tcPr>
            <w:tcW w:w="14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7" w14:textId="77777777" w:rsidR="00BC06A4" w:rsidRPr="00097952" w:rsidRDefault="00BC06A4" w:rsidP="0085349C">
            <w:pPr>
              <w:pStyle w:val="Normal1"/>
              <w:spacing w:line="360" w:lineRule="auto"/>
              <w:jc w:val="both"/>
              <w:rPr>
                <w:lang w:val="en-GB"/>
              </w:rPr>
            </w:pPr>
            <w:r w:rsidRPr="00097952">
              <w:rPr>
                <w:lang w:val="en-GB"/>
              </w:rPr>
              <w:t>Disability, dependence, comorbidities and premature mortality</w:t>
            </w:r>
          </w:p>
        </w:tc>
        <w:tc>
          <w:tcPr>
            <w:tcW w:w="11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8" w14:textId="77777777" w:rsidR="00BC06A4" w:rsidRPr="00097952" w:rsidRDefault="00BC06A4" w:rsidP="0085349C">
            <w:pPr>
              <w:pStyle w:val="Normal1"/>
              <w:spacing w:line="360" w:lineRule="auto"/>
              <w:jc w:val="both"/>
              <w:rPr>
                <w:lang w:val="en-GB"/>
              </w:rPr>
            </w:pPr>
            <w:r w:rsidRPr="00097952">
              <w:rPr>
                <w:lang w:val="en-GB"/>
              </w:rPr>
              <w:t>Increased need for prevention, diagnosis and continuing care</w:t>
            </w:r>
          </w:p>
        </w:tc>
      </w:tr>
      <w:tr w:rsidR="00BC06A4" w14:paraId="2AD4FB2E" w14:textId="77777777" w:rsidTr="00BC06A4">
        <w:trPr>
          <w:cantSplit/>
          <w:trHeight w:val="1040"/>
          <w:tblHeader/>
        </w:trPr>
        <w:tc>
          <w:tcPr>
            <w:tcW w:w="10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A" w14:textId="77777777" w:rsidR="00BC06A4" w:rsidRPr="00097952" w:rsidRDefault="00BC06A4" w:rsidP="0085349C">
            <w:pPr>
              <w:pStyle w:val="Normal1"/>
              <w:spacing w:line="360" w:lineRule="auto"/>
              <w:jc w:val="both"/>
              <w:rPr>
                <w:i/>
                <w:iCs/>
                <w:lang w:val="en-GB"/>
              </w:rPr>
            </w:pPr>
            <w:r w:rsidRPr="00097952">
              <w:rPr>
                <w:b/>
                <w:bCs/>
                <w:i/>
                <w:iCs/>
                <w:lang w:val="en-GB"/>
              </w:rPr>
              <w:t>Family</w:t>
            </w:r>
          </w:p>
        </w:tc>
        <w:tc>
          <w:tcPr>
            <w:tcW w:w="13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B" w14:textId="77777777" w:rsidR="00BC06A4" w:rsidRPr="00097952" w:rsidRDefault="00BC06A4" w:rsidP="0085349C">
            <w:pPr>
              <w:pStyle w:val="Normal1"/>
              <w:spacing w:line="360" w:lineRule="auto"/>
              <w:jc w:val="both"/>
              <w:rPr>
                <w:lang w:val="en-GB"/>
              </w:rPr>
            </w:pPr>
            <w:r w:rsidRPr="00097952">
              <w:rPr>
                <w:lang w:val="en-GB"/>
              </w:rPr>
              <w:t>Caregiving stress, emotional burden and disrupted routines</w:t>
            </w:r>
          </w:p>
        </w:tc>
        <w:tc>
          <w:tcPr>
            <w:tcW w:w="14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C" w14:textId="77777777" w:rsidR="00BC06A4" w:rsidRPr="00097952" w:rsidRDefault="00BC06A4" w:rsidP="0085349C">
            <w:pPr>
              <w:pStyle w:val="Normal1"/>
              <w:spacing w:line="360" w:lineRule="auto"/>
              <w:jc w:val="both"/>
              <w:rPr>
                <w:lang w:val="en-GB"/>
              </w:rPr>
            </w:pPr>
            <w:r w:rsidRPr="00097952">
              <w:rPr>
                <w:lang w:val="en-GB"/>
              </w:rPr>
              <w:t>Financial pressure, burnout and prolonged informal caregiving</w:t>
            </w:r>
          </w:p>
        </w:tc>
        <w:tc>
          <w:tcPr>
            <w:tcW w:w="11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D" w14:textId="77777777" w:rsidR="00BC06A4" w:rsidRPr="00097952" w:rsidRDefault="00BC06A4" w:rsidP="0085349C">
            <w:pPr>
              <w:pStyle w:val="Normal1"/>
              <w:spacing w:line="360" w:lineRule="auto"/>
              <w:jc w:val="both"/>
              <w:rPr>
                <w:lang w:val="en-GB"/>
              </w:rPr>
            </w:pPr>
            <w:r w:rsidRPr="00097952">
              <w:rPr>
                <w:lang w:val="en-GB"/>
              </w:rPr>
              <w:t>Greater demand for carer support and community services</w:t>
            </w:r>
          </w:p>
        </w:tc>
      </w:tr>
      <w:tr w:rsidR="00BC06A4" w14:paraId="2AD4FB33" w14:textId="77777777" w:rsidTr="00BC06A4">
        <w:trPr>
          <w:cantSplit/>
          <w:trHeight w:val="1310"/>
          <w:tblHeader/>
        </w:trPr>
        <w:tc>
          <w:tcPr>
            <w:tcW w:w="10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2F" w14:textId="77777777" w:rsidR="00BC06A4" w:rsidRPr="00097952" w:rsidRDefault="00BC06A4" w:rsidP="0085349C">
            <w:pPr>
              <w:pStyle w:val="Normal1"/>
              <w:spacing w:line="360" w:lineRule="auto"/>
              <w:jc w:val="both"/>
              <w:rPr>
                <w:i/>
                <w:iCs/>
                <w:lang w:val="en-GB"/>
              </w:rPr>
            </w:pPr>
            <w:r w:rsidRPr="00097952">
              <w:rPr>
                <w:b/>
                <w:bCs/>
                <w:i/>
                <w:iCs/>
                <w:lang w:val="en-GB"/>
              </w:rPr>
              <w:t>Health services</w:t>
            </w:r>
          </w:p>
        </w:tc>
        <w:tc>
          <w:tcPr>
            <w:tcW w:w="13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0" w14:textId="77777777" w:rsidR="00BC06A4" w:rsidRPr="00097952" w:rsidRDefault="00BC06A4" w:rsidP="0085349C">
            <w:pPr>
              <w:pStyle w:val="Normal1"/>
              <w:spacing w:line="360" w:lineRule="auto"/>
              <w:jc w:val="both"/>
              <w:rPr>
                <w:lang w:val="en-GB"/>
              </w:rPr>
            </w:pPr>
            <w:r w:rsidRPr="00097952">
              <w:rPr>
                <w:lang w:val="en-GB"/>
              </w:rPr>
              <w:t>More consultations, assessments, hospital admissions and medication needs</w:t>
            </w:r>
          </w:p>
        </w:tc>
        <w:tc>
          <w:tcPr>
            <w:tcW w:w="14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1" w14:textId="77777777" w:rsidR="00BC06A4" w:rsidRPr="00097952" w:rsidRDefault="00BC06A4" w:rsidP="0085349C">
            <w:pPr>
              <w:pStyle w:val="Normal1"/>
              <w:spacing w:line="360" w:lineRule="auto"/>
              <w:jc w:val="both"/>
              <w:rPr>
                <w:lang w:val="en-GB"/>
              </w:rPr>
            </w:pPr>
            <w:r w:rsidRPr="00097952">
              <w:rPr>
                <w:lang w:val="en-GB"/>
              </w:rPr>
              <w:t>Long-term social care, specialist services and increased healthcare expenditure</w:t>
            </w:r>
          </w:p>
        </w:tc>
        <w:tc>
          <w:tcPr>
            <w:tcW w:w="11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2" w14:textId="77777777" w:rsidR="00BC06A4" w:rsidRPr="00097952" w:rsidRDefault="00BC06A4" w:rsidP="0085349C">
            <w:pPr>
              <w:pStyle w:val="Normal1"/>
              <w:spacing w:line="360" w:lineRule="auto"/>
              <w:jc w:val="both"/>
              <w:rPr>
                <w:lang w:val="en-GB"/>
              </w:rPr>
            </w:pPr>
            <w:r w:rsidRPr="00097952">
              <w:rPr>
                <w:lang w:val="en-GB"/>
              </w:rPr>
              <w:t>Sustained pressure on health and social-care capacity</w:t>
            </w:r>
          </w:p>
        </w:tc>
      </w:tr>
      <w:tr w:rsidR="00BC06A4" w14:paraId="2AD4FB38" w14:textId="77777777" w:rsidTr="00BC06A4">
        <w:trPr>
          <w:cantSplit/>
          <w:trHeight w:val="1310"/>
          <w:tblHeader/>
        </w:trPr>
        <w:tc>
          <w:tcPr>
            <w:tcW w:w="10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4" w14:textId="77777777" w:rsidR="00BC06A4" w:rsidRPr="00097952" w:rsidRDefault="00BC06A4" w:rsidP="0085349C">
            <w:pPr>
              <w:pStyle w:val="Normal1"/>
              <w:spacing w:line="360" w:lineRule="auto"/>
              <w:jc w:val="both"/>
              <w:rPr>
                <w:i/>
                <w:iCs/>
                <w:lang w:val="en-GB"/>
              </w:rPr>
            </w:pPr>
            <w:r w:rsidRPr="00097952">
              <w:rPr>
                <w:b/>
                <w:bCs/>
                <w:i/>
                <w:iCs/>
                <w:lang w:val="en-GB"/>
              </w:rPr>
              <w:t>Society</w:t>
            </w:r>
          </w:p>
        </w:tc>
        <w:tc>
          <w:tcPr>
            <w:tcW w:w="13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5" w14:textId="77777777" w:rsidR="00BC06A4" w:rsidRPr="00097952" w:rsidRDefault="00BC06A4" w:rsidP="0085349C">
            <w:pPr>
              <w:pStyle w:val="Normal1"/>
              <w:spacing w:line="360" w:lineRule="auto"/>
              <w:jc w:val="both"/>
              <w:rPr>
                <w:lang w:val="en-GB"/>
              </w:rPr>
            </w:pPr>
            <w:r w:rsidRPr="00097952">
              <w:rPr>
                <w:lang w:val="en-GB"/>
              </w:rPr>
              <w:t>Reduced participation and increased care requirements</w:t>
            </w:r>
          </w:p>
        </w:tc>
        <w:tc>
          <w:tcPr>
            <w:tcW w:w="14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6" w14:textId="77777777" w:rsidR="00BC06A4" w:rsidRPr="00097952" w:rsidRDefault="00BC06A4" w:rsidP="0085349C">
            <w:pPr>
              <w:pStyle w:val="Normal1"/>
              <w:spacing w:line="360" w:lineRule="auto"/>
              <w:jc w:val="both"/>
              <w:rPr>
                <w:lang w:val="en-GB"/>
              </w:rPr>
            </w:pPr>
            <w:r w:rsidRPr="00097952">
              <w:rPr>
                <w:lang w:val="en-GB"/>
              </w:rPr>
              <w:t>Productivity losses, inequality and rising societal costs</w:t>
            </w:r>
          </w:p>
        </w:tc>
        <w:tc>
          <w:tcPr>
            <w:tcW w:w="11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7" w14:textId="77777777" w:rsidR="00BC06A4" w:rsidRPr="00097952" w:rsidRDefault="00BC06A4" w:rsidP="0085349C">
            <w:pPr>
              <w:pStyle w:val="Normal1"/>
              <w:spacing w:line="360" w:lineRule="auto"/>
              <w:jc w:val="both"/>
              <w:rPr>
                <w:lang w:val="en-GB"/>
              </w:rPr>
            </w:pPr>
            <w:r w:rsidRPr="00097952">
              <w:rPr>
                <w:lang w:val="en-GB"/>
              </w:rPr>
              <w:t>Greater economic burden and need for dementia-inclusive policies</w:t>
            </w:r>
          </w:p>
        </w:tc>
      </w:tr>
    </w:tbl>
    <w:p w14:paraId="2AD4FB39" w14:textId="77777777" w:rsidR="00BC06A4" w:rsidRPr="00097952" w:rsidRDefault="00BC06A4" w:rsidP="00BC06A4">
      <w:pPr>
        <w:pStyle w:val="Normal1"/>
        <w:spacing w:line="360" w:lineRule="auto"/>
        <w:jc w:val="center"/>
        <w:rPr>
          <w:b/>
          <w:bCs/>
          <w:lang w:val="en-GB"/>
        </w:rPr>
      </w:pPr>
      <w:r w:rsidRPr="00097952">
        <w:rPr>
          <w:b/>
          <w:bCs/>
          <w:lang w:val="en-GB"/>
        </w:rPr>
        <w:t>Table 1: Impact on public health</w:t>
      </w:r>
    </w:p>
    <w:p w14:paraId="2AD4FB3A" w14:textId="77777777" w:rsidR="00BC06A4" w:rsidRPr="00097952" w:rsidRDefault="00BC06A4" w:rsidP="00BC06A4">
      <w:pPr>
        <w:pStyle w:val="Normal1"/>
        <w:spacing w:line="360" w:lineRule="auto"/>
        <w:jc w:val="center"/>
        <w:rPr>
          <w:lang w:val="en-GB"/>
        </w:rPr>
      </w:pPr>
      <w:r w:rsidRPr="00097952">
        <w:rPr>
          <w:lang w:val="en-GB"/>
        </w:rPr>
        <w:t>(Source: Self-developed)</w:t>
      </w:r>
    </w:p>
    <w:p w14:paraId="2AD4FB3B" w14:textId="77777777" w:rsidR="00BC06A4" w:rsidRPr="00097952" w:rsidRDefault="00BC06A4" w:rsidP="00BC06A4">
      <w:pPr>
        <w:pStyle w:val="Normal1"/>
        <w:spacing w:line="360" w:lineRule="auto"/>
        <w:jc w:val="both"/>
        <w:rPr>
          <w:color w:val="FF0000"/>
          <w:lang w:val="en-GB"/>
        </w:rPr>
      </w:pPr>
      <w:r w:rsidRPr="00097952">
        <w:rPr>
          <w:lang w:val="en-GB"/>
        </w:rPr>
        <w:t xml:space="preserve">Dementia has a significant public health impact on people aged 65 years and over. Cognitive impairment in the short term leads to falls, medication errors, anxiety and healthcare utilisation. This places greater demands on diagnosis, treatment and community support services for the health services. In the longer term, gradually worsening disability will lead to dependency and death, unless there is a continuing input of social and health services (Kingston </w:t>
      </w:r>
      <w:r w:rsidRPr="00097952">
        <w:rPr>
          <w:i/>
          <w:iCs/>
          <w:lang w:val="en-GB"/>
        </w:rPr>
        <w:t>et al.</w:t>
      </w:r>
      <w:r w:rsidRPr="00097952">
        <w:rPr>
          <w:lang w:val="en-GB"/>
        </w:rPr>
        <w:t xml:space="preserve"> 2022). Thus, epidemiological evidence suggests that integrated surveillance, early intervention and </w:t>
      </w:r>
      <w:r w:rsidRPr="00097952">
        <w:rPr>
          <w:lang w:val="en-GB"/>
        </w:rPr>
        <w:lastRenderedPageBreak/>
        <w:t>planning of resources should lead to a reduction of avoidable consequences as well as improvement of the quality of life.</w:t>
      </w:r>
    </w:p>
    <w:p w14:paraId="2AD4FB3C" w14:textId="77777777" w:rsidR="00BC06A4" w:rsidRPr="00097952" w:rsidRDefault="00BC06A4" w:rsidP="00BC06A4">
      <w:pPr>
        <w:pStyle w:val="Normal1"/>
        <w:spacing w:line="360" w:lineRule="auto"/>
        <w:jc w:val="both"/>
        <w:rPr>
          <w:b/>
          <w:bCs/>
          <w:color w:val="FF0000"/>
          <w:lang w:val="en-GB"/>
        </w:rPr>
      </w:pPr>
      <w:r w:rsidRPr="00097952">
        <w:rPr>
          <w:b/>
          <w:bCs/>
          <w:i/>
          <w:iCs/>
          <w:lang w:val="en-GB"/>
        </w:rPr>
        <w:t>Evaluation</w:t>
      </w: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1949"/>
        <w:gridCol w:w="2791"/>
        <w:gridCol w:w="2260"/>
        <w:gridCol w:w="2560"/>
      </w:tblGrid>
      <w:tr w:rsidR="00BC06A4" w14:paraId="2AD4FB41" w14:textId="77777777" w:rsidTr="00BC06A4">
        <w:trPr>
          <w:cantSplit/>
          <w:trHeight w:val="770"/>
          <w:tblHeader/>
        </w:trPr>
        <w:tc>
          <w:tcPr>
            <w:tcW w:w="10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D" w14:textId="77777777" w:rsidR="00BC06A4" w:rsidRPr="00097952" w:rsidRDefault="00BC06A4" w:rsidP="0085349C">
            <w:pPr>
              <w:pStyle w:val="Normal1"/>
              <w:spacing w:line="360" w:lineRule="auto"/>
              <w:jc w:val="center"/>
              <w:rPr>
                <w:lang w:val="en-GB"/>
              </w:rPr>
            </w:pPr>
            <w:r w:rsidRPr="00097952">
              <w:rPr>
                <w:b/>
                <w:bCs/>
                <w:lang w:val="en-GB"/>
              </w:rPr>
              <w:t>Intervention component</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E" w14:textId="77777777" w:rsidR="00BC06A4" w:rsidRPr="00097952" w:rsidRDefault="00BC06A4" w:rsidP="0085349C">
            <w:pPr>
              <w:pStyle w:val="Normal1"/>
              <w:spacing w:line="360" w:lineRule="auto"/>
              <w:jc w:val="center"/>
              <w:rPr>
                <w:lang w:val="en-GB"/>
              </w:rPr>
            </w:pPr>
            <w:r w:rsidRPr="00097952">
              <w:rPr>
                <w:b/>
                <w:bCs/>
                <w:lang w:val="en-GB"/>
              </w:rPr>
              <w:t>Implementation</w:t>
            </w:r>
          </w:p>
        </w:tc>
        <w:tc>
          <w:tcPr>
            <w:tcW w:w="118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3F" w14:textId="77777777" w:rsidR="00BC06A4" w:rsidRPr="00097952" w:rsidRDefault="00BC06A4" w:rsidP="0085349C">
            <w:pPr>
              <w:pStyle w:val="Normal1"/>
              <w:spacing w:line="360" w:lineRule="auto"/>
              <w:jc w:val="center"/>
              <w:rPr>
                <w:lang w:val="en-GB"/>
              </w:rPr>
            </w:pPr>
            <w:r w:rsidRPr="00097952">
              <w:rPr>
                <w:b/>
                <w:bCs/>
                <w:lang w:val="en-GB"/>
              </w:rPr>
              <w:t>Measurable outcomes</w:t>
            </w:r>
          </w:p>
        </w:tc>
        <w:tc>
          <w:tcPr>
            <w:tcW w:w="13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0" w14:textId="77777777" w:rsidR="00BC06A4" w:rsidRPr="00097952" w:rsidRDefault="00BC06A4" w:rsidP="0085349C">
            <w:pPr>
              <w:pStyle w:val="Normal1"/>
              <w:spacing w:line="360" w:lineRule="auto"/>
              <w:jc w:val="center"/>
              <w:rPr>
                <w:lang w:val="en-GB"/>
              </w:rPr>
            </w:pPr>
            <w:r w:rsidRPr="00097952">
              <w:rPr>
                <w:b/>
                <w:bCs/>
                <w:lang w:val="en-GB"/>
              </w:rPr>
              <w:t>Evaluation of effectiveness</w:t>
            </w:r>
          </w:p>
        </w:tc>
      </w:tr>
      <w:tr w:rsidR="00BC06A4" w14:paraId="2AD4FB46" w14:textId="77777777" w:rsidTr="00BC06A4">
        <w:trPr>
          <w:cantSplit/>
          <w:trHeight w:val="1580"/>
          <w:tblHeader/>
        </w:trPr>
        <w:tc>
          <w:tcPr>
            <w:tcW w:w="10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2" w14:textId="77777777" w:rsidR="00BC06A4" w:rsidRPr="00097952" w:rsidRDefault="00BC06A4" w:rsidP="0085349C">
            <w:pPr>
              <w:pStyle w:val="Normal1"/>
              <w:spacing w:line="360" w:lineRule="auto"/>
              <w:jc w:val="both"/>
              <w:rPr>
                <w:i/>
                <w:iCs/>
                <w:lang w:val="en-GB"/>
              </w:rPr>
            </w:pPr>
            <w:r w:rsidRPr="00097952">
              <w:rPr>
                <w:b/>
                <w:bCs/>
                <w:i/>
                <w:iCs/>
                <w:lang w:val="en-GB"/>
              </w:rPr>
              <w:t>Early diagnosis and integrated support programme</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3" w14:textId="77777777" w:rsidR="00BC06A4" w:rsidRPr="00097952" w:rsidRDefault="00BC06A4" w:rsidP="0085349C">
            <w:pPr>
              <w:pStyle w:val="Normal1"/>
              <w:spacing w:line="360" w:lineRule="auto"/>
              <w:jc w:val="both"/>
              <w:rPr>
                <w:lang w:val="en-GB"/>
              </w:rPr>
            </w:pPr>
            <w:r w:rsidRPr="00097952">
              <w:rPr>
                <w:lang w:val="en-GB"/>
              </w:rPr>
              <w:t xml:space="preserve">Community screening, GP referrals, memory clinics and personalised care plans (Disler </w:t>
            </w:r>
            <w:r w:rsidRPr="00097952">
              <w:rPr>
                <w:i/>
                <w:iCs/>
                <w:lang w:val="en-GB"/>
              </w:rPr>
              <w:t>et al</w:t>
            </w:r>
            <w:r w:rsidRPr="00097952">
              <w:rPr>
                <w:lang w:val="en-GB"/>
              </w:rPr>
              <w:t>. 2022)</w:t>
            </w:r>
          </w:p>
        </w:tc>
        <w:tc>
          <w:tcPr>
            <w:tcW w:w="118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4" w14:textId="77777777" w:rsidR="00BC06A4" w:rsidRPr="00097952" w:rsidRDefault="00BC06A4" w:rsidP="0085349C">
            <w:pPr>
              <w:pStyle w:val="Normal1"/>
              <w:spacing w:line="360" w:lineRule="auto"/>
              <w:jc w:val="both"/>
              <w:rPr>
                <w:lang w:val="en-GB"/>
              </w:rPr>
            </w:pPr>
            <w:r w:rsidRPr="00097952">
              <w:rPr>
                <w:lang w:val="en-GB"/>
              </w:rPr>
              <w:t>Earlier diagnosis, reduced hospital admissions, improved cognition and quality of life</w:t>
            </w:r>
          </w:p>
        </w:tc>
        <w:tc>
          <w:tcPr>
            <w:tcW w:w="13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5" w14:textId="77777777" w:rsidR="00BC06A4" w:rsidRPr="00097952" w:rsidRDefault="00BC06A4" w:rsidP="0085349C">
            <w:pPr>
              <w:pStyle w:val="Normal1"/>
              <w:spacing w:line="360" w:lineRule="auto"/>
              <w:jc w:val="both"/>
              <w:rPr>
                <w:lang w:val="en-GB"/>
              </w:rPr>
            </w:pPr>
            <w:r w:rsidRPr="00097952">
              <w:rPr>
                <w:lang w:val="en-GB"/>
              </w:rPr>
              <w:t>Compare baseline and six-month outcomes using validated cognitive and quality-of-life measures</w:t>
            </w:r>
          </w:p>
        </w:tc>
      </w:tr>
      <w:tr w:rsidR="00BC06A4" w14:paraId="2AD4FB4B" w14:textId="77777777" w:rsidTr="00BC06A4">
        <w:trPr>
          <w:cantSplit/>
          <w:trHeight w:val="1040"/>
          <w:tblHeader/>
        </w:trPr>
        <w:tc>
          <w:tcPr>
            <w:tcW w:w="10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7" w14:textId="77777777" w:rsidR="00BC06A4" w:rsidRPr="00097952" w:rsidRDefault="00BC06A4" w:rsidP="0085349C">
            <w:pPr>
              <w:pStyle w:val="Normal1"/>
              <w:spacing w:line="360" w:lineRule="auto"/>
              <w:jc w:val="both"/>
              <w:rPr>
                <w:i/>
                <w:iCs/>
                <w:lang w:val="en-GB"/>
              </w:rPr>
            </w:pPr>
            <w:r w:rsidRPr="00097952">
              <w:rPr>
                <w:b/>
                <w:bCs/>
                <w:i/>
                <w:iCs/>
                <w:lang w:val="en-GB"/>
              </w:rPr>
              <w:t>Carer education and support</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8" w14:textId="77777777" w:rsidR="00BC06A4" w:rsidRPr="00097952" w:rsidRDefault="00BC06A4" w:rsidP="0085349C">
            <w:pPr>
              <w:pStyle w:val="Normal1"/>
              <w:spacing w:line="360" w:lineRule="auto"/>
              <w:jc w:val="both"/>
              <w:rPr>
                <w:lang w:val="en-GB"/>
              </w:rPr>
            </w:pPr>
            <w:r w:rsidRPr="00097952">
              <w:rPr>
                <w:lang w:val="en-GB"/>
              </w:rPr>
              <w:t>Training, support groups and respite services</w:t>
            </w:r>
          </w:p>
        </w:tc>
        <w:tc>
          <w:tcPr>
            <w:tcW w:w="118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9" w14:textId="77777777" w:rsidR="00BC06A4" w:rsidRPr="00097952" w:rsidRDefault="00BC06A4" w:rsidP="0085349C">
            <w:pPr>
              <w:pStyle w:val="Normal1"/>
              <w:spacing w:line="360" w:lineRule="auto"/>
              <w:jc w:val="both"/>
              <w:rPr>
                <w:lang w:val="en-GB"/>
              </w:rPr>
            </w:pPr>
            <w:r w:rsidRPr="00097952">
              <w:rPr>
                <w:lang w:val="en-GB"/>
              </w:rPr>
              <w:t>Reduced caregiver burden and improved confidence</w:t>
            </w:r>
          </w:p>
        </w:tc>
        <w:tc>
          <w:tcPr>
            <w:tcW w:w="13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A" w14:textId="77777777" w:rsidR="00BC06A4" w:rsidRPr="00097952" w:rsidRDefault="00BC06A4" w:rsidP="0085349C">
            <w:pPr>
              <w:pStyle w:val="Normal1"/>
              <w:spacing w:line="360" w:lineRule="auto"/>
              <w:jc w:val="both"/>
              <w:rPr>
                <w:lang w:val="en-GB"/>
              </w:rPr>
            </w:pPr>
            <w:r w:rsidRPr="00097952">
              <w:rPr>
                <w:lang w:val="en-GB"/>
              </w:rPr>
              <w:t>Pre and post intervention caregiver assessments</w:t>
            </w:r>
          </w:p>
        </w:tc>
      </w:tr>
      <w:tr w:rsidR="00BC06A4" w14:paraId="2AD4FB50" w14:textId="77777777" w:rsidTr="00BC06A4">
        <w:trPr>
          <w:cantSplit/>
          <w:trHeight w:val="1310"/>
          <w:tblHeader/>
        </w:trPr>
        <w:tc>
          <w:tcPr>
            <w:tcW w:w="10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C" w14:textId="77777777" w:rsidR="00BC06A4" w:rsidRPr="00097952" w:rsidRDefault="00BC06A4" w:rsidP="0085349C">
            <w:pPr>
              <w:pStyle w:val="Normal1"/>
              <w:spacing w:line="360" w:lineRule="auto"/>
              <w:jc w:val="both"/>
              <w:rPr>
                <w:i/>
                <w:iCs/>
                <w:lang w:val="en-GB"/>
              </w:rPr>
            </w:pPr>
            <w:r w:rsidRPr="00097952">
              <w:rPr>
                <w:b/>
                <w:bCs/>
                <w:i/>
                <w:iCs/>
                <w:lang w:val="en-GB"/>
              </w:rPr>
              <w:t>Lifestyle and social activities</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D" w14:textId="77777777" w:rsidR="00BC06A4" w:rsidRPr="00097952" w:rsidRDefault="00BC06A4" w:rsidP="0085349C">
            <w:pPr>
              <w:pStyle w:val="Normal1"/>
              <w:spacing w:line="360" w:lineRule="auto"/>
              <w:jc w:val="both"/>
              <w:rPr>
                <w:lang w:val="en-GB"/>
              </w:rPr>
            </w:pPr>
            <w:r w:rsidRPr="00097952">
              <w:rPr>
                <w:lang w:val="en-GB"/>
              </w:rPr>
              <w:t>Physical activity, cognitive stimulation and social programmes</w:t>
            </w:r>
          </w:p>
        </w:tc>
        <w:tc>
          <w:tcPr>
            <w:tcW w:w="118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E" w14:textId="77777777" w:rsidR="00BC06A4" w:rsidRPr="00097952" w:rsidRDefault="00BC06A4" w:rsidP="0085349C">
            <w:pPr>
              <w:pStyle w:val="Normal1"/>
              <w:spacing w:line="360" w:lineRule="auto"/>
              <w:jc w:val="both"/>
              <w:rPr>
                <w:lang w:val="en-GB"/>
              </w:rPr>
            </w:pPr>
            <w:r w:rsidRPr="00097952">
              <w:rPr>
                <w:lang w:val="en-GB"/>
              </w:rPr>
              <w:t>Improved functioning, mood and social engagement</w:t>
            </w:r>
          </w:p>
        </w:tc>
        <w:tc>
          <w:tcPr>
            <w:tcW w:w="13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4FB4F" w14:textId="77777777" w:rsidR="00BC06A4" w:rsidRPr="00097952" w:rsidRDefault="00BC06A4" w:rsidP="0085349C">
            <w:pPr>
              <w:pStyle w:val="Normal1"/>
              <w:spacing w:line="360" w:lineRule="auto"/>
              <w:jc w:val="both"/>
              <w:rPr>
                <w:lang w:val="en-GB"/>
              </w:rPr>
            </w:pPr>
            <w:r w:rsidRPr="00097952">
              <w:rPr>
                <w:lang w:val="en-GB"/>
              </w:rPr>
              <w:t>Monitor attendance, functional outcomes and participant feedback</w:t>
            </w:r>
          </w:p>
        </w:tc>
      </w:tr>
    </w:tbl>
    <w:p w14:paraId="2AD4FB51" w14:textId="77777777" w:rsidR="00BC06A4" w:rsidRPr="00097952" w:rsidRDefault="00BC06A4" w:rsidP="00BC06A4">
      <w:pPr>
        <w:pStyle w:val="Normal1"/>
        <w:spacing w:line="360" w:lineRule="auto"/>
        <w:jc w:val="center"/>
        <w:rPr>
          <w:b/>
          <w:bCs/>
          <w:lang w:val="en-GB"/>
        </w:rPr>
      </w:pPr>
      <w:r w:rsidRPr="00097952">
        <w:rPr>
          <w:b/>
          <w:bCs/>
          <w:lang w:val="en-GB"/>
        </w:rPr>
        <w:t>Table 2: Health intervention program</w:t>
      </w:r>
    </w:p>
    <w:p w14:paraId="2AD4FB52" w14:textId="77777777" w:rsidR="00BC06A4" w:rsidRPr="00097952" w:rsidRDefault="00BC06A4" w:rsidP="00BC06A4">
      <w:pPr>
        <w:pStyle w:val="Normal1"/>
        <w:spacing w:line="360" w:lineRule="auto"/>
        <w:jc w:val="both"/>
        <w:rPr>
          <w:color w:val="FF0000"/>
          <w:lang w:val="en-GB"/>
        </w:rPr>
      </w:pPr>
      <w:r w:rsidRPr="00097952">
        <w:rPr>
          <w:lang w:val="en-GB"/>
        </w:rPr>
        <w:t>The suggested programme incorporates early diagnosis as well as individualised care, lifestyle support and caregiver education. Gener</w:t>
      </w:r>
      <w:r>
        <w:rPr>
          <w:lang w:val="en-GB"/>
        </w:rPr>
        <w:t>al practitioner (GP) recognises</w:t>
      </w:r>
      <w:r w:rsidRPr="00097952">
        <w:rPr>
          <w:lang w:val="en-GB"/>
        </w:rPr>
        <w:t xml:space="preserve"> possible dementia and their referral for detailed dementia assessment in memory clinics (Ronner </w:t>
      </w:r>
      <w:r w:rsidRPr="00097952">
        <w:rPr>
          <w:i/>
          <w:iCs/>
          <w:lang w:val="en-GB"/>
        </w:rPr>
        <w:t>et al</w:t>
      </w:r>
      <w:r w:rsidRPr="00097952">
        <w:rPr>
          <w:lang w:val="en-GB"/>
        </w:rPr>
        <w:t>. 2025). Thereafter, a coordinated individualised care plan is put into action to care for the person medically, psychologically and socially. The programme offers suitable physical activity, cognitive stimulation and social interaction for community-dwelling older adults. Cognitive functioning, quality of life, hospitalisations and functional independence should be measured as outcomes.</w:t>
      </w:r>
    </w:p>
    <w:p w14:paraId="2AD4FB53" w14:textId="77777777" w:rsidR="00BC06A4" w:rsidRPr="00097952" w:rsidRDefault="00BC06A4" w:rsidP="00BC06A4">
      <w:pPr>
        <w:pStyle w:val="Normal1"/>
        <w:spacing w:line="360" w:lineRule="auto"/>
        <w:jc w:val="both"/>
        <w:rPr>
          <w:b/>
          <w:bCs/>
          <w:i/>
          <w:iCs/>
          <w:lang w:val="en-GB"/>
        </w:rPr>
      </w:pPr>
      <w:r w:rsidRPr="00097952">
        <w:rPr>
          <w:b/>
          <w:bCs/>
          <w:i/>
          <w:iCs/>
          <w:lang w:val="en-GB"/>
        </w:rPr>
        <w:t>Strengths and weaknesses of the epidemiological approach</w:t>
      </w:r>
    </w:p>
    <w:p w14:paraId="2AD4FB54" w14:textId="77777777" w:rsidR="00304BD1" w:rsidRDefault="00BC06A4" w:rsidP="00304BD1">
      <w:pPr>
        <w:spacing w:line="360" w:lineRule="auto"/>
        <w:jc w:val="both"/>
      </w:pPr>
      <w:r w:rsidRPr="00097952">
        <w:t xml:space="preserve">An epidemiological approach has been used to identify dementia patterns in a systematic, population-level evidence-identification approach. It is useful for measuring the incidence and prevalence, which enables accurate assessment of the burden of dementia over time. The data on surveillance helps to identify inequality among demographic and socioeconomic population groups (Qi </w:t>
      </w:r>
      <w:r w:rsidRPr="00097952">
        <w:rPr>
          <w:i/>
          <w:iCs/>
        </w:rPr>
        <w:t>et al</w:t>
      </w:r>
      <w:r w:rsidRPr="00097952">
        <w:t xml:space="preserve">. 2023). Findings contribute to good resource planning and evidence-based </w:t>
      </w:r>
      <w:r w:rsidRPr="00097952">
        <w:lastRenderedPageBreak/>
        <w:t xml:space="preserve">dementia service planning. However, epidemiological data might underestimate the incidence of dementia as the diagnosis is inconsistent amongst older </w:t>
      </w:r>
      <w:proofErr w:type="gramStart"/>
      <w:r w:rsidRPr="00097952">
        <w:t>persons</w:t>
      </w:r>
      <w:proofErr w:type="gramEnd"/>
      <w:r w:rsidRPr="00097952">
        <w:t xml:space="preserve">. </w:t>
      </w:r>
      <w:proofErr w:type="gramStart"/>
      <w:r w:rsidRPr="00097952">
        <w:t>Experiences</w:t>
      </w:r>
      <w:proofErr w:type="gramEnd"/>
      <w:r w:rsidRPr="00097952">
        <w:t xml:space="preserve">, care, needs and personalities at the individual level do not necessarily reflect the population-level evidence. </w:t>
      </w:r>
    </w:p>
    <w:p w14:paraId="2AD4FB55" w14:textId="77777777" w:rsidR="00BC06A4" w:rsidRPr="00097952" w:rsidRDefault="00BC06A4" w:rsidP="001E4AAA">
      <w:pPr>
        <w:pStyle w:val="Heading2"/>
      </w:pPr>
      <w:bookmarkStart w:id="9" w:name="_Toc237865942"/>
      <w:r w:rsidRPr="00097952">
        <w:t>Conclusion</w:t>
      </w:r>
      <w:bookmarkEnd w:id="9"/>
    </w:p>
    <w:p w14:paraId="2AD4FB56" w14:textId="77777777" w:rsidR="00BC06A4" w:rsidRPr="00097952" w:rsidRDefault="00BC06A4" w:rsidP="00BC06A4">
      <w:pPr>
        <w:pStyle w:val="Normal1"/>
        <w:spacing w:line="360" w:lineRule="auto"/>
        <w:jc w:val="both"/>
        <w:rPr>
          <w:color w:val="FF0000"/>
          <w:lang w:val="en-GB"/>
        </w:rPr>
      </w:pPr>
      <w:r w:rsidRPr="00097952">
        <w:rPr>
          <w:lang w:val="en-GB"/>
        </w:rPr>
        <w:t xml:space="preserve">It has been concluded that dementia has developed into an important public health issue for adults aged 65 years and older. Epidemiological evidence has revealed that there are significant impacts on both individuals, families, health services and </w:t>
      </w:r>
      <w:proofErr w:type="gramStart"/>
      <w:r w:rsidRPr="00097952">
        <w:rPr>
          <w:lang w:val="en-GB"/>
        </w:rPr>
        <w:t>society as a whole</w:t>
      </w:r>
      <w:proofErr w:type="gramEnd"/>
      <w:r w:rsidRPr="00097952">
        <w:rPr>
          <w:lang w:val="en-GB"/>
        </w:rPr>
        <w:t xml:space="preserve">. Monitoring has contributed to the knowledge of the burden of dementia, prevalence, inequalities and needs for services. Early diagnosis, personalised care, lifestyle support and caregiver education are thus all necessary to ensure appropriate intervention. Cognitive function, quality of life, independence and burden of the carer have been measured using evaluation tools. Epidemiological methods have overall strengthened dementia prevention, planning, intervention and </w:t>
      </w:r>
      <w:proofErr w:type="gramStart"/>
      <w:r w:rsidRPr="00097952">
        <w:rPr>
          <w:lang w:val="en-GB"/>
        </w:rPr>
        <w:t>long term</w:t>
      </w:r>
      <w:proofErr w:type="gramEnd"/>
      <w:r w:rsidRPr="00097952">
        <w:rPr>
          <w:lang w:val="en-GB"/>
        </w:rPr>
        <w:t xml:space="preserve"> public health care management.</w:t>
      </w:r>
    </w:p>
    <w:p w14:paraId="2AD4FB57" w14:textId="77777777" w:rsidR="00BC06A4" w:rsidRPr="00097952" w:rsidRDefault="00BC06A4" w:rsidP="00BC06A4">
      <w:pPr>
        <w:pStyle w:val="Normal1"/>
        <w:spacing w:line="360" w:lineRule="auto"/>
        <w:jc w:val="both"/>
        <w:rPr>
          <w:color w:val="FF0000"/>
          <w:lang w:val="en-GB"/>
        </w:rPr>
      </w:pPr>
    </w:p>
    <w:p w14:paraId="2AD4FB58" w14:textId="77777777" w:rsidR="00BC06A4" w:rsidRPr="00097952" w:rsidRDefault="00BC06A4" w:rsidP="00BC06A4">
      <w:pPr>
        <w:pStyle w:val="Normal1"/>
        <w:spacing w:line="360" w:lineRule="auto"/>
        <w:jc w:val="both"/>
        <w:rPr>
          <w:b/>
          <w:bCs/>
          <w:color w:val="FF0000"/>
          <w:lang w:val="en-GB"/>
        </w:rPr>
      </w:pPr>
    </w:p>
    <w:p w14:paraId="2AD4FB59" w14:textId="77777777" w:rsidR="00BC06A4" w:rsidRPr="00097952" w:rsidRDefault="00BC06A4" w:rsidP="00BC06A4">
      <w:pPr>
        <w:pStyle w:val="Normal1"/>
        <w:spacing w:line="360" w:lineRule="auto"/>
        <w:jc w:val="both"/>
        <w:rPr>
          <w:color w:val="FF0000"/>
          <w:lang w:val="en-GB"/>
        </w:rPr>
      </w:pPr>
    </w:p>
    <w:p w14:paraId="2AD4FB5A" w14:textId="77777777" w:rsidR="00BC06A4" w:rsidRPr="00097952" w:rsidRDefault="00BC06A4" w:rsidP="00BC06A4">
      <w:pPr>
        <w:pStyle w:val="Normal1"/>
        <w:spacing w:line="360" w:lineRule="auto"/>
        <w:jc w:val="both"/>
        <w:rPr>
          <w:lang w:val="en-GB"/>
        </w:rPr>
      </w:pPr>
    </w:p>
    <w:p w14:paraId="2AD4FB5B" w14:textId="77777777" w:rsidR="00776227" w:rsidRPr="00BC06A4" w:rsidRDefault="00776227" w:rsidP="00BC06A4">
      <w:pPr>
        <w:pStyle w:val="Normal1"/>
        <w:spacing w:line="360" w:lineRule="auto"/>
        <w:jc w:val="both"/>
        <w:rPr>
          <w:rFonts w:eastAsia="Times New Roman"/>
          <w:lang w:val="en-GB"/>
        </w:rPr>
      </w:pPr>
    </w:p>
    <w:p w14:paraId="2AD4FB5C" w14:textId="77777777" w:rsidR="00776227" w:rsidRPr="00BC06A4" w:rsidRDefault="00776227" w:rsidP="00BC06A4">
      <w:pPr>
        <w:spacing w:line="360" w:lineRule="auto"/>
        <w:rPr>
          <w:rFonts w:eastAsia="Times New Roman"/>
          <w:lang w:val="en-GB"/>
        </w:rPr>
      </w:pPr>
      <w:r w:rsidRPr="00BC06A4">
        <w:rPr>
          <w:rFonts w:eastAsia="Times New Roman"/>
          <w:lang w:val="en-GB"/>
        </w:rPr>
        <w:br w:type="page"/>
      </w:r>
    </w:p>
    <w:p w14:paraId="2AD4FB5D" w14:textId="77777777" w:rsidR="00101A0D" w:rsidRPr="00BC06A4" w:rsidRDefault="00776227" w:rsidP="00FC412F">
      <w:pPr>
        <w:pStyle w:val="Heading1"/>
      </w:pPr>
      <w:bookmarkStart w:id="10" w:name="_Toc237865943"/>
      <w:r w:rsidRPr="00BC06A4">
        <w:lastRenderedPageBreak/>
        <w:t>Reference list</w:t>
      </w:r>
      <w:bookmarkEnd w:id="10"/>
      <w:r w:rsidRPr="00BC06A4">
        <w:t xml:space="preserve"> </w:t>
      </w:r>
    </w:p>
    <w:p w14:paraId="4D795FC0" w14:textId="77777777" w:rsidR="001E4AAA" w:rsidRPr="00BC06A4" w:rsidRDefault="001E4AAA" w:rsidP="00BC06A4">
      <w:pPr>
        <w:spacing w:line="360" w:lineRule="auto"/>
        <w:jc w:val="both"/>
      </w:pPr>
      <w:r w:rsidRPr="00BC06A4">
        <w:t xml:space="preserve">Ageuk.org.uk, 2026, </w:t>
      </w:r>
      <w:r w:rsidRPr="00BC06A4">
        <w:rPr>
          <w:i/>
        </w:rPr>
        <w:t>About Age UK</w:t>
      </w:r>
      <w:r w:rsidRPr="00BC06A4">
        <w:t xml:space="preserve">, available at: </w:t>
      </w:r>
      <w:hyperlink r:id="rId11" w:history="1">
        <w:r w:rsidRPr="00BC06A4">
          <w:rPr>
            <w:rStyle w:val="Hyperlink"/>
          </w:rPr>
          <w:t>https://www.ageuk.org.uk/</w:t>
        </w:r>
      </w:hyperlink>
      <w:r w:rsidRPr="00BC06A4">
        <w:t xml:space="preserve"> [Accessed on 14/08/2026]</w:t>
      </w:r>
    </w:p>
    <w:p w14:paraId="445B24FD" w14:textId="77777777" w:rsidR="001E4AAA" w:rsidRPr="00BC06A4" w:rsidRDefault="001E4AAA" w:rsidP="00BC06A4">
      <w:pPr>
        <w:spacing w:line="360" w:lineRule="auto"/>
        <w:jc w:val="both"/>
      </w:pPr>
      <w:r w:rsidRPr="00BC06A4">
        <w:t xml:space="preserve">Ageuk.org.uk, 2026, </w:t>
      </w:r>
      <w:r w:rsidRPr="00BC06A4">
        <w:rPr>
          <w:i/>
        </w:rPr>
        <w:t>Three in four pensioners admitted they were cold in their own homes in January</w:t>
      </w:r>
      <w:r w:rsidRPr="00BC06A4">
        <w:t xml:space="preserve">, available at: </w:t>
      </w:r>
      <w:hyperlink r:id="rId12" w:history="1">
        <w:r w:rsidRPr="00BC06A4">
          <w:rPr>
            <w:rStyle w:val="Hyperlink"/>
          </w:rPr>
          <w:t>https://www.ageuk.org.uk/latest-press/articles/three-in-four-pensioners-admitted-they-were-cold-in-their-own-homes-in-january/</w:t>
        </w:r>
      </w:hyperlink>
      <w:r w:rsidRPr="00BC06A4">
        <w:t xml:space="preserve"> [Accessed on 14/08/2026]</w:t>
      </w:r>
    </w:p>
    <w:p w14:paraId="77A6C863" w14:textId="77777777" w:rsidR="001E4AAA" w:rsidRPr="00BC06A4" w:rsidRDefault="001E4AAA" w:rsidP="00BC06A4">
      <w:pPr>
        <w:spacing w:line="360" w:lineRule="auto"/>
        <w:jc w:val="both"/>
      </w:pPr>
      <w:r w:rsidRPr="00BC06A4">
        <w:t xml:space="preserve">Alzheimers.org.uk, 2026, </w:t>
      </w:r>
      <w:r w:rsidRPr="00BC06A4">
        <w:rPr>
          <w:i/>
        </w:rPr>
        <w:t>What is dementia? Symptoms, causes and treatments</w:t>
      </w:r>
      <w:r w:rsidRPr="00BC06A4">
        <w:t xml:space="preserve">, available at: </w:t>
      </w:r>
      <w:hyperlink r:id="rId13" w:history="1">
        <w:r w:rsidRPr="00BC06A4">
          <w:rPr>
            <w:rStyle w:val="Hyperlink"/>
          </w:rPr>
          <w:t>https://www.alzheimers.org.uk/about-dementia/types-dementia/what-is-dementia</w:t>
        </w:r>
      </w:hyperlink>
      <w:r w:rsidRPr="00BC06A4">
        <w:t xml:space="preserve"> [Accessed on 14/08/2026] </w:t>
      </w:r>
    </w:p>
    <w:p w14:paraId="54626CEF" w14:textId="77777777" w:rsidR="001E4AAA" w:rsidRPr="008F0B31" w:rsidRDefault="001E4AAA" w:rsidP="00304BD1">
      <w:pPr>
        <w:spacing w:line="360" w:lineRule="auto"/>
        <w:jc w:val="both"/>
        <w:rPr>
          <w:bCs/>
          <w:lang w:val="en-GB"/>
        </w:rPr>
      </w:pPr>
      <w:r w:rsidRPr="008F0B31">
        <w:rPr>
          <w:bCs/>
          <w:lang w:val="en-GB"/>
        </w:rPr>
        <w:t>Barbieri, C., Neri, L., Stuard, S., Mari, F. and Martín-Guerrero, J.D., 2023. From electronic health records to clinical management systems: how the digital transformation can support healthcare services. </w:t>
      </w:r>
      <w:r w:rsidRPr="008F0B31">
        <w:rPr>
          <w:bCs/>
          <w:i/>
          <w:iCs/>
          <w:lang w:val="en-GB"/>
        </w:rPr>
        <w:t>Clinical Kidney Journal</w:t>
      </w:r>
      <w:r w:rsidRPr="008F0B31">
        <w:rPr>
          <w:bCs/>
          <w:lang w:val="en-GB"/>
        </w:rPr>
        <w:t>, </w:t>
      </w:r>
      <w:r w:rsidRPr="008F0B31">
        <w:rPr>
          <w:bCs/>
          <w:i/>
          <w:iCs/>
          <w:lang w:val="en-GB"/>
        </w:rPr>
        <w:t>16</w:t>
      </w:r>
      <w:r w:rsidRPr="008F0B31">
        <w:rPr>
          <w:bCs/>
          <w:lang w:val="en-GB"/>
        </w:rPr>
        <w:t>(11), pp.1878-1884.</w:t>
      </w:r>
    </w:p>
    <w:p w14:paraId="5EF9E71C" w14:textId="77777777" w:rsidR="001E4AAA" w:rsidRPr="00BC06A4" w:rsidRDefault="001E4AAA" w:rsidP="00BC06A4">
      <w:pPr>
        <w:spacing w:line="360" w:lineRule="auto"/>
        <w:jc w:val="both"/>
      </w:pPr>
      <w:r w:rsidRPr="00BC06A4">
        <w:t xml:space="preserve">Bhf.org.uk, 2026, </w:t>
      </w:r>
      <w:r w:rsidRPr="00BC06A4">
        <w:rPr>
          <w:i/>
        </w:rPr>
        <w:t>Heart and Circulatory Disease Statistics 2025,</w:t>
      </w:r>
      <w:r w:rsidRPr="00BC06A4">
        <w:t xml:space="preserve"> available at: </w:t>
      </w:r>
      <w:hyperlink r:id="rId14" w:history="1">
        <w:r w:rsidRPr="00BC06A4">
          <w:rPr>
            <w:rStyle w:val="Hyperlink"/>
          </w:rPr>
          <w:t>https://www.bhf.org.uk/-/media/files/for-professionals/research/heart-statistics/bhf-statistics-compendium-2025.pdf?rev=9d8068836c024cb2a0c6da81ed41c62a&amp;hash=1784F6B0093D2DBA631E8E166A5BCA2D</w:t>
        </w:r>
      </w:hyperlink>
      <w:r w:rsidRPr="00BC06A4">
        <w:t xml:space="preserve"> [Accessed on 14/08/2026]</w:t>
      </w:r>
    </w:p>
    <w:p w14:paraId="342418A8" w14:textId="77777777" w:rsidR="001E4AAA" w:rsidRPr="008F0B31" w:rsidRDefault="001E4AAA" w:rsidP="00304BD1">
      <w:pPr>
        <w:spacing w:line="360" w:lineRule="auto"/>
        <w:jc w:val="both"/>
        <w:rPr>
          <w:bCs/>
          <w:lang w:val="en-GB"/>
        </w:rPr>
      </w:pPr>
      <w:r w:rsidRPr="008F0B31">
        <w:rPr>
          <w:bCs/>
          <w:lang w:val="en-GB"/>
        </w:rPr>
        <w:t xml:space="preserve">Chen, S., Chen, S., </w:t>
      </w:r>
      <w:proofErr w:type="spellStart"/>
      <w:r w:rsidRPr="008F0B31">
        <w:rPr>
          <w:bCs/>
          <w:lang w:val="en-GB"/>
        </w:rPr>
        <w:t>Hanewald</w:t>
      </w:r>
      <w:proofErr w:type="spellEnd"/>
      <w:r w:rsidRPr="008F0B31">
        <w:rPr>
          <w:bCs/>
          <w:lang w:val="en-GB"/>
        </w:rPr>
        <w:t xml:space="preserve">, K., Si, Y., Bateman, H., Li, B., Xu, X., Samtani, S., Wu, C. and </w:t>
      </w:r>
      <w:proofErr w:type="spellStart"/>
      <w:r w:rsidRPr="008F0B31">
        <w:rPr>
          <w:bCs/>
          <w:lang w:val="en-GB"/>
        </w:rPr>
        <w:t>Brodaty</w:t>
      </w:r>
      <w:proofErr w:type="spellEnd"/>
      <w:r w:rsidRPr="008F0B31">
        <w:rPr>
          <w:bCs/>
          <w:lang w:val="en-GB"/>
        </w:rPr>
        <w:t>, H., 2024. Social environment, lifestyle, and genetic predisposition with dementia risk: a long-term longitudinal study among older adults. </w:t>
      </w:r>
      <w:r w:rsidRPr="008F0B31">
        <w:rPr>
          <w:bCs/>
          <w:i/>
          <w:iCs/>
          <w:lang w:val="en-GB"/>
        </w:rPr>
        <w:t>The Journals of Gerontology, Series A: Biological Sciences and Medical Sciences</w:t>
      </w:r>
      <w:r w:rsidRPr="008F0B31">
        <w:rPr>
          <w:bCs/>
          <w:lang w:val="en-GB"/>
        </w:rPr>
        <w:t>, </w:t>
      </w:r>
      <w:r w:rsidRPr="008F0B31">
        <w:rPr>
          <w:bCs/>
          <w:i/>
          <w:iCs/>
          <w:lang w:val="en-GB"/>
        </w:rPr>
        <w:t>79</w:t>
      </w:r>
      <w:r w:rsidRPr="008F0B31">
        <w:rPr>
          <w:bCs/>
          <w:lang w:val="en-GB"/>
        </w:rPr>
        <w:t xml:space="preserve">(7), </w:t>
      </w:r>
      <w:proofErr w:type="gramStart"/>
      <w:r w:rsidRPr="008F0B31">
        <w:rPr>
          <w:bCs/>
          <w:lang w:val="en-GB"/>
        </w:rPr>
        <w:t>p.glae</w:t>
      </w:r>
      <w:proofErr w:type="gramEnd"/>
      <w:r w:rsidRPr="008F0B31">
        <w:rPr>
          <w:bCs/>
          <w:lang w:val="en-GB"/>
        </w:rPr>
        <w:t>128.</w:t>
      </w:r>
    </w:p>
    <w:p w14:paraId="67D2A5B1" w14:textId="77777777" w:rsidR="001E4AAA" w:rsidRPr="008F0B31" w:rsidRDefault="001E4AAA" w:rsidP="00304BD1">
      <w:pPr>
        <w:spacing w:line="360" w:lineRule="auto"/>
        <w:jc w:val="both"/>
        <w:rPr>
          <w:bCs/>
          <w:lang w:val="en-GB"/>
        </w:rPr>
      </w:pPr>
      <w:r w:rsidRPr="008F0B31">
        <w:rPr>
          <w:bCs/>
          <w:lang w:val="en-GB"/>
        </w:rPr>
        <w:t>Ding, M., Schmidt-Mende, K. and Modig, K., 2025. Social factors, age, and health at time of dementia diagnosis. </w:t>
      </w:r>
      <w:r w:rsidRPr="008F0B31">
        <w:rPr>
          <w:bCs/>
          <w:i/>
          <w:iCs/>
          <w:lang w:val="en-GB"/>
        </w:rPr>
        <w:t>JAMA Network Open</w:t>
      </w:r>
      <w:r w:rsidRPr="008F0B31">
        <w:rPr>
          <w:bCs/>
          <w:lang w:val="en-GB"/>
        </w:rPr>
        <w:t>, </w:t>
      </w:r>
      <w:r w:rsidRPr="008F0B31">
        <w:rPr>
          <w:bCs/>
          <w:i/>
          <w:iCs/>
          <w:lang w:val="en-GB"/>
        </w:rPr>
        <w:t>8</w:t>
      </w:r>
      <w:r w:rsidRPr="008F0B31">
        <w:rPr>
          <w:bCs/>
          <w:lang w:val="en-GB"/>
        </w:rPr>
        <w:t>(2), p.e2461117.</w:t>
      </w:r>
    </w:p>
    <w:p w14:paraId="172B6E24" w14:textId="77777777" w:rsidR="001E4AAA" w:rsidRPr="008F0B31" w:rsidRDefault="001E4AAA" w:rsidP="00304BD1">
      <w:pPr>
        <w:spacing w:line="360" w:lineRule="auto"/>
        <w:jc w:val="both"/>
        <w:rPr>
          <w:bCs/>
          <w:lang w:val="en-GB"/>
        </w:rPr>
      </w:pPr>
      <w:r w:rsidRPr="008F0B31">
        <w:rPr>
          <w:bCs/>
          <w:lang w:val="en-GB"/>
        </w:rPr>
        <w:t xml:space="preserve">Disler, R., Pascoe, A., Anderson, H., Piejko, E., </w:t>
      </w:r>
      <w:proofErr w:type="spellStart"/>
      <w:r w:rsidRPr="008F0B31">
        <w:rPr>
          <w:bCs/>
          <w:lang w:val="en-GB"/>
        </w:rPr>
        <w:t>Asaid</w:t>
      </w:r>
      <w:proofErr w:type="spellEnd"/>
      <w:r w:rsidRPr="008F0B31">
        <w:rPr>
          <w:bCs/>
          <w:lang w:val="en-GB"/>
        </w:rPr>
        <w:t>, A. and Disler, P., 2022. A new model for general practice-led, regional, community-based, memory clinics. </w:t>
      </w:r>
      <w:r w:rsidRPr="008F0B31">
        <w:rPr>
          <w:bCs/>
          <w:i/>
          <w:iCs/>
          <w:lang w:val="en-GB"/>
        </w:rPr>
        <w:t>BMC Primary Care</w:t>
      </w:r>
      <w:r w:rsidRPr="008F0B31">
        <w:rPr>
          <w:bCs/>
          <w:lang w:val="en-GB"/>
        </w:rPr>
        <w:t>, </w:t>
      </w:r>
      <w:r w:rsidRPr="008F0B31">
        <w:rPr>
          <w:bCs/>
          <w:i/>
          <w:iCs/>
          <w:lang w:val="en-GB"/>
        </w:rPr>
        <w:t>23</w:t>
      </w:r>
      <w:r w:rsidRPr="008F0B31">
        <w:rPr>
          <w:bCs/>
          <w:lang w:val="en-GB"/>
        </w:rPr>
        <w:t>(1), p.242.</w:t>
      </w:r>
    </w:p>
    <w:p w14:paraId="782D11B3" w14:textId="77777777" w:rsidR="001E4AAA" w:rsidRPr="00BC06A4" w:rsidRDefault="001E4AAA" w:rsidP="00BC06A4">
      <w:pPr>
        <w:spacing w:line="360" w:lineRule="auto"/>
        <w:jc w:val="both"/>
      </w:pPr>
      <w:r w:rsidRPr="00BC06A4">
        <w:t xml:space="preserve">England.nhs.uk, 2026, </w:t>
      </w:r>
      <w:r w:rsidRPr="00BC06A4">
        <w:rPr>
          <w:i/>
        </w:rPr>
        <w:t>Healthy ageing and caring</w:t>
      </w:r>
      <w:r w:rsidRPr="00BC06A4">
        <w:t xml:space="preserve">, available at: </w:t>
      </w:r>
      <w:hyperlink r:id="rId15" w:history="1">
        <w:r w:rsidRPr="00BC06A4">
          <w:rPr>
            <w:rStyle w:val="Hyperlink"/>
          </w:rPr>
          <w:t>https://www.england.nhs.uk/ourwork/clinical-policy/older-people/healthy-ageing-caring/</w:t>
        </w:r>
      </w:hyperlink>
      <w:r w:rsidRPr="00BC06A4">
        <w:t xml:space="preserve"> [Accessed on 14/08/2026]</w:t>
      </w:r>
    </w:p>
    <w:p w14:paraId="740CE9D3" w14:textId="77777777" w:rsidR="001E4AAA" w:rsidRPr="00BC06A4" w:rsidRDefault="001E4AAA" w:rsidP="00BC06A4">
      <w:pPr>
        <w:spacing w:line="360" w:lineRule="auto"/>
        <w:jc w:val="both"/>
      </w:pPr>
      <w:r w:rsidRPr="00BC06A4">
        <w:t xml:space="preserve">Gov.uk, 2026, </w:t>
      </w:r>
      <w:r w:rsidRPr="00BC06A4">
        <w:rPr>
          <w:i/>
        </w:rPr>
        <w:t>income-related benefits: estimates of take-up: financial year ending 2024</w:t>
      </w:r>
      <w:r w:rsidRPr="00BC06A4">
        <w:t xml:space="preserve">, </w:t>
      </w:r>
      <w:hyperlink r:id="rId16" w:history="1">
        <w:r w:rsidRPr="00BC06A4">
          <w:t xml:space="preserve"> available at: </w:t>
        </w:r>
        <w:r w:rsidRPr="00BC06A4">
          <w:rPr>
            <w:rStyle w:val="Hyperlink"/>
          </w:rPr>
          <w:t>https://www.gov.uk/government/statistics/income-related-benefits-estimates-of-take-up-financial-year-ending-2024/income-related-benefits-estimates-of-take-up-financial-year-ending-2024</w:t>
        </w:r>
      </w:hyperlink>
      <w:r w:rsidRPr="00BC06A4">
        <w:t xml:space="preserve"> [Accessed on 14/08/2026]</w:t>
      </w:r>
    </w:p>
    <w:p w14:paraId="2E732FC6" w14:textId="77777777" w:rsidR="001E4AAA" w:rsidRPr="008F0B31" w:rsidRDefault="001E4AAA" w:rsidP="00304BD1">
      <w:pPr>
        <w:spacing w:line="360" w:lineRule="auto"/>
        <w:jc w:val="both"/>
        <w:rPr>
          <w:bCs/>
          <w:lang w:val="en-GB"/>
        </w:rPr>
      </w:pPr>
      <w:r w:rsidRPr="008F0B31">
        <w:rPr>
          <w:bCs/>
          <w:lang w:val="en-GB"/>
        </w:rPr>
        <w:lastRenderedPageBreak/>
        <w:t>Kingston, A., Wittenberg, R., Hu, B. and Jagger, C., 2022. Projections of dependency and associated social care expenditure for the older population in England to 2038: effect of varying disability progression. </w:t>
      </w:r>
      <w:r w:rsidRPr="008F0B31">
        <w:rPr>
          <w:bCs/>
          <w:i/>
          <w:iCs/>
          <w:lang w:val="en-GB"/>
        </w:rPr>
        <w:t>Age and ageing</w:t>
      </w:r>
      <w:r w:rsidRPr="008F0B31">
        <w:rPr>
          <w:bCs/>
          <w:lang w:val="en-GB"/>
        </w:rPr>
        <w:t>, </w:t>
      </w:r>
      <w:r w:rsidRPr="008F0B31">
        <w:rPr>
          <w:bCs/>
          <w:i/>
          <w:iCs/>
          <w:lang w:val="en-GB"/>
        </w:rPr>
        <w:t>51</w:t>
      </w:r>
      <w:r w:rsidRPr="008F0B31">
        <w:rPr>
          <w:bCs/>
          <w:lang w:val="en-GB"/>
        </w:rPr>
        <w:t xml:space="preserve">(7), </w:t>
      </w:r>
      <w:proofErr w:type="gramStart"/>
      <w:r w:rsidRPr="008F0B31">
        <w:rPr>
          <w:bCs/>
          <w:lang w:val="en-GB"/>
        </w:rPr>
        <w:t>p.afac</w:t>
      </w:r>
      <w:proofErr w:type="gramEnd"/>
      <w:r w:rsidRPr="008F0B31">
        <w:rPr>
          <w:bCs/>
          <w:lang w:val="en-GB"/>
        </w:rPr>
        <w:t>158.</w:t>
      </w:r>
    </w:p>
    <w:p w14:paraId="13FC9CF8" w14:textId="77777777" w:rsidR="001E4AAA" w:rsidRPr="008F0B31" w:rsidRDefault="001E4AAA" w:rsidP="00304BD1">
      <w:pPr>
        <w:spacing w:line="360" w:lineRule="auto"/>
        <w:jc w:val="both"/>
        <w:rPr>
          <w:lang w:val="en-GB"/>
        </w:rPr>
      </w:pPr>
      <w:proofErr w:type="spellStart"/>
      <w:r w:rsidRPr="008F0B31">
        <w:rPr>
          <w:bCs/>
          <w:lang w:val="en-GB"/>
        </w:rPr>
        <w:t>Mayoclinic</w:t>
      </w:r>
      <w:proofErr w:type="spellEnd"/>
      <w:r w:rsidRPr="008F0B31">
        <w:rPr>
          <w:bCs/>
          <w:lang w:val="en-GB"/>
        </w:rPr>
        <w:t xml:space="preserve">, 2026. </w:t>
      </w:r>
      <w:r w:rsidRPr="008F0B31">
        <w:rPr>
          <w:bCs/>
          <w:i/>
          <w:lang w:val="en-GB"/>
        </w:rPr>
        <w:t xml:space="preserve">Overview. </w:t>
      </w:r>
      <w:r w:rsidRPr="008F0B31">
        <w:rPr>
          <w:bCs/>
          <w:lang w:val="en-GB"/>
        </w:rPr>
        <w:t>Available at:</w:t>
      </w:r>
      <w:r w:rsidRPr="008F0B31">
        <w:rPr>
          <w:b/>
          <w:bCs/>
          <w:lang w:val="en-GB"/>
        </w:rPr>
        <w:t xml:space="preserve"> </w:t>
      </w:r>
      <w:hyperlink r:id="rId17" w:history="1">
        <w:r w:rsidRPr="008F0B31">
          <w:rPr>
            <w:rStyle w:val="Hyperlink"/>
            <w:bCs/>
            <w:lang w:val="en-GB"/>
          </w:rPr>
          <w:t>https://www.mayoclinic.org/diseases-conditions/alzheimers-disease/symptoms-causes/syc-20350447</w:t>
        </w:r>
      </w:hyperlink>
      <w:r w:rsidRPr="008F0B31">
        <w:rPr>
          <w:bCs/>
          <w:lang w:val="en-GB"/>
        </w:rPr>
        <w:t xml:space="preserve"> </w:t>
      </w:r>
      <w:r w:rsidRPr="008F0B31">
        <w:rPr>
          <w:lang w:val="en-GB"/>
        </w:rPr>
        <w:t>[Accessed on 14.08.2026]</w:t>
      </w:r>
    </w:p>
    <w:p w14:paraId="5D1E87FF" w14:textId="77777777" w:rsidR="001E4AAA" w:rsidRPr="008F0B31" w:rsidRDefault="001E4AAA" w:rsidP="00304BD1">
      <w:pPr>
        <w:spacing w:line="360" w:lineRule="auto"/>
        <w:jc w:val="both"/>
        <w:rPr>
          <w:bCs/>
          <w:lang w:val="en-GB"/>
        </w:rPr>
      </w:pPr>
      <w:r w:rsidRPr="008F0B31">
        <w:rPr>
          <w:bCs/>
          <w:lang w:val="en-GB"/>
        </w:rPr>
        <w:t>Mehta, L.S., Velarde, G.P., Lewey, J., Sharma, G., Bond, R.M., Navas-</w:t>
      </w:r>
      <w:proofErr w:type="spellStart"/>
      <w:r w:rsidRPr="008F0B31">
        <w:rPr>
          <w:bCs/>
          <w:lang w:val="en-GB"/>
        </w:rPr>
        <w:t>Acien</w:t>
      </w:r>
      <w:proofErr w:type="spellEnd"/>
      <w:r w:rsidRPr="008F0B31">
        <w:rPr>
          <w:bCs/>
          <w:lang w:val="en-GB"/>
        </w:rPr>
        <w:t>, A., Fretts, A.M., Magwood, G.S., Yang, E., Blumenthal, R.S. and Brown, R.M., 2023. Cardiovascular disease risk factors in women: the impact of race and ethnicity: a scientific statement from the American Heart Association. </w:t>
      </w:r>
      <w:r w:rsidRPr="008F0B31">
        <w:rPr>
          <w:bCs/>
          <w:i/>
          <w:iCs/>
          <w:lang w:val="en-GB"/>
        </w:rPr>
        <w:t>Circulation</w:t>
      </w:r>
      <w:r w:rsidRPr="008F0B31">
        <w:rPr>
          <w:bCs/>
          <w:lang w:val="en-GB"/>
        </w:rPr>
        <w:t>, </w:t>
      </w:r>
      <w:r w:rsidRPr="008F0B31">
        <w:rPr>
          <w:bCs/>
          <w:i/>
          <w:iCs/>
          <w:lang w:val="en-GB"/>
        </w:rPr>
        <w:t>147</w:t>
      </w:r>
      <w:r w:rsidRPr="008F0B31">
        <w:rPr>
          <w:bCs/>
          <w:lang w:val="en-GB"/>
        </w:rPr>
        <w:t>(19), pp.1471-1487.</w:t>
      </w:r>
    </w:p>
    <w:p w14:paraId="77541A6C" w14:textId="77777777" w:rsidR="001E4AAA" w:rsidRPr="00BC06A4" w:rsidRDefault="001E4AAA" w:rsidP="00BC06A4">
      <w:pPr>
        <w:spacing w:line="360" w:lineRule="auto"/>
        <w:jc w:val="both"/>
      </w:pPr>
      <w:r w:rsidRPr="00BC06A4">
        <w:t>Mubarak, F. and Suomi, R., 2022. Elderly forgotten? Digital exclusion in the information age and the rising grey digital divide. </w:t>
      </w:r>
      <w:r w:rsidRPr="00BC06A4">
        <w:rPr>
          <w:i/>
          <w:iCs/>
        </w:rPr>
        <w:t>INQUIRY: The Journal of Health Care Organization, Provision, and Financing</w:t>
      </w:r>
      <w:r w:rsidRPr="00BC06A4">
        <w:t>, </w:t>
      </w:r>
      <w:r w:rsidRPr="00BC06A4">
        <w:rPr>
          <w:i/>
          <w:iCs/>
        </w:rPr>
        <w:t>59</w:t>
      </w:r>
      <w:r w:rsidRPr="00BC06A4">
        <w:t>, p.00469580221096272.</w:t>
      </w:r>
    </w:p>
    <w:p w14:paraId="7086AACD" w14:textId="77777777" w:rsidR="001E4AAA" w:rsidRPr="008F0B31" w:rsidRDefault="001E4AAA" w:rsidP="00304BD1">
      <w:pPr>
        <w:spacing w:line="360" w:lineRule="auto"/>
        <w:jc w:val="both"/>
        <w:rPr>
          <w:lang w:val="en-GB"/>
        </w:rPr>
      </w:pPr>
      <w:r>
        <w:rPr>
          <w:lang w:val="en-GB"/>
        </w:rPr>
        <w:t>NHS</w:t>
      </w:r>
      <w:r w:rsidRPr="008F0B31">
        <w:rPr>
          <w:lang w:val="en-GB"/>
        </w:rPr>
        <w:t xml:space="preserve">, 2026. </w:t>
      </w:r>
      <w:r w:rsidRPr="008F0B31">
        <w:rPr>
          <w:bCs/>
          <w:i/>
          <w:lang w:val="en-GB"/>
        </w:rPr>
        <w:t xml:space="preserve">Primary Care Dementia Data, March 2026. </w:t>
      </w:r>
      <w:r w:rsidRPr="008F0B31">
        <w:rPr>
          <w:bCs/>
          <w:lang w:val="en-GB"/>
        </w:rPr>
        <w:t>Available at:</w:t>
      </w:r>
      <w:r w:rsidRPr="008F0B31">
        <w:rPr>
          <w:b/>
          <w:bCs/>
          <w:lang w:val="en-GB"/>
        </w:rPr>
        <w:t xml:space="preserve"> </w:t>
      </w:r>
      <w:hyperlink r:id="rId18" w:history="1">
        <w:r w:rsidRPr="008F0B31">
          <w:rPr>
            <w:rStyle w:val="Hyperlink"/>
            <w:lang w:val="en-GB"/>
          </w:rPr>
          <w:t>https://digital.nhs.uk/data-and-information/publications/statistical/primary-care-dementia-data/march-2026</w:t>
        </w:r>
      </w:hyperlink>
      <w:r w:rsidRPr="008F0B31">
        <w:rPr>
          <w:lang w:val="en-GB"/>
        </w:rPr>
        <w:t xml:space="preserve"> [Accessed on 14.08.2026]</w:t>
      </w:r>
    </w:p>
    <w:p w14:paraId="79536731" w14:textId="77777777" w:rsidR="001E4AAA" w:rsidRPr="008F0B31" w:rsidRDefault="001E4AAA" w:rsidP="00304BD1">
      <w:pPr>
        <w:spacing w:line="360" w:lineRule="auto"/>
        <w:jc w:val="both"/>
        <w:rPr>
          <w:bCs/>
          <w:lang w:val="en-GB"/>
        </w:rPr>
      </w:pPr>
      <w:r w:rsidRPr="008F0B31">
        <w:rPr>
          <w:bCs/>
          <w:lang w:val="en-GB"/>
        </w:rPr>
        <w:t>Qi, M., Santos, H., Pinheiro, P., McGuinness, D.L. and Bennett, K.P., 2023. Demographic and socioeconomic determinants of access to care: A subgroup disparity analysis using new equity-focused measurements. </w:t>
      </w:r>
      <w:proofErr w:type="spellStart"/>
      <w:r w:rsidRPr="008F0B31">
        <w:rPr>
          <w:bCs/>
          <w:i/>
          <w:iCs/>
          <w:lang w:val="en-GB"/>
        </w:rPr>
        <w:t>PLoS</w:t>
      </w:r>
      <w:proofErr w:type="spellEnd"/>
      <w:r w:rsidRPr="008F0B31">
        <w:rPr>
          <w:bCs/>
          <w:i/>
          <w:iCs/>
          <w:lang w:val="en-GB"/>
        </w:rPr>
        <w:t xml:space="preserve"> One</w:t>
      </w:r>
      <w:r w:rsidRPr="008F0B31">
        <w:rPr>
          <w:bCs/>
          <w:lang w:val="en-GB"/>
        </w:rPr>
        <w:t>, </w:t>
      </w:r>
      <w:r w:rsidRPr="008F0B31">
        <w:rPr>
          <w:bCs/>
          <w:i/>
          <w:iCs/>
          <w:lang w:val="en-GB"/>
        </w:rPr>
        <w:t>18</w:t>
      </w:r>
      <w:r w:rsidRPr="008F0B31">
        <w:rPr>
          <w:bCs/>
          <w:lang w:val="en-GB"/>
        </w:rPr>
        <w:t>(11), p.e0290692.</w:t>
      </w:r>
    </w:p>
    <w:p w14:paraId="0FAAB239" w14:textId="77777777" w:rsidR="001E4AAA" w:rsidRPr="008F0B31" w:rsidRDefault="001E4AAA" w:rsidP="00304BD1">
      <w:pPr>
        <w:spacing w:line="360" w:lineRule="auto"/>
        <w:jc w:val="both"/>
        <w:rPr>
          <w:bCs/>
          <w:lang w:val="en-GB"/>
        </w:rPr>
      </w:pPr>
      <w:r w:rsidRPr="008F0B31">
        <w:rPr>
          <w:bCs/>
          <w:lang w:val="en-GB"/>
        </w:rPr>
        <w:t>Qin, R., Zhao, H., Gao, H. and Liu, H., 2025. Global trends in Alzheimer’s disease and other dementias: A comprehensive analysis of incidence, socio-demographic variations, and future projections. </w:t>
      </w:r>
      <w:proofErr w:type="spellStart"/>
      <w:r w:rsidRPr="008F0B31">
        <w:rPr>
          <w:bCs/>
          <w:i/>
          <w:iCs/>
          <w:lang w:val="en-GB"/>
        </w:rPr>
        <w:t>PloS</w:t>
      </w:r>
      <w:proofErr w:type="spellEnd"/>
      <w:r w:rsidRPr="008F0B31">
        <w:rPr>
          <w:bCs/>
          <w:i/>
          <w:iCs/>
          <w:lang w:val="en-GB"/>
        </w:rPr>
        <w:t xml:space="preserve"> one</w:t>
      </w:r>
      <w:r w:rsidRPr="008F0B31">
        <w:rPr>
          <w:bCs/>
          <w:lang w:val="en-GB"/>
        </w:rPr>
        <w:t>, </w:t>
      </w:r>
      <w:r w:rsidRPr="008F0B31">
        <w:rPr>
          <w:bCs/>
          <w:i/>
          <w:iCs/>
          <w:lang w:val="en-GB"/>
        </w:rPr>
        <w:t>20</w:t>
      </w:r>
      <w:r w:rsidRPr="008F0B31">
        <w:rPr>
          <w:bCs/>
          <w:lang w:val="en-GB"/>
        </w:rPr>
        <w:t>(12), p.e0338018.</w:t>
      </w:r>
    </w:p>
    <w:p w14:paraId="2283EC15" w14:textId="77777777" w:rsidR="001E4AAA" w:rsidRDefault="001E4AAA" w:rsidP="00BC06A4">
      <w:pPr>
        <w:spacing w:line="360" w:lineRule="auto"/>
        <w:jc w:val="both"/>
      </w:pPr>
      <w:r w:rsidRPr="00BC06A4">
        <w:t xml:space="preserve">Reynolds 3rd, C.F., </w:t>
      </w:r>
      <w:proofErr w:type="spellStart"/>
      <w:r w:rsidRPr="00BC06A4">
        <w:t>Jeste</w:t>
      </w:r>
      <w:proofErr w:type="spellEnd"/>
      <w:r w:rsidRPr="00BC06A4">
        <w:t>, D.V., Sachdev, P.S. and Blazer, D.G., 2022. Mental health care for older adults: recent advances and new directions in clinical practice and research. </w:t>
      </w:r>
      <w:r w:rsidRPr="00BC06A4">
        <w:rPr>
          <w:i/>
          <w:iCs/>
        </w:rPr>
        <w:t>World Psychiatry</w:t>
      </w:r>
      <w:r w:rsidRPr="00BC06A4">
        <w:t>, </w:t>
      </w:r>
      <w:r w:rsidRPr="00BC06A4">
        <w:rPr>
          <w:i/>
          <w:iCs/>
        </w:rPr>
        <w:t>21</w:t>
      </w:r>
      <w:r w:rsidRPr="00BC06A4">
        <w:t>(3), pp.336-363.</w:t>
      </w:r>
    </w:p>
    <w:p w14:paraId="3A049E06" w14:textId="77777777" w:rsidR="001E4AAA" w:rsidRPr="008F0B31" w:rsidRDefault="001E4AAA" w:rsidP="00304BD1">
      <w:pPr>
        <w:spacing w:line="360" w:lineRule="auto"/>
        <w:jc w:val="both"/>
        <w:rPr>
          <w:bCs/>
          <w:lang w:val="en-GB"/>
        </w:rPr>
      </w:pPr>
      <w:r w:rsidRPr="008F0B31">
        <w:rPr>
          <w:bCs/>
          <w:lang w:val="en-GB"/>
        </w:rPr>
        <w:t>Ronner, D., Oostra, D., Claassen, J., Richard, E. and Perry, M., 2025. Diagnostic information in GP referral letters to a memory clinic: a retrospective cohort study. </w:t>
      </w:r>
      <w:r w:rsidRPr="008F0B31">
        <w:rPr>
          <w:bCs/>
          <w:i/>
          <w:iCs/>
          <w:lang w:val="en-GB"/>
        </w:rPr>
        <w:t>BJGP open</w:t>
      </w:r>
      <w:r w:rsidRPr="008F0B31">
        <w:rPr>
          <w:bCs/>
          <w:lang w:val="en-GB"/>
        </w:rPr>
        <w:t>, </w:t>
      </w:r>
      <w:r w:rsidRPr="008F0B31">
        <w:rPr>
          <w:bCs/>
          <w:i/>
          <w:iCs/>
          <w:lang w:val="en-GB"/>
        </w:rPr>
        <w:t>9</w:t>
      </w:r>
      <w:r w:rsidRPr="008F0B31">
        <w:rPr>
          <w:bCs/>
          <w:lang w:val="en-GB"/>
        </w:rPr>
        <w:t xml:space="preserve">(1), </w:t>
      </w:r>
      <w:proofErr w:type="gramStart"/>
      <w:r w:rsidRPr="008F0B31">
        <w:rPr>
          <w:bCs/>
          <w:lang w:val="en-GB"/>
        </w:rPr>
        <w:t>pp.BJGPO</w:t>
      </w:r>
      <w:proofErr w:type="gramEnd"/>
      <w:r w:rsidRPr="008F0B31">
        <w:rPr>
          <w:bCs/>
          <w:lang w:val="en-GB"/>
        </w:rPr>
        <w:t>-2024.</w:t>
      </w:r>
    </w:p>
    <w:p w14:paraId="5E2F0F17" w14:textId="77777777" w:rsidR="001E4AAA" w:rsidRPr="008F0B31" w:rsidRDefault="001E4AAA" w:rsidP="00304BD1">
      <w:pPr>
        <w:spacing w:line="360" w:lineRule="auto"/>
        <w:jc w:val="both"/>
        <w:rPr>
          <w:bCs/>
          <w:lang w:val="en-GB"/>
        </w:rPr>
      </w:pPr>
      <w:proofErr w:type="spellStart"/>
      <w:r w:rsidRPr="008F0B31">
        <w:rPr>
          <w:bCs/>
          <w:lang w:val="en-GB"/>
        </w:rPr>
        <w:t>Tjin</w:t>
      </w:r>
      <w:proofErr w:type="spellEnd"/>
      <w:r w:rsidRPr="008F0B31">
        <w:rPr>
          <w:bCs/>
          <w:lang w:val="en-GB"/>
        </w:rPr>
        <w:t>, A., Thang, L.L., Sondh, H.K. and Stewart, R., 2026. Healthcare service utilisation of people living with non-Alzheimer’s dementia: a systematic review. </w:t>
      </w:r>
      <w:r w:rsidRPr="008F0B31">
        <w:rPr>
          <w:bCs/>
          <w:i/>
          <w:iCs/>
          <w:lang w:val="en-GB"/>
        </w:rPr>
        <w:t>Journal of Geriatric Psychiatry and Neurology</w:t>
      </w:r>
      <w:r w:rsidRPr="008F0B31">
        <w:rPr>
          <w:bCs/>
          <w:lang w:val="en-GB"/>
        </w:rPr>
        <w:t>, </w:t>
      </w:r>
      <w:r w:rsidRPr="008F0B31">
        <w:rPr>
          <w:bCs/>
          <w:i/>
          <w:iCs/>
          <w:lang w:val="en-GB"/>
        </w:rPr>
        <w:t>39</w:t>
      </w:r>
      <w:r w:rsidRPr="008F0B31">
        <w:rPr>
          <w:bCs/>
          <w:lang w:val="en-GB"/>
        </w:rPr>
        <w:t>(4), pp.355-367.</w:t>
      </w:r>
    </w:p>
    <w:p w14:paraId="4E62C710" w14:textId="77777777" w:rsidR="001E4AAA" w:rsidRPr="008F0B31" w:rsidRDefault="001E4AAA" w:rsidP="00304BD1">
      <w:pPr>
        <w:spacing w:line="360" w:lineRule="auto"/>
        <w:jc w:val="both"/>
        <w:rPr>
          <w:bCs/>
          <w:lang w:val="en-GB"/>
        </w:rPr>
      </w:pPr>
      <w:r w:rsidRPr="008F0B31">
        <w:rPr>
          <w:bCs/>
          <w:lang w:val="en-GB"/>
        </w:rPr>
        <w:t>Tsai, F.J. and Shen, S.W., 2022. Concepts of dementia prevention in the health promotion among older adults: a narrative review. </w:t>
      </w:r>
      <w:r w:rsidRPr="008F0B31">
        <w:rPr>
          <w:bCs/>
          <w:i/>
          <w:iCs/>
          <w:lang w:val="en-GB"/>
        </w:rPr>
        <w:t>Medicine</w:t>
      </w:r>
      <w:r w:rsidRPr="008F0B31">
        <w:rPr>
          <w:bCs/>
          <w:lang w:val="en-GB"/>
        </w:rPr>
        <w:t>, </w:t>
      </w:r>
      <w:r w:rsidRPr="008F0B31">
        <w:rPr>
          <w:bCs/>
          <w:i/>
          <w:iCs/>
          <w:lang w:val="en-GB"/>
        </w:rPr>
        <w:t>101</w:t>
      </w:r>
      <w:r w:rsidRPr="008F0B31">
        <w:rPr>
          <w:bCs/>
          <w:lang w:val="en-GB"/>
        </w:rPr>
        <w:t>(50), p.e32172.</w:t>
      </w:r>
    </w:p>
    <w:p w14:paraId="3E7B8542" w14:textId="77777777" w:rsidR="001E4AAA" w:rsidRPr="008F0B31" w:rsidRDefault="001E4AAA" w:rsidP="00304BD1">
      <w:pPr>
        <w:pStyle w:val="Normal1"/>
        <w:spacing w:line="360" w:lineRule="auto"/>
        <w:jc w:val="both"/>
        <w:rPr>
          <w:lang w:val="en-GB"/>
        </w:rPr>
      </w:pPr>
      <w:r>
        <w:rPr>
          <w:lang w:val="en-GB"/>
        </w:rPr>
        <w:t>WHO</w:t>
      </w:r>
      <w:r w:rsidRPr="008F0B31">
        <w:rPr>
          <w:lang w:val="en-GB"/>
        </w:rPr>
        <w:t xml:space="preserve">, 2026. </w:t>
      </w:r>
      <w:r w:rsidRPr="008F0B31">
        <w:rPr>
          <w:bCs/>
          <w:i/>
          <w:lang w:val="en-GB"/>
        </w:rPr>
        <w:t xml:space="preserve">Dementia. </w:t>
      </w:r>
      <w:r w:rsidRPr="008F0B31">
        <w:rPr>
          <w:bCs/>
          <w:lang w:val="en-GB"/>
        </w:rPr>
        <w:t xml:space="preserve">Available at: </w:t>
      </w:r>
      <w:hyperlink r:id="rId19" w:history="1">
        <w:r w:rsidRPr="008F0B31">
          <w:rPr>
            <w:rStyle w:val="Hyperlink"/>
            <w:lang w:val="en-GB"/>
          </w:rPr>
          <w:t>https://www.who.int/news-room/fact-sheets/detail/dementia</w:t>
        </w:r>
      </w:hyperlink>
      <w:r w:rsidRPr="008F0B31">
        <w:rPr>
          <w:lang w:val="en-GB"/>
        </w:rPr>
        <w:t xml:space="preserve"> [Accessed on 14.08.2026]</w:t>
      </w:r>
    </w:p>
    <w:sectPr w:rsidR="001E4AAA" w:rsidRPr="008F0B31" w:rsidSect="00776227">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DF002" w14:textId="77777777" w:rsidR="00261D65" w:rsidRDefault="00261D65" w:rsidP="00776227">
      <w:pPr>
        <w:spacing w:line="240" w:lineRule="auto"/>
      </w:pPr>
      <w:r>
        <w:separator/>
      </w:r>
    </w:p>
  </w:endnote>
  <w:endnote w:type="continuationSeparator" w:id="0">
    <w:p w14:paraId="2CBA0DC5" w14:textId="77777777" w:rsidR="00261D65" w:rsidRDefault="00261D65" w:rsidP="007762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000C861-068F-49C3-8864-55447E1BD0BD}"/>
  </w:font>
  <w:font w:name="Calibri">
    <w:panose1 w:val="020F0502020204030204"/>
    <w:charset w:val="00"/>
    <w:family w:val="swiss"/>
    <w:pitch w:val="variable"/>
    <w:sig w:usb0="E4002EFF" w:usb1="C000247B" w:usb2="00000009" w:usb3="00000000" w:csb0="000001FF" w:csb1="00000000"/>
    <w:embedRegular r:id="rId2" w:fontKey="{1F966BD6-038C-4DB6-B006-503970663988}"/>
    <w:embedBold r:id="rId3" w:fontKey="{C49E7475-6D4F-4F7F-822E-97B194A202C8}"/>
  </w:font>
  <w:font w:name="Cambria">
    <w:panose1 w:val="02040503050406030204"/>
    <w:charset w:val="00"/>
    <w:family w:val="roman"/>
    <w:pitch w:val="variable"/>
    <w:sig w:usb0="E00006FF" w:usb1="420024FF" w:usb2="02000000" w:usb3="00000000" w:csb0="0000019F" w:csb1="00000000"/>
    <w:embedRegular r:id="rId4" w:fontKey="{E1330FAD-BFEA-4194-9CA9-ECCA054D1A7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4994014"/>
      <w:docPartObj>
        <w:docPartGallery w:val="Page Numbers (Bottom of Page)"/>
        <w:docPartUnique/>
      </w:docPartObj>
    </w:sdtPr>
    <w:sdtEndPr/>
    <w:sdtContent>
      <w:p w14:paraId="2AD4FB80" w14:textId="77777777" w:rsidR="00776227" w:rsidRDefault="003A6105">
        <w:pPr>
          <w:pStyle w:val="Footer"/>
          <w:jc w:val="right"/>
        </w:pPr>
        <w:r>
          <w:fldChar w:fldCharType="begin"/>
        </w:r>
        <w:r>
          <w:instrText xml:space="preserve"> PAGE   \* MERGEFORMAT </w:instrText>
        </w:r>
        <w:r>
          <w:fldChar w:fldCharType="separate"/>
        </w:r>
        <w:r w:rsidR="00446A48">
          <w:rPr>
            <w:noProof/>
          </w:rPr>
          <w:t>2</w:t>
        </w:r>
        <w:r>
          <w:rPr>
            <w:noProof/>
          </w:rPr>
          <w:fldChar w:fldCharType="end"/>
        </w:r>
      </w:p>
    </w:sdtContent>
  </w:sdt>
  <w:p w14:paraId="2AD4FB81" w14:textId="77777777" w:rsidR="00776227" w:rsidRDefault="00776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C8080" w14:textId="77777777" w:rsidR="00261D65" w:rsidRDefault="00261D65" w:rsidP="00776227">
      <w:pPr>
        <w:spacing w:line="240" w:lineRule="auto"/>
      </w:pPr>
      <w:r>
        <w:separator/>
      </w:r>
    </w:p>
  </w:footnote>
  <w:footnote w:type="continuationSeparator" w:id="0">
    <w:p w14:paraId="1BBEF8BB" w14:textId="77777777" w:rsidR="00261D65" w:rsidRDefault="00261D65" w:rsidP="007762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1A0D"/>
    <w:rsid w:val="00060306"/>
    <w:rsid w:val="00101A0D"/>
    <w:rsid w:val="001E4AAA"/>
    <w:rsid w:val="0021243C"/>
    <w:rsid w:val="00261D65"/>
    <w:rsid w:val="002E5145"/>
    <w:rsid w:val="00304BD1"/>
    <w:rsid w:val="0032759B"/>
    <w:rsid w:val="00342EA1"/>
    <w:rsid w:val="003A6105"/>
    <w:rsid w:val="003D06D9"/>
    <w:rsid w:val="003F5D05"/>
    <w:rsid w:val="00446A48"/>
    <w:rsid w:val="00497E7C"/>
    <w:rsid w:val="00555407"/>
    <w:rsid w:val="0061734A"/>
    <w:rsid w:val="006447BB"/>
    <w:rsid w:val="00776227"/>
    <w:rsid w:val="00812B22"/>
    <w:rsid w:val="00911CD7"/>
    <w:rsid w:val="0096020F"/>
    <w:rsid w:val="00B01F7D"/>
    <w:rsid w:val="00B6701F"/>
    <w:rsid w:val="00BC06A4"/>
    <w:rsid w:val="00D27BAA"/>
    <w:rsid w:val="00EF6402"/>
    <w:rsid w:val="00FC412F"/>
    <w:rsid w:val="00FF70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4FACD"/>
  <w15:docId w15:val="{9F8376E7-1236-4D25-A590-D09D84D71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306"/>
  </w:style>
  <w:style w:type="paragraph" w:styleId="Heading1">
    <w:name w:val="heading 1"/>
    <w:basedOn w:val="Normal1"/>
    <w:next w:val="Normal1"/>
    <w:autoRedefine/>
    <w:rsid w:val="00BC06A4"/>
    <w:pPr>
      <w:keepNext/>
      <w:keepLines/>
      <w:spacing w:line="360" w:lineRule="auto"/>
      <w:jc w:val="both"/>
      <w:outlineLvl w:val="0"/>
    </w:pPr>
    <w:rPr>
      <w:b/>
      <w:color w:val="000000" w:themeColor="text1"/>
      <w:sz w:val="28"/>
      <w:szCs w:val="24"/>
      <w:lang w:val="en-GB"/>
    </w:rPr>
  </w:style>
  <w:style w:type="paragraph" w:styleId="Heading2">
    <w:name w:val="heading 2"/>
    <w:basedOn w:val="Heading1"/>
    <w:next w:val="Normal1"/>
    <w:rsid w:val="001E4AAA"/>
    <w:pPr>
      <w:outlineLvl w:val="1"/>
    </w:pPr>
    <w:rPr>
      <w:sz w:val="26"/>
      <w:szCs w:val="26"/>
    </w:rPr>
  </w:style>
  <w:style w:type="paragraph" w:styleId="Heading3">
    <w:name w:val="heading 3"/>
    <w:basedOn w:val="Normal1"/>
    <w:next w:val="Normal1"/>
    <w:rsid w:val="00101A0D"/>
    <w:pPr>
      <w:keepNext/>
      <w:keepLines/>
      <w:spacing w:before="320" w:after="80"/>
      <w:outlineLvl w:val="2"/>
    </w:pPr>
    <w:rPr>
      <w:color w:val="434343"/>
      <w:sz w:val="28"/>
      <w:szCs w:val="28"/>
    </w:rPr>
  </w:style>
  <w:style w:type="paragraph" w:styleId="Heading4">
    <w:name w:val="heading 4"/>
    <w:basedOn w:val="Normal1"/>
    <w:next w:val="Normal1"/>
    <w:rsid w:val="00101A0D"/>
    <w:pPr>
      <w:keepNext/>
      <w:keepLines/>
      <w:spacing w:before="280" w:after="80"/>
      <w:outlineLvl w:val="3"/>
    </w:pPr>
    <w:rPr>
      <w:color w:val="666666"/>
      <w:sz w:val="24"/>
      <w:szCs w:val="24"/>
    </w:rPr>
  </w:style>
  <w:style w:type="paragraph" w:styleId="Heading5">
    <w:name w:val="heading 5"/>
    <w:basedOn w:val="Normal1"/>
    <w:next w:val="Normal1"/>
    <w:rsid w:val="00101A0D"/>
    <w:pPr>
      <w:keepNext/>
      <w:keepLines/>
      <w:spacing w:before="240" w:after="80"/>
      <w:outlineLvl w:val="4"/>
    </w:pPr>
    <w:rPr>
      <w:color w:val="666666"/>
    </w:rPr>
  </w:style>
  <w:style w:type="paragraph" w:styleId="Heading6">
    <w:name w:val="heading 6"/>
    <w:basedOn w:val="Normal1"/>
    <w:next w:val="Normal1"/>
    <w:rsid w:val="00101A0D"/>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01A0D"/>
    <w:tblPr>
      <w:tblCellMar>
        <w:top w:w="100" w:type="dxa"/>
        <w:left w:w="100" w:type="dxa"/>
        <w:bottom w:w="100" w:type="dxa"/>
        <w:right w:w="100" w:type="dxa"/>
      </w:tblCellMar>
    </w:tblPr>
  </w:style>
  <w:style w:type="paragraph" w:customStyle="1" w:styleId="Normal1">
    <w:name w:val="Normal1"/>
    <w:rsid w:val="00101A0D"/>
  </w:style>
  <w:style w:type="paragraph" w:styleId="Title">
    <w:name w:val="Title"/>
    <w:basedOn w:val="Normal1"/>
    <w:next w:val="Normal1"/>
    <w:rsid w:val="00101A0D"/>
    <w:pPr>
      <w:keepNext/>
      <w:keepLines/>
      <w:spacing w:after="60"/>
    </w:pPr>
    <w:rPr>
      <w:sz w:val="52"/>
      <w:szCs w:val="52"/>
    </w:rPr>
  </w:style>
  <w:style w:type="paragraph" w:styleId="Subtitle">
    <w:name w:val="Subtitle"/>
    <w:basedOn w:val="Normal1"/>
    <w:next w:val="Normal1"/>
    <w:rsid w:val="00101A0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762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227"/>
    <w:rPr>
      <w:rFonts w:ascii="Tahoma" w:hAnsi="Tahoma" w:cs="Tahoma"/>
      <w:sz w:val="16"/>
      <w:szCs w:val="16"/>
    </w:rPr>
  </w:style>
  <w:style w:type="paragraph" w:styleId="Header">
    <w:name w:val="header"/>
    <w:basedOn w:val="Normal"/>
    <w:link w:val="HeaderChar"/>
    <w:uiPriority w:val="99"/>
    <w:semiHidden/>
    <w:unhideWhenUsed/>
    <w:rsid w:val="0077622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76227"/>
  </w:style>
  <w:style w:type="paragraph" w:styleId="Footer">
    <w:name w:val="footer"/>
    <w:basedOn w:val="Normal"/>
    <w:link w:val="FooterChar"/>
    <w:uiPriority w:val="99"/>
    <w:unhideWhenUsed/>
    <w:rsid w:val="00776227"/>
    <w:pPr>
      <w:tabs>
        <w:tab w:val="center" w:pos="4680"/>
        <w:tab w:val="right" w:pos="9360"/>
      </w:tabs>
      <w:spacing w:line="240" w:lineRule="auto"/>
    </w:pPr>
  </w:style>
  <w:style w:type="character" w:customStyle="1" w:styleId="FooterChar">
    <w:name w:val="Footer Char"/>
    <w:basedOn w:val="DefaultParagraphFont"/>
    <w:link w:val="Footer"/>
    <w:uiPriority w:val="99"/>
    <w:rsid w:val="00776227"/>
  </w:style>
  <w:style w:type="character" w:styleId="Hyperlink">
    <w:name w:val="Hyperlink"/>
    <w:uiPriority w:val="99"/>
    <w:unhideWhenUsed/>
    <w:rsid w:val="00776227"/>
    <w:rPr>
      <w:color w:val="0000FF"/>
      <w:u w:val="single"/>
    </w:rPr>
  </w:style>
  <w:style w:type="paragraph" w:styleId="TOCHeading">
    <w:name w:val="TOC Heading"/>
    <w:basedOn w:val="Heading1"/>
    <w:next w:val="Normal"/>
    <w:uiPriority w:val="39"/>
    <w:unhideWhenUsed/>
    <w:qFormat/>
    <w:rsid w:val="00911CD7"/>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11CD7"/>
    <w:pPr>
      <w:spacing w:after="100"/>
    </w:pPr>
  </w:style>
  <w:style w:type="table" w:customStyle="1" w:styleId="a">
    <w:name w:val="a"/>
    <w:basedOn w:val="TableNormal0"/>
    <w:rsid w:val="00BC06A4"/>
    <w:rPr>
      <w:lang w:eastAsia="en-IN"/>
    </w:rPr>
    <w:tblPr>
      <w:tblStyleRowBandSize w:val="1"/>
      <w:tblStyleColBandSize w:val="1"/>
    </w:tblPr>
  </w:style>
  <w:style w:type="table" w:customStyle="1" w:styleId="a0">
    <w:name w:val="a0"/>
    <w:basedOn w:val="TableNormal0"/>
    <w:rsid w:val="00BC06A4"/>
    <w:rPr>
      <w:lang w:eastAsia="en-IN"/>
    </w:rPr>
    <w:tblPr>
      <w:tblStyleRowBandSize w:val="1"/>
      <w:tblStyleColBandSize w:val="1"/>
    </w:tblPr>
  </w:style>
  <w:style w:type="paragraph" w:styleId="TOC2">
    <w:name w:val="toc 2"/>
    <w:basedOn w:val="Normal"/>
    <w:next w:val="Normal"/>
    <w:autoRedefine/>
    <w:uiPriority w:val="39"/>
    <w:unhideWhenUsed/>
    <w:rsid w:val="001E4A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lzheimers.org.uk/about-dementia/types-dementia/what-is-dementia" TargetMode="External"/><Relationship Id="rId18" Type="http://schemas.openxmlformats.org/officeDocument/2006/relationships/hyperlink" Target="https://digital.nhs.uk/data-and-information/publications/statistical/primary-care-dementia-data/march-202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geuk.org.uk/latest-press/articles/three-in-four-pensioners-admitted-they-were-cold-in-their-own-homes-in-january/" TargetMode="External"/><Relationship Id="rId17" Type="http://schemas.openxmlformats.org/officeDocument/2006/relationships/hyperlink" Target="https://www.mayoclinic.org/diseases-conditions/alzheimers-disease/symptoms-causes/syc-20350447" TargetMode="External"/><Relationship Id="rId2" Type="http://schemas.openxmlformats.org/officeDocument/2006/relationships/styles" Target="styles.xml"/><Relationship Id="rId16" Type="http://schemas.openxmlformats.org/officeDocument/2006/relationships/hyperlink" Target="https://www.gov.uk/government/statistics/income-related-benefits-estimates-of-take-up-financial-year-ending-2024/income-related-benefits-estimates-of-take-up-financial-year-ending-202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geuk.org.uk/" TargetMode="External"/><Relationship Id="rId5" Type="http://schemas.openxmlformats.org/officeDocument/2006/relationships/footnotes" Target="footnotes.xml"/><Relationship Id="rId15" Type="http://schemas.openxmlformats.org/officeDocument/2006/relationships/hyperlink" Target="https://www.england.nhs.uk/ourwork/clinical-policy/older-people/healthy-ageing-caring/" TargetMode="External"/><Relationship Id="rId10" Type="http://schemas.openxmlformats.org/officeDocument/2006/relationships/image" Target="media/image4.png"/><Relationship Id="rId19" Type="http://schemas.openxmlformats.org/officeDocument/2006/relationships/hyperlink" Target="https://www.who.int/news-room/fact-sheets/detail/dement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hf.org.uk/-/media/files/for-professionals/research/heart-statistics/bhf-statistics-compendium-2025.pdf?rev=9d8068836c024cb2a0c6da81ed41c62a&amp;hash=1784F6B0093D2DBA631E8E166A5BCA2D"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0D47B7-CD91-4036-BE63-E13C645C5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4098</Words>
  <Characters>23362</Characters>
  <Application>Microsoft Office Word</Application>
  <DocSecurity>0</DocSecurity>
  <Lines>194</Lines>
  <Paragraphs>54</Paragraphs>
  <ScaleCrop>false</ScaleCrop>
  <Company/>
  <LinksUpToDate>false</LinksUpToDate>
  <CharactersWithSpaces>27406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28</cp:revision>
  <dcterms:created xsi:type="dcterms:W3CDTF">2026-08-14T06:20:00Z</dcterms:created>
  <dcterms:modified xsi:type="dcterms:W3CDTF">2026-08-17T08:02:00Z</dcterms:modified>
</cp:coreProperties>
</file>