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F07B04" w14:textId="77777777" w:rsidR="00554535" w:rsidRPr="00554535" w:rsidRDefault="00554535" w:rsidP="00554535">
      <w:pPr>
        <w:jc w:val="center"/>
        <w:rPr>
          <w:rFonts w:ascii="Arial" w:hAnsi="Arial" w:cs="Arial"/>
          <w:sz w:val="24"/>
          <w:szCs w:val="24"/>
        </w:rPr>
      </w:pPr>
      <w:bookmarkStart w:id="0" w:name="_GoBack"/>
      <w:bookmarkEnd w:id="0"/>
      <w:r w:rsidRPr="00554535">
        <w:rPr>
          <w:rFonts w:ascii="Arial" w:hAnsi="Arial" w:cs="Arial"/>
          <w:noProof/>
          <w:sz w:val="24"/>
          <w:szCs w:val="24"/>
          <w:lang w:eastAsia="en-GB"/>
        </w:rPr>
        <w:drawing>
          <wp:inline distT="0" distB="0" distL="0" distR="0" wp14:anchorId="4E01B6C9" wp14:editId="32CE0ADF">
            <wp:extent cx="5705476" cy="2143125"/>
            <wp:effectExtent l="0" t="0" r="0" b="0"/>
            <wp:docPr id="213876731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5705476" cy="2143125"/>
                    </a:xfrm>
                    <a:prstGeom prst="rect">
                      <a:avLst/>
                    </a:prstGeom>
                  </pic:spPr>
                </pic:pic>
              </a:graphicData>
            </a:graphic>
          </wp:inline>
        </w:drawing>
      </w:r>
    </w:p>
    <w:p w14:paraId="75AC0E35" w14:textId="77777777" w:rsidR="00554535" w:rsidRPr="00554535" w:rsidRDefault="00554535" w:rsidP="00554535">
      <w:pPr>
        <w:spacing w:after="120" w:line="480" w:lineRule="auto"/>
        <w:jc w:val="center"/>
        <w:rPr>
          <w:rFonts w:ascii="Arial" w:eastAsia="Times New Roman" w:hAnsi="Arial" w:cs="Arial"/>
          <w:color w:val="000000" w:themeColor="text1"/>
          <w:sz w:val="24"/>
          <w:szCs w:val="24"/>
        </w:rPr>
      </w:pPr>
      <w:r w:rsidRPr="00554535">
        <w:rPr>
          <w:rFonts w:ascii="Arial" w:eastAsia="Times New Roman" w:hAnsi="Arial" w:cs="Arial"/>
          <w:color w:val="000000" w:themeColor="text1"/>
          <w:sz w:val="24"/>
          <w:szCs w:val="24"/>
        </w:rPr>
        <w:t>Student Name: Lauren Buckley</w:t>
      </w:r>
    </w:p>
    <w:p w14:paraId="64AA0B93" w14:textId="77777777" w:rsidR="00554535" w:rsidRPr="00554535" w:rsidRDefault="00554535" w:rsidP="00554535">
      <w:pPr>
        <w:spacing w:line="360" w:lineRule="auto"/>
        <w:jc w:val="center"/>
        <w:rPr>
          <w:rFonts w:ascii="Arial" w:eastAsia="Times New Roman" w:hAnsi="Arial" w:cs="Arial"/>
          <w:color w:val="000000" w:themeColor="text1"/>
          <w:sz w:val="24"/>
          <w:szCs w:val="24"/>
        </w:rPr>
      </w:pPr>
      <w:r w:rsidRPr="00554535">
        <w:rPr>
          <w:rFonts w:ascii="Arial" w:eastAsia="Times New Roman" w:hAnsi="Arial" w:cs="Arial"/>
          <w:color w:val="000000" w:themeColor="text1"/>
          <w:sz w:val="24"/>
          <w:szCs w:val="24"/>
        </w:rPr>
        <w:t>Student Number: 1707395</w:t>
      </w:r>
    </w:p>
    <w:p w14:paraId="6A8AFE36" w14:textId="77777777" w:rsidR="00554535" w:rsidRPr="00554535" w:rsidRDefault="00554535" w:rsidP="00554535">
      <w:pPr>
        <w:spacing w:line="360" w:lineRule="auto"/>
        <w:jc w:val="center"/>
        <w:rPr>
          <w:rFonts w:ascii="Arial" w:eastAsia="Times New Roman" w:hAnsi="Arial" w:cs="Arial"/>
          <w:color w:val="000000" w:themeColor="text1"/>
          <w:sz w:val="24"/>
          <w:szCs w:val="24"/>
        </w:rPr>
      </w:pPr>
      <w:r w:rsidRPr="00554535">
        <w:rPr>
          <w:rFonts w:ascii="Arial" w:eastAsia="Times New Roman" w:hAnsi="Arial" w:cs="Arial"/>
          <w:color w:val="000000" w:themeColor="text1"/>
          <w:sz w:val="24"/>
          <w:szCs w:val="24"/>
        </w:rPr>
        <w:t>Course: Inclusive Education</w:t>
      </w:r>
    </w:p>
    <w:p w14:paraId="71474876" w14:textId="29AD2ABB" w:rsidR="00554535" w:rsidRPr="00554535" w:rsidRDefault="00554535" w:rsidP="00554535">
      <w:pPr>
        <w:spacing w:line="360" w:lineRule="auto"/>
        <w:jc w:val="center"/>
        <w:rPr>
          <w:rFonts w:ascii="Arial" w:eastAsia="Times New Roman" w:hAnsi="Arial" w:cs="Arial"/>
          <w:color w:val="000000" w:themeColor="text1"/>
          <w:sz w:val="24"/>
          <w:szCs w:val="24"/>
          <w:lang w:val="en-US"/>
        </w:rPr>
      </w:pPr>
      <w:r w:rsidRPr="00554535">
        <w:rPr>
          <w:rFonts w:ascii="Arial" w:eastAsia="Times New Roman" w:hAnsi="Arial" w:cs="Arial"/>
          <w:color w:val="000000" w:themeColor="text1"/>
          <w:sz w:val="24"/>
          <w:szCs w:val="24"/>
        </w:rPr>
        <w:t>Module: Social Inclusion in Practice</w:t>
      </w:r>
    </w:p>
    <w:p w14:paraId="56B3D7D1" w14:textId="29B5CBC5" w:rsidR="00554535" w:rsidRPr="00554535" w:rsidRDefault="00554535" w:rsidP="00554535">
      <w:pPr>
        <w:spacing w:line="360" w:lineRule="auto"/>
        <w:jc w:val="center"/>
        <w:rPr>
          <w:rFonts w:ascii="Arial" w:eastAsia="Times New Roman" w:hAnsi="Arial" w:cs="Arial"/>
          <w:color w:val="000000" w:themeColor="text1"/>
          <w:sz w:val="24"/>
          <w:szCs w:val="24"/>
        </w:rPr>
      </w:pPr>
      <w:r w:rsidRPr="00554535">
        <w:rPr>
          <w:rFonts w:ascii="Arial" w:eastAsia="Times New Roman" w:hAnsi="Arial" w:cs="Arial"/>
          <w:color w:val="000000" w:themeColor="text1"/>
          <w:sz w:val="24"/>
          <w:szCs w:val="24"/>
        </w:rPr>
        <w:t>SJIE5003</w:t>
      </w:r>
    </w:p>
    <w:p w14:paraId="4C6B5DFE" w14:textId="77777777" w:rsidR="00554535" w:rsidRPr="00554535" w:rsidRDefault="00554535" w:rsidP="00554535">
      <w:pPr>
        <w:spacing w:line="360" w:lineRule="auto"/>
        <w:jc w:val="center"/>
        <w:rPr>
          <w:rFonts w:ascii="Arial" w:eastAsia="Times New Roman" w:hAnsi="Arial" w:cs="Arial"/>
          <w:color w:val="000000" w:themeColor="text1"/>
          <w:sz w:val="24"/>
          <w:szCs w:val="24"/>
        </w:rPr>
      </w:pPr>
    </w:p>
    <w:p w14:paraId="1366A923" w14:textId="2583DC4A" w:rsidR="00554535" w:rsidRPr="00554535" w:rsidRDefault="00554535" w:rsidP="5BC2426C">
      <w:pPr>
        <w:spacing w:line="360" w:lineRule="auto"/>
        <w:jc w:val="both"/>
        <w:rPr>
          <w:rFonts w:ascii="Arial" w:eastAsia="Calibri" w:hAnsi="Arial" w:cs="Arial"/>
          <w:color w:val="000000" w:themeColor="text1"/>
          <w:sz w:val="24"/>
          <w:szCs w:val="24"/>
        </w:rPr>
      </w:pPr>
    </w:p>
    <w:p w14:paraId="4EA6BD1A" w14:textId="6DB16D74" w:rsidR="00554535" w:rsidRPr="00554535" w:rsidRDefault="00554535" w:rsidP="5BC2426C">
      <w:pPr>
        <w:spacing w:line="360" w:lineRule="auto"/>
        <w:jc w:val="both"/>
        <w:rPr>
          <w:rFonts w:ascii="Arial" w:eastAsia="Calibri" w:hAnsi="Arial" w:cs="Arial"/>
          <w:color w:val="000000" w:themeColor="text1"/>
          <w:sz w:val="24"/>
          <w:szCs w:val="24"/>
        </w:rPr>
      </w:pPr>
    </w:p>
    <w:p w14:paraId="4AC0E144" w14:textId="648EDDB8" w:rsidR="00554535" w:rsidRPr="00554535" w:rsidRDefault="00554535" w:rsidP="5BC2426C">
      <w:pPr>
        <w:spacing w:line="360" w:lineRule="auto"/>
        <w:jc w:val="both"/>
        <w:rPr>
          <w:rFonts w:ascii="Arial" w:eastAsia="Calibri" w:hAnsi="Arial" w:cs="Arial"/>
          <w:color w:val="000000" w:themeColor="text1"/>
          <w:sz w:val="24"/>
          <w:szCs w:val="24"/>
        </w:rPr>
      </w:pPr>
    </w:p>
    <w:p w14:paraId="57DCCAE3" w14:textId="4C6047A5" w:rsidR="00554535" w:rsidRPr="00554535" w:rsidRDefault="00554535" w:rsidP="5BC2426C">
      <w:pPr>
        <w:spacing w:line="360" w:lineRule="auto"/>
        <w:jc w:val="both"/>
        <w:rPr>
          <w:rFonts w:ascii="Arial" w:eastAsia="Calibri" w:hAnsi="Arial" w:cs="Arial"/>
          <w:color w:val="000000" w:themeColor="text1"/>
          <w:sz w:val="24"/>
          <w:szCs w:val="24"/>
        </w:rPr>
      </w:pPr>
    </w:p>
    <w:p w14:paraId="24A97556" w14:textId="14072967" w:rsidR="00554535" w:rsidRPr="00554535" w:rsidRDefault="00554535" w:rsidP="5BC2426C">
      <w:pPr>
        <w:spacing w:line="360" w:lineRule="auto"/>
        <w:jc w:val="both"/>
        <w:rPr>
          <w:rFonts w:ascii="Arial" w:eastAsia="Calibri" w:hAnsi="Arial" w:cs="Arial"/>
          <w:color w:val="000000" w:themeColor="text1"/>
          <w:sz w:val="24"/>
          <w:szCs w:val="24"/>
        </w:rPr>
      </w:pPr>
    </w:p>
    <w:p w14:paraId="71CC20FE" w14:textId="3F1AA28A" w:rsidR="00554535" w:rsidRPr="00554535" w:rsidRDefault="00554535" w:rsidP="5BC2426C">
      <w:pPr>
        <w:spacing w:line="360" w:lineRule="auto"/>
        <w:jc w:val="both"/>
        <w:rPr>
          <w:rFonts w:ascii="Arial" w:eastAsia="Calibri" w:hAnsi="Arial" w:cs="Arial"/>
          <w:color w:val="000000" w:themeColor="text1"/>
          <w:sz w:val="24"/>
          <w:szCs w:val="24"/>
        </w:rPr>
      </w:pPr>
    </w:p>
    <w:p w14:paraId="7BDA621E" w14:textId="03F31EE0" w:rsidR="00554535" w:rsidRPr="00554535" w:rsidRDefault="00554535" w:rsidP="5BC2426C">
      <w:pPr>
        <w:spacing w:line="360" w:lineRule="auto"/>
        <w:jc w:val="both"/>
        <w:rPr>
          <w:rFonts w:ascii="Arial" w:eastAsia="Calibri" w:hAnsi="Arial" w:cs="Arial"/>
          <w:color w:val="000000" w:themeColor="text1"/>
          <w:sz w:val="24"/>
          <w:szCs w:val="24"/>
        </w:rPr>
      </w:pPr>
    </w:p>
    <w:p w14:paraId="20F42229" w14:textId="50CF4DDE" w:rsidR="00554535" w:rsidRPr="00554535" w:rsidRDefault="00554535" w:rsidP="5BC2426C">
      <w:pPr>
        <w:spacing w:line="360" w:lineRule="auto"/>
        <w:jc w:val="both"/>
        <w:rPr>
          <w:rFonts w:ascii="Arial" w:eastAsia="Calibri" w:hAnsi="Arial" w:cs="Arial"/>
          <w:color w:val="000000" w:themeColor="text1"/>
          <w:sz w:val="24"/>
          <w:szCs w:val="24"/>
        </w:rPr>
      </w:pPr>
    </w:p>
    <w:p w14:paraId="3BEB28B9" w14:textId="47860A56" w:rsidR="00554535" w:rsidRPr="00554535" w:rsidRDefault="00554535" w:rsidP="5BC2426C">
      <w:pPr>
        <w:spacing w:line="360" w:lineRule="auto"/>
        <w:jc w:val="both"/>
        <w:rPr>
          <w:rFonts w:ascii="Arial" w:eastAsia="Calibri" w:hAnsi="Arial" w:cs="Arial"/>
          <w:color w:val="000000" w:themeColor="text1"/>
          <w:sz w:val="24"/>
          <w:szCs w:val="24"/>
        </w:rPr>
      </w:pPr>
    </w:p>
    <w:p w14:paraId="367D74A4" w14:textId="4CE939AA" w:rsidR="00554535" w:rsidRPr="00554535" w:rsidRDefault="00554535" w:rsidP="5BC2426C">
      <w:pPr>
        <w:spacing w:line="360" w:lineRule="auto"/>
        <w:jc w:val="both"/>
        <w:rPr>
          <w:rFonts w:ascii="Arial" w:eastAsia="Calibri" w:hAnsi="Arial" w:cs="Arial"/>
          <w:color w:val="000000" w:themeColor="text1"/>
          <w:sz w:val="24"/>
          <w:szCs w:val="24"/>
        </w:rPr>
      </w:pPr>
    </w:p>
    <w:p w14:paraId="2A560899" w14:textId="77777777" w:rsidR="00554535" w:rsidRPr="00554535" w:rsidRDefault="00554535" w:rsidP="5BC2426C">
      <w:pPr>
        <w:spacing w:line="360" w:lineRule="auto"/>
        <w:jc w:val="both"/>
        <w:rPr>
          <w:rFonts w:ascii="Arial" w:eastAsia="Calibri" w:hAnsi="Arial" w:cs="Arial"/>
          <w:color w:val="000000" w:themeColor="text1"/>
          <w:sz w:val="24"/>
          <w:szCs w:val="24"/>
        </w:rPr>
      </w:pPr>
    </w:p>
    <w:p w14:paraId="3F155CCA" w14:textId="77777777" w:rsidR="00554535" w:rsidRDefault="00554535" w:rsidP="5BC2426C">
      <w:pPr>
        <w:spacing w:line="360" w:lineRule="auto"/>
        <w:jc w:val="both"/>
        <w:rPr>
          <w:rFonts w:ascii="Arial" w:eastAsia="Calibri" w:hAnsi="Arial" w:cs="Arial"/>
          <w:color w:val="000000" w:themeColor="text1"/>
          <w:sz w:val="24"/>
          <w:szCs w:val="24"/>
        </w:rPr>
      </w:pPr>
    </w:p>
    <w:p w14:paraId="5D6883C1" w14:textId="74ACCCA4" w:rsidR="00554535" w:rsidRPr="00554535" w:rsidRDefault="00554535" w:rsidP="00554535">
      <w:pPr>
        <w:spacing w:line="360" w:lineRule="auto"/>
        <w:jc w:val="center"/>
        <w:rPr>
          <w:rFonts w:ascii="Arial" w:eastAsia="Calibri" w:hAnsi="Arial" w:cs="Arial"/>
          <w:color w:val="000000" w:themeColor="text1"/>
          <w:sz w:val="24"/>
          <w:szCs w:val="24"/>
          <w:u w:val="single"/>
        </w:rPr>
      </w:pPr>
      <w:r>
        <w:rPr>
          <w:rFonts w:ascii="Arial" w:eastAsia="Calibri" w:hAnsi="Arial" w:cs="Arial"/>
          <w:color w:val="000000" w:themeColor="text1"/>
          <w:sz w:val="24"/>
          <w:szCs w:val="24"/>
          <w:u w:val="single"/>
        </w:rPr>
        <w:lastRenderedPageBreak/>
        <w:t>Analyse the concept of social inclusion and identify the role of education in breaking the cycle of disadvange.</w:t>
      </w:r>
    </w:p>
    <w:p w14:paraId="391C7941" w14:textId="788FC4A5" w:rsidR="3F20097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 “We can reflect on what we know about resilienc</w:t>
      </w:r>
      <w:r w:rsidR="00554535">
        <w:rPr>
          <w:rFonts w:ascii="Arial" w:eastAsia="Calibri" w:hAnsi="Arial" w:cs="Arial"/>
          <w:color w:val="000000" w:themeColor="text1"/>
          <w:sz w:val="24"/>
          <w:szCs w:val="24"/>
        </w:rPr>
        <w:t>e. It’s all very well to have</w:t>
      </w:r>
      <w:r w:rsidR="00A835F4">
        <w:rPr>
          <w:rFonts w:ascii="Arial" w:eastAsia="Calibri" w:hAnsi="Arial" w:cs="Arial"/>
          <w:color w:val="000000" w:themeColor="text1"/>
          <w:sz w:val="24"/>
          <w:szCs w:val="24"/>
        </w:rPr>
        <w:t xml:space="preserve"> a</w:t>
      </w:r>
      <w:r w:rsidR="00554535">
        <w:rPr>
          <w:rFonts w:ascii="Arial" w:eastAsia="Calibri" w:hAnsi="Arial" w:cs="Arial"/>
          <w:color w:val="000000" w:themeColor="text1"/>
          <w:sz w:val="24"/>
          <w:szCs w:val="24"/>
        </w:rPr>
        <w:t xml:space="preserve"> </w:t>
      </w:r>
      <w:r w:rsidRPr="00554535">
        <w:rPr>
          <w:rFonts w:ascii="Arial" w:eastAsia="Calibri" w:hAnsi="Arial" w:cs="Arial"/>
          <w:color w:val="000000" w:themeColor="text1"/>
          <w:sz w:val="24"/>
          <w:szCs w:val="24"/>
        </w:rPr>
        <w:t>motivational poster up, but how do we actually respond to student failure?” (Gedge, 2018, p.47). Within this assignment I will focus my attention on Adverse Childhood Experiences and examine the negative repercu</w:t>
      </w:r>
      <w:r w:rsidR="00B54C1C">
        <w:rPr>
          <w:rFonts w:ascii="Arial" w:eastAsia="Calibri" w:hAnsi="Arial" w:cs="Arial"/>
          <w:color w:val="000000" w:themeColor="text1"/>
          <w:sz w:val="24"/>
          <w:szCs w:val="24"/>
        </w:rPr>
        <w:t>s</w:t>
      </w:r>
      <w:r w:rsidRPr="00554535">
        <w:rPr>
          <w:rFonts w:ascii="Arial" w:eastAsia="Calibri" w:hAnsi="Arial" w:cs="Arial"/>
          <w:color w:val="000000" w:themeColor="text1"/>
          <w:sz w:val="24"/>
          <w:szCs w:val="24"/>
        </w:rPr>
        <w:t xml:space="preserve">sions they may have on social, emotional and cognitive development whilst also analysing the concept of social inclusion in particular the role education plays in breaking the negative cycles disadvantaged children may experience. NHS Wales (2018) states: </w:t>
      </w:r>
    </w:p>
    <w:p w14:paraId="72CB48E7" w14:textId="512368F3" w:rsidR="3F200978" w:rsidRPr="00554535" w:rsidRDefault="5BC2426C" w:rsidP="00FC5E21">
      <w:pPr>
        <w:spacing w:after="0" w:line="240" w:lineRule="auto"/>
        <w:ind w:left="720"/>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Adverse Childhood Experience (ACE’s) are traumatic experiences that occur before the age of 18 and are remembered throughout adulthood. These experiences range from suffering verbal, mental, sexual and physical abuse, to being raised in a household where domestic violence, alcohol abuse, parental separation or drug abuse is present.</w:t>
      </w:r>
    </w:p>
    <w:p w14:paraId="7AFA7DBF" w14:textId="577A1DFB" w:rsidR="26DAA425" w:rsidRPr="00554535" w:rsidRDefault="26DAA425" w:rsidP="5BC2426C">
      <w:pPr>
        <w:spacing w:after="0" w:line="360" w:lineRule="auto"/>
        <w:ind w:left="720"/>
        <w:jc w:val="both"/>
        <w:rPr>
          <w:rFonts w:ascii="Arial" w:eastAsia="Calibri" w:hAnsi="Arial" w:cs="Arial"/>
          <w:color w:val="000000" w:themeColor="text1"/>
          <w:sz w:val="24"/>
          <w:szCs w:val="24"/>
        </w:rPr>
      </w:pPr>
    </w:p>
    <w:p w14:paraId="6FA0F17E" w14:textId="281734CF" w:rsidR="26DAA425"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School A ‘aim to develop a culture of inclusion and diversity in which those connected to the school feel proud of their identity and able to participate fully in school life’ (School A, 2017)</w:t>
      </w:r>
      <w:r w:rsidR="005255BA">
        <w:rPr>
          <w:rFonts w:ascii="Arial" w:eastAsia="Calibri" w:hAnsi="Arial" w:cs="Arial"/>
          <w:color w:val="000000" w:themeColor="text1"/>
          <w:sz w:val="24"/>
          <w:szCs w:val="24"/>
        </w:rPr>
        <w:t>.</w:t>
      </w:r>
    </w:p>
    <w:p w14:paraId="61CFE74C" w14:textId="51BD4F2F" w:rsidR="3F20097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School A recognise that specific interventions are necessary i.e. restorative practice and nurture sessions to provide opportunities to challenge undesired behaviours and as a result they have developed a team of staff to initiate these interventions and promote positive attitudes towards learning and development in and around the school community. Just like Gedge (2018, p.47). They question “are some kinds of failures more acceptable than others?</w:t>
      </w:r>
      <w:r w:rsidR="00554535" w:rsidRPr="00554535">
        <w:rPr>
          <w:rFonts w:ascii="Arial" w:eastAsia="Calibri" w:hAnsi="Arial" w:cs="Arial"/>
          <w:color w:val="000000" w:themeColor="text1"/>
          <w:sz w:val="24"/>
          <w:szCs w:val="24"/>
        </w:rPr>
        <w:t>”</w:t>
      </w:r>
    </w:p>
    <w:p w14:paraId="5B5EE945" w14:textId="429726FB" w:rsidR="6858393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As reported by NHS Wales (2015, p.2). “Adverse Childhood Experiences (ACEs) are an increasing international concern”. Evidence has shaped our understanding that childhood experiences can have lasting affects to a child’s development as well as the adult life they lead. It is proven that those exposed to ACES’s are at risk of failing to reach their academic potential, more likely to engage in unlawful behaviour and consequently become a less valued member of society. Statistics presented in the Welsh ACE survey state that approximately 47% of the Welsh population have experienced at least one or more ACE’s during their childhood whether that be a form of abuse, neglect or household disfunctions (NHS Wales, 2015, p.3). As a result, there has been a significant rise in the development of policies and procedures within Wales </w:t>
      </w:r>
      <w:r w:rsidRPr="00554535">
        <w:rPr>
          <w:rFonts w:ascii="Arial" w:eastAsia="Calibri" w:hAnsi="Arial" w:cs="Arial"/>
          <w:color w:val="000000" w:themeColor="text1"/>
          <w:sz w:val="24"/>
          <w:szCs w:val="24"/>
        </w:rPr>
        <w:lastRenderedPageBreak/>
        <w:t xml:space="preserve">to raise awareness and prevent ACE’s from occurring. In situations whereby a child has been exposed to adverse experiences these policies, procedures have been designed to identify and intervene as early as possible. </w:t>
      </w:r>
    </w:p>
    <w:p w14:paraId="0DD6FD4D" w14:textId="3558F478" w:rsidR="2B27C3E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There are several different theoretical approaches which have positively guided and shaped our understanding of learning and development. Jean Piaget (1936) a constructivist theorist of cognitive development presents clear links to social inclusion. He suggests that children build knowledge through social interaction by creating mental images of the world around them. During his research Piaget established children develop in stages and through multiple observations and recording of his evidence, he was able to determine the child’s current state of cognitive ability. Piaget saw learning and development as an active continuous process. He suggested that in order to reinforce and increase levels of understanding you should present the individual with discrepancies with the aim to allow the child to discover new experiences and opportunities to progress to the next stage of development. His theory aimed to highlight the differences in child development and provide scope to close these gaps which in turn has supported the creation of interventions within educational settings (McLeod,</w:t>
      </w:r>
      <w:r w:rsidR="00554535">
        <w:rPr>
          <w:rFonts w:ascii="Arial" w:eastAsia="Calibri" w:hAnsi="Arial" w:cs="Arial"/>
          <w:color w:val="000000" w:themeColor="text1"/>
          <w:sz w:val="24"/>
          <w:szCs w:val="24"/>
        </w:rPr>
        <w:t xml:space="preserve"> </w:t>
      </w:r>
      <w:r w:rsidRPr="00554535">
        <w:rPr>
          <w:rFonts w:ascii="Arial" w:eastAsia="Calibri" w:hAnsi="Arial" w:cs="Arial"/>
          <w:color w:val="000000" w:themeColor="text1"/>
          <w:sz w:val="24"/>
          <w:szCs w:val="24"/>
        </w:rPr>
        <w:t>2018).</w:t>
      </w:r>
    </w:p>
    <w:p w14:paraId="54AD590F" w14:textId="6B84A8FB" w:rsidR="68583938" w:rsidRPr="00554535" w:rsidRDefault="5BC2426C" w:rsidP="5BC2426C">
      <w:pPr>
        <w:spacing w:after="12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According to Piaget schema refers to the cognitive functions the child has learnt and mastered through development. As stated by McLeod (2018):</w:t>
      </w:r>
    </w:p>
    <w:p w14:paraId="50470A22" w14:textId="413AF33F" w:rsidR="68583938" w:rsidRDefault="5BC2426C" w:rsidP="00FC5E21">
      <w:pPr>
        <w:spacing w:after="0" w:line="240" w:lineRule="auto"/>
        <w:ind w:left="720"/>
        <w:jc w:val="both"/>
        <w:rPr>
          <w:rFonts w:ascii="Arial" w:eastAsiaTheme="minorEastAsia" w:hAnsi="Arial" w:cs="Arial"/>
          <w:color w:val="000000" w:themeColor="text1"/>
          <w:sz w:val="24"/>
          <w:szCs w:val="24"/>
        </w:rPr>
      </w:pPr>
      <w:r w:rsidRPr="00554535">
        <w:rPr>
          <w:rFonts w:ascii="Arial" w:eastAsia="Calibri" w:hAnsi="Arial" w:cs="Arial"/>
          <w:color w:val="000000" w:themeColor="text1"/>
          <w:sz w:val="24"/>
          <w:szCs w:val="24"/>
        </w:rPr>
        <w:t xml:space="preserve">When a child’s existing schemas are capable of explaining what it can perceive around it, it is said be in a state of equilibrium i.e. state of cognitive balance </w:t>
      </w:r>
      <w:r w:rsidRPr="00554535">
        <w:rPr>
          <w:rFonts w:ascii="Arial" w:eastAsiaTheme="minorEastAsia" w:hAnsi="Arial" w:cs="Arial"/>
          <w:color w:val="000000" w:themeColor="text1"/>
          <w:sz w:val="24"/>
          <w:szCs w:val="24"/>
        </w:rPr>
        <w:t>(i.e., mental) balance.</w:t>
      </w:r>
    </w:p>
    <w:p w14:paraId="0D92A1C4" w14:textId="77777777" w:rsidR="00554535" w:rsidRPr="00554535" w:rsidRDefault="00554535" w:rsidP="00FC5E21">
      <w:pPr>
        <w:spacing w:after="0" w:line="240" w:lineRule="auto"/>
        <w:ind w:left="720"/>
        <w:jc w:val="both"/>
        <w:rPr>
          <w:rFonts w:ascii="Arial" w:eastAsia="Calibri" w:hAnsi="Arial" w:cs="Arial"/>
          <w:color w:val="000000" w:themeColor="text1"/>
          <w:sz w:val="24"/>
          <w:szCs w:val="24"/>
        </w:rPr>
      </w:pPr>
    </w:p>
    <w:p w14:paraId="4D873298" w14:textId="0A128E74" w:rsidR="68583938" w:rsidRPr="00554535" w:rsidRDefault="5BC2426C" w:rsidP="5BC2426C">
      <w:pPr>
        <w:spacing w:after="12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However, in cases whereby a child has experienced adverse childhood experiences this may not become possible as they would have experienced significant disruptions in their development which subsequently can affect the child's thought processes and behaviour for instance irrational behaviour,</w:t>
      </w:r>
      <w:r w:rsidR="00554535">
        <w:rPr>
          <w:rFonts w:ascii="Arial" w:eastAsia="Calibri" w:hAnsi="Arial" w:cs="Arial"/>
          <w:color w:val="000000" w:themeColor="text1"/>
          <w:sz w:val="24"/>
          <w:szCs w:val="24"/>
        </w:rPr>
        <w:t xml:space="preserve"> aggression, vulnerability etc. </w:t>
      </w:r>
      <w:r w:rsidR="00D842EA" w:rsidRPr="00554535">
        <w:rPr>
          <w:rFonts w:ascii="Arial" w:eastAsia="Calibri" w:hAnsi="Arial" w:cs="Arial"/>
          <w:color w:val="000000" w:themeColor="text1"/>
          <w:sz w:val="24"/>
          <w:szCs w:val="24"/>
        </w:rPr>
        <w:t>Schemas</w:t>
      </w:r>
      <w:r w:rsidRPr="00554535">
        <w:rPr>
          <w:rFonts w:ascii="Arial" w:eastAsia="Calibri" w:hAnsi="Arial" w:cs="Arial"/>
          <w:color w:val="000000" w:themeColor="text1"/>
          <w:sz w:val="24"/>
          <w:szCs w:val="24"/>
        </w:rPr>
        <w:t xml:space="preserve"> should be instilled from birth. Piaget believed that as the child would age his or her schema would develop in complexity and elaborate their current knowledge to make sense of the world around them. Studies show that learning and development can be accelerated if stimulated with social interaction. If a child fails to acquire these basic skills/schemas this may result in the child unable to partake in specific tasks and connect with their emotions. </w:t>
      </w:r>
    </w:p>
    <w:p w14:paraId="1FDD446A" w14:textId="68FDBB94" w:rsidR="68583938" w:rsidRPr="00554535" w:rsidRDefault="68583938" w:rsidP="5BC2426C">
      <w:pPr>
        <w:spacing w:line="360" w:lineRule="auto"/>
        <w:jc w:val="both"/>
        <w:rPr>
          <w:rFonts w:ascii="Arial" w:eastAsia="Calibri" w:hAnsi="Arial" w:cs="Arial"/>
          <w:color w:val="000000" w:themeColor="text1"/>
          <w:sz w:val="24"/>
          <w:szCs w:val="24"/>
        </w:rPr>
      </w:pPr>
    </w:p>
    <w:p w14:paraId="3CEC73F8" w14:textId="1AEDD720" w:rsidR="6858393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Unlike Piaget who failed to recognise the negative implications which could hinder a child's natural development for example Adverse Childhood Experiences, Additional Learning Needs, poverty, etc, Vygotsky a social constructivist theorist (1962) argued that “social interaction provides language opportunities and language is the foundation of thought” (McLeod, 2018). He believed it to be a crucial element for cognitive development. According to Vygotsky the child’s learning always occurs in social context in co-operation with someone more skilful. His theory suggests if a child works alongside more knowledgeable other (MKO) or adult on new concepts or tasks eventually the child will become more competent an as a result will be able to attempt similar tasks independently when he or she grows in confidence. This is also known as the ‘Zone of Proximal Development' (Wang, 2014, p.381).</w:t>
      </w:r>
    </w:p>
    <w:p w14:paraId="375E9AFE" w14:textId="01ABE321" w:rsidR="5BC2426C"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“Too often children experience difficulties at home or at school, but receive too little help too late, once problems have reached crisis point” (Every </w:t>
      </w:r>
      <w:r w:rsidR="00A163C9">
        <w:rPr>
          <w:rFonts w:ascii="Arial" w:eastAsia="Calibri" w:hAnsi="Arial" w:cs="Arial"/>
          <w:color w:val="000000" w:themeColor="text1"/>
          <w:sz w:val="24"/>
          <w:szCs w:val="24"/>
        </w:rPr>
        <w:t>C</w:t>
      </w:r>
      <w:r w:rsidRPr="00554535">
        <w:rPr>
          <w:rFonts w:ascii="Arial" w:eastAsia="Calibri" w:hAnsi="Arial" w:cs="Arial"/>
          <w:color w:val="000000" w:themeColor="text1"/>
          <w:sz w:val="24"/>
          <w:szCs w:val="24"/>
        </w:rPr>
        <w:t>hild Matters, 2003, p.5)</w:t>
      </w:r>
      <w:r w:rsidR="00AF3D2F">
        <w:rPr>
          <w:rFonts w:ascii="Arial" w:eastAsia="Calibri" w:hAnsi="Arial" w:cs="Arial"/>
          <w:color w:val="000000" w:themeColor="text1"/>
          <w:sz w:val="24"/>
          <w:szCs w:val="24"/>
        </w:rPr>
        <w:t xml:space="preserve">. </w:t>
      </w:r>
      <w:r w:rsidRPr="00554535">
        <w:rPr>
          <w:rFonts w:ascii="Arial" w:eastAsia="Calibri" w:hAnsi="Arial" w:cs="Arial"/>
          <w:color w:val="000000" w:themeColor="text1"/>
          <w:sz w:val="24"/>
          <w:szCs w:val="24"/>
        </w:rPr>
        <w:t>School A aim to detect adverse childhood experiences as early as possible so that those requiring support and guidance can utilize and overcome barriers. They recognise that failure to challenge these individual’s discrepancies may result in further long-term negative implications for instance, sanctions and exclusions. The Green Paper has been created to protect whilst also providing opportunity for children to reach their full potential. “It aims to reduce the numbers of children who experience educational failure, engage in offending or anti-social behaviour, suffer from ill health or become teenage parents” (Government Minister by Command of Her Majesty, 2003).</w:t>
      </w:r>
    </w:p>
    <w:p w14:paraId="4C5267A5" w14:textId="096E974F" w:rsidR="739D7AB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A national study conducted across Wales supports this statement. Whilst comparing a range of individuals, the evidence highlights those with four or more adverse experiences are more prone to experiencing heart disease, type 2 diabetes, alcohol and substance misuse and even imprisonment.</w:t>
      </w:r>
    </w:p>
    <w:p w14:paraId="7E44B2B8" w14:textId="18701660" w:rsidR="68583938" w:rsidRPr="00554535" w:rsidRDefault="5BC2426C" w:rsidP="00FC5E21">
      <w:pPr>
        <w:spacing w:after="120" w:line="240" w:lineRule="auto"/>
        <w:ind w:left="720"/>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These findings show that as the number of adverse experiences a young person faces increases, so does the risk of negative outcomes, such as health-harming behaviour, chronic health conditions, low life potential and even early death (Our Time, 2019).</w:t>
      </w:r>
    </w:p>
    <w:p w14:paraId="48533070" w14:textId="40F73CF2" w:rsidR="68583938" w:rsidRPr="00554535" w:rsidRDefault="5BC2426C" w:rsidP="5BC2426C">
      <w:pPr>
        <w:spacing w:after="12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 </w:t>
      </w:r>
    </w:p>
    <w:p w14:paraId="11C6A8C4" w14:textId="400F3902" w:rsidR="68583938" w:rsidRPr="00554535" w:rsidRDefault="5BC2426C" w:rsidP="5BC2426C">
      <w:pPr>
        <w:spacing w:after="12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lastRenderedPageBreak/>
        <w:t>According to Irranka-Davies cited in NHS ACE Resilience Report 1, NHS Wales (2018):</w:t>
      </w:r>
    </w:p>
    <w:p w14:paraId="0892646C" w14:textId="30E21A63" w:rsidR="68583938" w:rsidRDefault="5BC2426C" w:rsidP="00FC5E21">
      <w:pPr>
        <w:spacing w:after="120" w:line="240" w:lineRule="auto"/>
        <w:ind w:left="720"/>
        <w:jc w:val="both"/>
        <w:rPr>
          <w:rFonts w:ascii="Arial" w:eastAsia="Verdana" w:hAnsi="Arial" w:cs="Arial"/>
          <w:color w:val="000000" w:themeColor="text1"/>
          <w:sz w:val="24"/>
          <w:szCs w:val="24"/>
        </w:rPr>
      </w:pPr>
      <w:r w:rsidRPr="00554535">
        <w:rPr>
          <w:rFonts w:ascii="Arial" w:eastAsiaTheme="minorEastAsia" w:hAnsi="Arial" w:cs="Arial"/>
          <w:color w:val="000000" w:themeColor="text1"/>
          <w:sz w:val="24"/>
          <w:szCs w:val="24"/>
        </w:rPr>
        <w:t>The experiences we have in childhood, good and bad, are instrumental in determining our life outcomes. Providing a safe and nurturing environment is the best way to ensure a child will become a healthier and happier adult; and one who will be able to go on to achieve their potentia</w:t>
      </w:r>
      <w:r w:rsidRPr="00554535">
        <w:rPr>
          <w:rFonts w:ascii="Arial" w:eastAsia="Verdana" w:hAnsi="Arial" w:cs="Arial"/>
          <w:color w:val="000000" w:themeColor="text1"/>
          <w:sz w:val="24"/>
          <w:szCs w:val="24"/>
        </w:rPr>
        <w:t>l.</w:t>
      </w:r>
    </w:p>
    <w:p w14:paraId="6D1B16B6" w14:textId="77777777" w:rsidR="00554535" w:rsidRPr="00554535" w:rsidRDefault="00554535" w:rsidP="00FC5E21">
      <w:pPr>
        <w:spacing w:after="120" w:line="240" w:lineRule="auto"/>
        <w:ind w:left="720"/>
        <w:jc w:val="both"/>
        <w:rPr>
          <w:rFonts w:ascii="Arial" w:eastAsia="Verdana" w:hAnsi="Arial" w:cs="Arial"/>
          <w:color w:val="000000" w:themeColor="text1"/>
          <w:sz w:val="24"/>
          <w:szCs w:val="24"/>
        </w:rPr>
      </w:pPr>
    </w:p>
    <w:p w14:paraId="63092002" w14:textId="6D0D9DD2" w:rsidR="00D842EA"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Educational settings can positively impact those susceptible of becoming disengaged if they take onboard an inclusive approach, providing a safe environment to stimulate learning and development. Browne (2007, p.119) states in order to achieve this schools must ensure they are “overcoming potential barriers to learning, setting suitable learning challenges and responding to pupil’s diverse needs”. School A provide their students with behavioural interventions to help reinforce positive behaviour, increase attendance, improve attainment levels by reducing challenging behaviour for instance violence, bullying, aggressive behaviour and substance abuse. According to School A’s Equality Strategic Plan</w:t>
      </w:r>
      <w:r w:rsidR="00917EF6">
        <w:rPr>
          <w:rFonts w:ascii="Arial" w:eastAsia="Calibri" w:hAnsi="Arial" w:cs="Arial"/>
          <w:color w:val="000000" w:themeColor="text1"/>
          <w:sz w:val="24"/>
          <w:szCs w:val="24"/>
        </w:rPr>
        <w:t xml:space="preserve"> (2017)</w:t>
      </w:r>
      <w:r w:rsidRPr="00554535">
        <w:rPr>
          <w:rFonts w:ascii="Arial" w:eastAsia="Calibri" w:hAnsi="Arial" w:cs="Arial"/>
          <w:color w:val="000000" w:themeColor="text1"/>
          <w:sz w:val="24"/>
          <w:szCs w:val="24"/>
        </w:rPr>
        <w:t xml:space="preserve"> they aim to enhance the experience of education for all students and encourage “each child to leave equipped with the ability and eagerness to learn more and be ready to meet the challenges of adolescent and adult life”. </w:t>
      </w:r>
    </w:p>
    <w:p w14:paraId="56231314" w14:textId="7903FDA3" w:rsidR="3F20097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To overcome such barriers School A use a systematic approach also known as Thrive which aids the development of a child or young person’s emotional wellbeing, helps build resilience and decreases those at risk of experiencing mental health issues. Thrive consists of a multi-</w:t>
      </w:r>
      <w:r w:rsidR="00D85B6F">
        <w:rPr>
          <w:rFonts w:ascii="Arial" w:eastAsia="Calibri" w:hAnsi="Arial" w:cs="Arial"/>
          <w:color w:val="000000" w:themeColor="text1"/>
          <w:sz w:val="24"/>
          <w:szCs w:val="24"/>
        </w:rPr>
        <w:t>a</w:t>
      </w:r>
      <w:r w:rsidRPr="00554535">
        <w:rPr>
          <w:rFonts w:ascii="Arial" w:eastAsia="Calibri" w:hAnsi="Arial" w:cs="Arial"/>
          <w:color w:val="000000" w:themeColor="text1"/>
          <w:sz w:val="24"/>
          <w:szCs w:val="24"/>
        </w:rPr>
        <w:t xml:space="preserve">gency team including former teachers, therapists, social workers who have liaised with one another to form an online screening tool to assess and create a tailored action plan for each individual. According to Thrive (2017) they have been supporting children since 1994 and since 2017 approximately “300,000 children, young people were being supported in early years settings, schools and alternative provisions across the UK”. Evidence suggests that behaviour interventions such as Thrive have made vast improvements in academic achievements whilst also minimizing unwanted problematic behaviour in and around school A. There seems to be a clear link with those who have been a victim of adverse childhood experiences and those under achieving and presenting alarming behaviour traits. This model of intervention looks to work through the areas the child may have discrepancies. Through the completion of tasks suggested through the online screening tool it aims </w:t>
      </w:r>
      <w:r w:rsidRPr="00554535">
        <w:rPr>
          <w:rFonts w:ascii="Arial" w:eastAsia="Calibri" w:hAnsi="Arial" w:cs="Arial"/>
          <w:color w:val="000000" w:themeColor="text1"/>
          <w:sz w:val="24"/>
          <w:szCs w:val="24"/>
        </w:rPr>
        <w:lastRenderedPageBreak/>
        <w:t>to repair the ruptures individuals have experienced through early child development which may hinder their progression.</w:t>
      </w:r>
    </w:p>
    <w:p w14:paraId="41F1B207" w14:textId="6A081150" w:rsidR="5BC2426C"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Erikson’s theory of psychosocial development also highlights “how social interaction and relationships played a role in the development and growth of human beings” (Kendra, 2019). Just like Erikson, the Thrive Approach (2017, p.9) use:</w:t>
      </w:r>
    </w:p>
    <w:p w14:paraId="44B8E348" w14:textId="2D2A5D7A" w:rsidR="00554535" w:rsidRDefault="5BC2426C" w:rsidP="00554535">
      <w:pPr>
        <w:spacing w:line="240" w:lineRule="auto"/>
        <w:ind w:left="720"/>
        <w:jc w:val="both"/>
        <w:rPr>
          <w:rFonts w:ascii="Arial" w:eastAsia="Calibri" w:hAnsi="Arial" w:cs="Arial"/>
          <w:color w:val="000000" w:themeColor="text1"/>
          <w:sz w:val="16"/>
          <w:szCs w:val="16"/>
        </w:rPr>
      </w:pPr>
      <w:r w:rsidRPr="00554535">
        <w:rPr>
          <w:rFonts w:ascii="Arial" w:eastAsia="Calibri" w:hAnsi="Arial" w:cs="Arial"/>
          <w:color w:val="000000" w:themeColor="text1"/>
          <w:sz w:val="24"/>
          <w:szCs w:val="24"/>
        </w:rPr>
        <w:t>Developmental framework to clarify the connections between emotional and social development, behaviour and learning. In this framework, the child development is depicted as six strands of experience. These translate into six fundamental aspects of learning from emotional and social development: learning to be, learning to do, learning to think, learning to be powerful and to have an identity, learning to be skilful and have structure and learning to be independent, relate to your peers and become secure in your sexuality.</w:t>
      </w:r>
    </w:p>
    <w:p w14:paraId="4D50EB4F" w14:textId="77777777" w:rsidR="00554535" w:rsidRPr="00554535" w:rsidRDefault="00554535" w:rsidP="00554535">
      <w:pPr>
        <w:spacing w:line="240" w:lineRule="auto"/>
        <w:ind w:left="720"/>
        <w:jc w:val="both"/>
        <w:rPr>
          <w:rFonts w:ascii="Arial" w:eastAsia="Calibri" w:hAnsi="Arial" w:cs="Arial"/>
          <w:color w:val="000000" w:themeColor="text1"/>
          <w:sz w:val="16"/>
          <w:szCs w:val="16"/>
        </w:rPr>
      </w:pPr>
    </w:p>
    <w:p w14:paraId="7AB61C47" w14:textId="39742E26" w:rsidR="2B27C3E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The main objective of this online tool allows the school to assess those candidates they feel may need additional support or at risk of becoming not in education, employment or further training. By focusing on each area of competence it then generates related tasks to the areas in which the child needs support and assistance. In theory these six fundamental developmental strands as the child grows should continually develop to enable the child to become independent, versatile, critical learners open to master and expand their current knowledge and understandings however, as previously mentioned if the child fails to acquire these elements during early stages of development maybe due to being exposed to one or several adverse childhood experiences this in turn could lead to areas in the development </w:t>
      </w:r>
      <w:r w:rsidR="000F3E0B" w:rsidRPr="00554535">
        <w:rPr>
          <w:rFonts w:ascii="Arial" w:eastAsia="Calibri" w:hAnsi="Arial" w:cs="Arial"/>
          <w:color w:val="000000" w:themeColor="text1"/>
          <w:sz w:val="24"/>
          <w:szCs w:val="24"/>
        </w:rPr>
        <w:t>under experienced</w:t>
      </w:r>
      <w:r w:rsidRPr="00554535">
        <w:rPr>
          <w:rFonts w:ascii="Arial" w:eastAsia="Calibri" w:hAnsi="Arial" w:cs="Arial"/>
          <w:color w:val="000000" w:themeColor="text1"/>
          <w:sz w:val="24"/>
          <w:szCs w:val="24"/>
        </w:rPr>
        <w:t xml:space="preserve">. </w:t>
      </w:r>
    </w:p>
    <w:p w14:paraId="18C53850" w14:textId="04141A71" w:rsidR="2B27C3E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An additional intervention School A provide their students at risk of exclusion from education is called the Cynnydd Project. This project has successfully provided multiple students an alternative pathway to education. The Welsh Government (2017) states: </w:t>
      </w:r>
    </w:p>
    <w:p w14:paraId="2A13D06A" w14:textId="14C3A3D2" w:rsidR="2B27C3E8" w:rsidRPr="00554535" w:rsidRDefault="5BC2426C" w:rsidP="00FC5E21">
      <w:pPr>
        <w:spacing w:after="0" w:line="240" w:lineRule="auto"/>
        <w:ind w:left="720"/>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Learning coaches are pivotal to the pupils, by providing additional, individualised and intensive support for pupils who are at risk of failing to reach their full potential and by facilitating the opportunities available the Cynnydd project.</w:t>
      </w:r>
    </w:p>
    <w:p w14:paraId="1E8CD079" w14:textId="430F25B6" w:rsidR="5BC2426C" w:rsidRPr="00554535" w:rsidRDefault="5BC2426C" w:rsidP="5BC2426C">
      <w:pPr>
        <w:spacing w:after="0" w:line="360" w:lineRule="auto"/>
        <w:ind w:left="720"/>
        <w:jc w:val="both"/>
        <w:rPr>
          <w:rFonts w:ascii="Arial" w:eastAsia="Calibri" w:hAnsi="Arial" w:cs="Arial"/>
          <w:color w:val="000000" w:themeColor="text1"/>
          <w:sz w:val="24"/>
          <w:szCs w:val="24"/>
        </w:rPr>
      </w:pPr>
    </w:p>
    <w:p w14:paraId="3CBD5712" w14:textId="36893DB5" w:rsidR="2B27C3E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lastRenderedPageBreak/>
        <w:t xml:space="preserve">School A recognise that not all their students will achieve academically. This provision provides vocational options for those students at risk of becoming disengaged in education by tailoring an educational programme to best suit their needs. </w:t>
      </w:r>
    </w:p>
    <w:p w14:paraId="1E869AA0" w14:textId="34578DCB" w:rsidR="529953B8" w:rsidRDefault="5BC2426C" w:rsidP="00FC5E21">
      <w:pPr>
        <w:spacing w:after="0" w:line="240" w:lineRule="auto"/>
        <w:ind w:left="720"/>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Up to 90 per cent of the children in prison have been excluded from school. Excluding them didn’t work. It didn’t shock them onto a different path it accelerated the one they were already on (Tes, 2018).</w:t>
      </w:r>
    </w:p>
    <w:p w14:paraId="1DE775BF" w14:textId="77777777" w:rsidR="00554535" w:rsidRPr="00554535" w:rsidRDefault="00554535" w:rsidP="00FC5E21">
      <w:pPr>
        <w:spacing w:after="0" w:line="240" w:lineRule="auto"/>
        <w:ind w:left="720"/>
        <w:jc w:val="both"/>
        <w:rPr>
          <w:rFonts w:ascii="Arial" w:eastAsia="Calibri" w:hAnsi="Arial" w:cs="Arial"/>
          <w:color w:val="000000" w:themeColor="text1"/>
          <w:sz w:val="24"/>
          <w:szCs w:val="24"/>
        </w:rPr>
      </w:pPr>
    </w:p>
    <w:p w14:paraId="71BF9C14" w14:textId="77777777" w:rsid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This statement confirms some educational settings fail to provide the correct support and guidance to those individuals more exposed to failure. Interventions aim to support these individuals long-term with the aim to direct them on the right path rather than an immediate fix. In order to ensure successful results School A have devised a wellbeing team trained to identify, support and intervene when necessary. However, in circumstances whereby this intervention has been attempted to late this can unfortunately negatively affect the pupil’s progression. Over the past few years School A have recognised that there has been a significant increase in pupils transitioning into comprehensive school without sufficient support and interventions in place, as a result this behaviour then escalates requiring the school to give a series of sanctions and in extreme cases exclusion before the behaviour subsides. As reported by the Welsh Government (2019) statistics provided show the amount of fixed period exclusions and permanent exclusion have continued to increase over the past few years. The main factors which are seen as the main instigators for exclusions are “persistent disruptive behaviour” and “verbal abuse/threatening behaviour against an adult” which present a clear link to the adverse experiences these individuals may face during their homelife. As highlighted by Quigley (2018, pp.48-49) “Misbehaviour cannot be condoned in the classroom. Regardless of the personal prisons that such students may emerge from, it does not excuse damaging the education of peers”. </w:t>
      </w:r>
    </w:p>
    <w:p w14:paraId="2C02C49E" w14:textId="51133728" w:rsidR="00554535"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To sustain an inclusive ethos School A, strive to identify those individuals who are persistently disruptive and make classroom activities a challenge. ‘Preventing inappropriate behaviour is more effective than reacting to an issue’ (School A 2018). In order to prevent any escalation, they encourage all staff to monitor behaviour, attendance, reinforce targets and make clear home-school links allowing parents or guardians to play an active role in managing their child’s behaviour and enhancing their educational experience. Guidance provided by the Department for Education and Skills (2006, p.5) suggests that in order to become a proactive school there must be </w:t>
      </w:r>
      <w:r w:rsidRPr="00554535">
        <w:rPr>
          <w:rFonts w:ascii="Arial" w:eastAsia="Calibri" w:hAnsi="Arial" w:cs="Arial"/>
          <w:color w:val="000000" w:themeColor="text1"/>
          <w:sz w:val="24"/>
          <w:szCs w:val="24"/>
        </w:rPr>
        <w:lastRenderedPageBreak/>
        <w:t xml:space="preserve">clear expectations delivered from the leadership team and governors to all teaching staff to promote and encourage consistency in and outside of the classroom. However, as noted by School A not all teaching staff recognise the importance of a consistent outlook to managing behaviour. Unfortunately, only some members of staff look to identify the main causes and ways to improve this as quickly and effectively as possible. To overcome such barriers School A use training sessions, online courses and external specialists to help enforce such changes and promote “a consistent approach to behaviour management, teaching and learning” (Teachernet, 2006, p.3).  </w:t>
      </w:r>
    </w:p>
    <w:p w14:paraId="749ACA0D" w14:textId="07BF231C" w:rsidR="2B27C3E8" w:rsidRPr="00554535" w:rsidRDefault="5BC2426C" w:rsidP="5BC2426C">
      <w:pPr>
        <w:spacing w:after="120" w:line="360" w:lineRule="auto"/>
        <w:jc w:val="both"/>
        <w:rPr>
          <w:rFonts w:ascii="Arial" w:eastAsia="Calibri" w:hAnsi="Arial" w:cs="Arial"/>
          <w:color w:val="000000" w:themeColor="text1"/>
          <w:sz w:val="24"/>
          <w:szCs w:val="24"/>
        </w:rPr>
      </w:pPr>
      <w:r w:rsidRPr="00554535">
        <w:rPr>
          <w:rFonts w:ascii="Arial" w:eastAsiaTheme="minorEastAsia" w:hAnsi="Arial" w:cs="Arial"/>
          <w:color w:val="000000" w:themeColor="text1"/>
          <w:sz w:val="24"/>
          <w:szCs w:val="24"/>
        </w:rPr>
        <w:t>School A’s Equal opportunities policy (2010) “aims to create an environment of potential for every individual within the school by removing barriers to opportunity”. They aim to promote an inclusive ethos providing all students equal opportunities to reach their full potential through varied sometimes personalised curriculum. As highlighted in their Additional Learning Needs policy (2017) the school aim</w:t>
      </w:r>
      <w:r w:rsidRPr="00554535">
        <w:rPr>
          <w:rFonts w:ascii="Arial" w:eastAsia="Calibri" w:hAnsi="Arial" w:cs="Arial"/>
          <w:color w:val="000000" w:themeColor="text1"/>
          <w:sz w:val="24"/>
          <w:szCs w:val="24"/>
        </w:rPr>
        <w:t>s ‘to encourage pupils to achieve their academic potential and grow up to become competent, sympathetic and responsible adults who can manage their own lives and play their part in society’. The policy also emphasises the importance of providing a safe learning environment which is fully responsive to the individuals needs providing the appropriate support and provision to aid learning and stimulate progression. NHS Wales (2015, p.2) states:</w:t>
      </w:r>
    </w:p>
    <w:p w14:paraId="5E8136F8" w14:textId="454CA4BE" w:rsidR="00554535" w:rsidRPr="00554535" w:rsidRDefault="5BC2426C" w:rsidP="00554535">
      <w:pPr>
        <w:spacing w:after="120" w:afterAutospacing="1" w:line="240" w:lineRule="auto"/>
        <w:ind w:left="720"/>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Experiencing ACEs means individuals are more likely to perform poorly in school, more likely to be involved in crime and ultimately less likely to be a productive member of society. </w:t>
      </w:r>
    </w:p>
    <w:p w14:paraId="1784A61D" w14:textId="693141C7" w:rsidR="2B27C3E8" w:rsidRPr="00554535" w:rsidRDefault="5BC2426C" w:rsidP="5BC2426C">
      <w:pPr>
        <w:spacing w:after="12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Therefore, failure to provide this support can lead to further serious implications long after secondary education.</w:t>
      </w:r>
    </w:p>
    <w:p w14:paraId="52D7558C" w14:textId="65535EC5" w:rsidR="2B27C3E8" w:rsidRPr="00554535" w:rsidRDefault="2B27C3E8" w:rsidP="5BC2426C">
      <w:pPr>
        <w:spacing w:line="360" w:lineRule="auto"/>
        <w:jc w:val="both"/>
        <w:rPr>
          <w:rFonts w:ascii="Arial" w:eastAsia="Calibri" w:hAnsi="Arial" w:cs="Arial"/>
          <w:color w:val="000000" w:themeColor="text1"/>
          <w:sz w:val="24"/>
          <w:szCs w:val="24"/>
        </w:rPr>
      </w:pPr>
    </w:p>
    <w:p w14:paraId="40AB183B" w14:textId="75236679" w:rsidR="6858393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 </w:t>
      </w:r>
    </w:p>
    <w:p w14:paraId="76FA2339" w14:textId="0DB7BDC6" w:rsidR="68583938" w:rsidRPr="00554535" w:rsidRDefault="68583938" w:rsidP="5BC2426C">
      <w:pPr>
        <w:spacing w:line="360" w:lineRule="auto"/>
        <w:jc w:val="both"/>
        <w:rPr>
          <w:rFonts w:ascii="Arial" w:eastAsia="Calibri" w:hAnsi="Arial" w:cs="Arial"/>
          <w:color w:val="000000" w:themeColor="text1"/>
          <w:sz w:val="24"/>
          <w:szCs w:val="24"/>
        </w:rPr>
      </w:pPr>
    </w:p>
    <w:p w14:paraId="70332D05" w14:textId="15878725" w:rsidR="2B27C3E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 </w:t>
      </w:r>
    </w:p>
    <w:p w14:paraId="497AFF51" w14:textId="65FB4046" w:rsidR="2B27C3E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 </w:t>
      </w:r>
    </w:p>
    <w:p w14:paraId="519BD53F" w14:textId="69DAC2E1" w:rsidR="452D9B0B" w:rsidRPr="00373768"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 </w:t>
      </w:r>
    </w:p>
    <w:p w14:paraId="6FF01987" w14:textId="1691D918" w:rsidR="2B27C3E8" w:rsidRPr="00373768" w:rsidRDefault="5BC2426C" w:rsidP="5BC2426C">
      <w:pPr>
        <w:spacing w:line="360" w:lineRule="auto"/>
        <w:jc w:val="both"/>
        <w:rPr>
          <w:rFonts w:ascii="Arial" w:eastAsia="Calibri" w:hAnsi="Arial" w:cs="Arial"/>
          <w:color w:val="000000" w:themeColor="text1"/>
          <w:sz w:val="24"/>
          <w:szCs w:val="24"/>
          <w:u w:val="single"/>
        </w:rPr>
      </w:pPr>
      <w:r w:rsidRPr="00373768">
        <w:rPr>
          <w:rFonts w:ascii="Arial" w:eastAsia="Calibri" w:hAnsi="Arial" w:cs="Arial"/>
          <w:color w:val="000000" w:themeColor="text1"/>
          <w:sz w:val="24"/>
          <w:szCs w:val="24"/>
          <w:u w:val="single"/>
        </w:rPr>
        <w:lastRenderedPageBreak/>
        <w:t>Reference list.</w:t>
      </w:r>
    </w:p>
    <w:p w14:paraId="6E58BC04" w14:textId="3E09C8CC" w:rsidR="4679AD3E"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Browne, A. (2007) </w:t>
      </w:r>
      <w:r w:rsidRPr="00554535">
        <w:rPr>
          <w:rFonts w:ascii="Arial" w:eastAsia="Calibri" w:hAnsi="Arial" w:cs="Arial"/>
          <w:i/>
          <w:iCs/>
          <w:color w:val="000000" w:themeColor="text1"/>
          <w:sz w:val="24"/>
          <w:szCs w:val="24"/>
        </w:rPr>
        <w:t xml:space="preserve">Teaching and learning Communication, Language and Literacy. </w:t>
      </w:r>
      <w:r w:rsidRPr="00554535">
        <w:rPr>
          <w:rFonts w:ascii="Arial" w:eastAsia="Calibri" w:hAnsi="Arial" w:cs="Arial"/>
          <w:color w:val="000000" w:themeColor="text1"/>
          <w:sz w:val="24"/>
          <w:szCs w:val="24"/>
        </w:rPr>
        <w:t>1</w:t>
      </w:r>
      <w:r w:rsidRPr="00554535">
        <w:rPr>
          <w:rFonts w:ascii="Arial" w:eastAsia="Calibri" w:hAnsi="Arial" w:cs="Arial"/>
          <w:color w:val="000000" w:themeColor="text1"/>
          <w:sz w:val="24"/>
          <w:szCs w:val="24"/>
          <w:vertAlign w:val="superscript"/>
        </w:rPr>
        <w:t>st</w:t>
      </w:r>
      <w:r w:rsidRPr="00554535">
        <w:rPr>
          <w:rFonts w:ascii="Arial" w:eastAsia="Calibri" w:hAnsi="Arial" w:cs="Arial"/>
          <w:color w:val="000000" w:themeColor="text1"/>
          <w:sz w:val="24"/>
          <w:szCs w:val="24"/>
        </w:rPr>
        <w:t xml:space="preserve"> Ed. London: Paul Chapman Publishing.</w:t>
      </w:r>
    </w:p>
    <w:p w14:paraId="692BB891" w14:textId="088F5CD2" w:rsidR="4679AD3E" w:rsidRPr="00554535" w:rsidRDefault="5BC2426C" w:rsidP="5BC2426C">
      <w:pPr>
        <w:spacing w:after="0"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 </w:t>
      </w:r>
    </w:p>
    <w:p w14:paraId="2A22AEED" w14:textId="0ABAE948" w:rsidR="4679AD3E" w:rsidRPr="00554535" w:rsidRDefault="5BC2426C" w:rsidP="5BC2426C">
      <w:pPr>
        <w:spacing w:after="0"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Cherry, K. (2019) </w:t>
      </w:r>
      <w:r w:rsidRPr="00554535">
        <w:rPr>
          <w:rFonts w:ascii="Arial" w:eastAsia="Calibri" w:hAnsi="Arial" w:cs="Arial"/>
          <w:i/>
          <w:iCs/>
          <w:color w:val="000000" w:themeColor="text1"/>
          <w:sz w:val="24"/>
          <w:szCs w:val="24"/>
        </w:rPr>
        <w:t>Erik Erikson’s Stages of Psychological Development.</w:t>
      </w:r>
    </w:p>
    <w:p w14:paraId="743FA8A7" w14:textId="36EB951B" w:rsidR="00602238"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Available</w:t>
      </w:r>
      <w:r w:rsidR="00917FA6">
        <w:rPr>
          <w:rFonts w:ascii="Arial" w:eastAsia="Calibri" w:hAnsi="Arial" w:cs="Arial"/>
          <w:color w:val="000000" w:themeColor="text1"/>
          <w:sz w:val="24"/>
          <w:szCs w:val="24"/>
        </w:rPr>
        <w:t xml:space="preserve"> </w:t>
      </w:r>
      <w:r w:rsidRPr="00554535">
        <w:rPr>
          <w:rFonts w:ascii="Arial" w:eastAsia="Calibri" w:hAnsi="Arial" w:cs="Arial"/>
          <w:color w:val="000000" w:themeColor="text1"/>
          <w:sz w:val="24"/>
          <w:szCs w:val="24"/>
        </w:rPr>
        <w:t>at:</w:t>
      </w:r>
    </w:p>
    <w:p w14:paraId="4D3828C6" w14:textId="7826E040" w:rsidR="4679AD3E" w:rsidRPr="00A20071" w:rsidRDefault="00602238" w:rsidP="5BC2426C">
      <w:pPr>
        <w:spacing w:after="0"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https://</w:t>
      </w:r>
      <w:r w:rsidR="00A83961">
        <w:rPr>
          <w:rFonts w:ascii="Arial" w:eastAsia="Calibri" w:hAnsi="Arial" w:cs="Arial"/>
          <w:color w:val="000000" w:themeColor="text1"/>
          <w:sz w:val="24"/>
          <w:szCs w:val="24"/>
        </w:rPr>
        <w:t>www.verywellmind.com/erik-eriksons-stages-of-psychosocial-development-2795740</w:t>
      </w:r>
    </w:p>
    <w:p w14:paraId="756F0FC4" w14:textId="31BF30A2" w:rsidR="4679AD3E"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(Accessed: 2</w:t>
      </w:r>
      <w:r w:rsidRPr="00554535">
        <w:rPr>
          <w:rFonts w:ascii="Arial" w:eastAsia="Calibri" w:hAnsi="Arial" w:cs="Arial"/>
          <w:color w:val="000000" w:themeColor="text1"/>
          <w:sz w:val="24"/>
          <w:szCs w:val="24"/>
          <w:vertAlign w:val="superscript"/>
        </w:rPr>
        <w:t>nd</w:t>
      </w:r>
      <w:r w:rsidRPr="00554535">
        <w:rPr>
          <w:rFonts w:ascii="Arial" w:eastAsia="Calibri" w:hAnsi="Arial" w:cs="Arial"/>
          <w:color w:val="000000" w:themeColor="text1"/>
          <w:sz w:val="24"/>
          <w:szCs w:val="24"/>
        </w:rPr>
        <w:t xml:space="preserve"> September 2019)</w:t>
      </w:r>
    </w:p>
    <w:p w14:paraId="7A76691A" w14:textId="0F1B3AC8" w:rsidR="4679AD3E" w:rsidRPr="00554535" w:rsidRDefault="4679AD3E" w:rsidP="5BC2426C">
      <w:pPr>
        <w:spacing w:line="360" w:lineRule="auto"/>
        <w:jc w:val="both"/>
        <w:rPr>
          <w:rFonts w:ascii="Arial" w:eastAsia="Calibri" w:hAnsi="Arial" w:cs="Arial"/>
          <w:color w:val="000000" w:themeColor="text1"/>
          <w:sz w:val="24"/>
          <w:szCs w:val="24"/>
        </w:rPr>
      </w:pPr>
    </w:p>
    <w:p w14:paraId="76BC9459" w14:textId="12297F7E" w:rsidR="4679AD3E"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Department for Education and Skills. (2006) </w:t>
      </w:r>
      <w:r w:rsidRPr="00554535">
        <w:rPr>
          <w:rFonts w:ascii="Arial" w:eastAsia="Calibri" w:hAnsi="Arial" w:cs="Arial"/>
          <w:i/>
          <w:iCs/>
          <w:color w:val="000000" w:themeColor="text1"/>
          <w:sz w:val="24"/>
          <w:szCs w:val="24"/>
        </w:rPr>
        <w:t xml:space="preserve">Learning Behaviour Principle and Practice- What Works in Schools. </w:t>
      </w:r>
      <w:r w:rsidRPr="00554535">
        <w:rPr>
          <w:rFonts w:ascii="Arial" w:eastAsia="Calibri" w:hAnsi="Arial" w:cs="Arial"/>
          <w:color w:val="000000" w:themeColor="text1"/>
          <w:sz w:val="24"/>
          <w:szCs w:val="24"/>
        </w:rPr>
        <w:t>Nottingham: DfES Publications.</w:t>
      </w:r>
    </w:p>
    <w:p w14:paraId="5D0CBE8B" w14:textId="77777777" w:rsidR="00B124EF" w:rsidRPr="00554535" w:rsidRDefault="00B124EF" w:rsidP="5BC2426C">
      <w:pPr>
        <w:spacing w:line="360" w:lineRule="auto"/>
        <w:jc w:val="both"/>
        <w:rPr>
          <w:rFonts w:ascii="Arial" w:eastAsia="Calibri" w:hAnsi="Arial" w:cs="Arial"/>
          <w:color w:val="000000" w:themeColor="text1"/>
          <w:sz w:val="24"/>
          <w:szCs w:val="24"/>
        </w:rPr>
      </w:pPr>
    </w:p>
    <w:p w14:paraId="196F3E1D" w14:textId="7CE625D2" w:rsidR="5BC2426C"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Government Minister by Command of Her Majesty (2003) </w:t>
      </w:r>
      <w:r w:rsidRPr="00554535">
        <w:rPr>
          <w:rFonts w:ascii="Arial" w:eastAsia="Calibri" w:hAnsi="Arial" w:cs="Arial"/>
          <w:i/>
          <w:iCs/>
          <w:color w:val="000000" w:themeColor="text1"/>
          <w:sz w:val="24"/>
          <w:szCs w:val="24"/>
        </w:rPr>
        <w:t xml:space="preserve">Every Child Matters, </w:t>
      </w:r>
      <w:r w:rsidRPr="00554535">
        <w:rPr>
          <w:rFonts w:ascii="Arial" w:eastAsia="Calibri" w:hAnsi="Arial" w:cs="Arial"/>
          <w:color w:val="000000" w:themeColor="text1"/>
          <w:sz w:val="24"/>
          <w:szCs w:val="24"/>
        </w:rPr>
        <w:t xml:space="preserve">Norwich: Crown Copyright. </w:t>
      </w:r>
    </w:p>
    <w:p w14:paraId="2445E140" w14:textId="77777777" w:rsidR="001B71B5" w:rsidRPr="00554535" w:rsidRDefault="001B71B5" w:rsidP="5BC2426C">
      <w:pPr>
        <w:spacing w:line="360" w:lineRule="auto"/>
        <w:jc w:val="both"/>
        <w:rPr>
          <w:rFonts w:ascii="Arial" w:eastAsia="Calibri" w:hAnsi="Arial" w:cs="Arial"/>
          <w:color w:val="000000" w:themeColor="text1"/>
          <w:sz w:val="24"/>
          <w:szCs w:val="24"/>
        </w:rPr>
      </w:pPr>
    </w:p>
    <w:p w14:paraId="72DCDE33" w14:textId="37A32D4E" w:rsidR="2B27C3E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Gedge, N (2018) ‘</w:t>
      </w:r>
      <w:r w:rsidRPr="00216A71">
        <w:rPr>
          <w:rFonts w:ascii="Arial" w:eastAsia="Calibri" w:hAnsi="Arial" w:cs="Arial"/>
          <w:i/>
          <w:iCs/>
          <w:color w:val="000000" w:themeColor="text1"/>
          <w:sz w:val="24"/>
          <w:szCs w:val="24"/>
        </w:rPr>
        <w:t>A culture of respect is vital for children’s m</w:t>
      </w:r>
      <w:r w:rsidR="00216A71">
        <w:rPr>
          <w:rFonts w:ascii="Arial" w:eastAsia="Calibri" w:hAnsi="Arial" w:cs="Arial"/>
          <w:i/>
          <w:iCs/>
          <w:color w:val="000000" w:themeColor="text1"/>
          <w:sz w:val="24"/>
          <w:szCs w:val="24"/>
        </w:rPr>
        <w:t>ent</w:t>
      </w:r>
      <w:r w:rsidRPr="00216A71">
        <w:rPr>
          <w:rFonts w:ascii="Arial" w:eastAsia="Calibri" w:hAnsi="Arial" w:cs="Arial"/>
          <w:i/>
          <w:iCs/>
          <w:color w:val="000000" w:themeColor="text1"/>
          <w:sz w:val="24"/>
          <w:szCs w:val="24"/>
        </w:rPr>
        <w:t>a</w:t>
      </w:r>
      <w:r w:rsidR="00216A71">
        <w:rPr>
          <w:rFonts w:ascii="Arial" w:eastAsia="Calibri" w:hAnsi="Arial" w:cs="Arial"/>
          <w:i/>
          <w:iCs/>
          <w:color w:val="000000" w:themeColor="text1"/>
          <w:sz w:val="24"/>
          <w:szCs w:val="24"/>
        </w:rPr>
        <w:t xml:space="preserve">l </w:t>
      </w:r>
      <w:r w:rsidRPr="00216A71">
        <w:rPr>
          <w:rFonts w:ascii="Arial" w:eastAsia="Calibri" w:hAnsi="Arial" w:cs="Arial"/>
          <w:i/>
          <w:iCs/>
          <w:color w:val="000000" w:themeColor="text1"/>
          <w:sz w:val="24"/>
          <w:szCs w:val="24"/>
        </w:rPr>
        <w:t>health</w:t>
      </w:r>
      <w:r w:rsidRPr="00554535">
        <w:rPr>
          <w:rFonts w:ascii="Arial" w:eastAsia="Calibri" w:hAnsi="Arial" w:cs="Arial"/>
          <w:color w:val="000000" w:themeColor="text1"/>
          <w:sz w:val="24"/>
          <w:szCs w:val="24"/>
        </w:rPr>
        <w:t>’, TES</w:t>
      </w:r>
      <w:r w:rsidR="009E3CD0">
        <w:rPr>
          <w:rFonts w:ascii="Arial" w:eastAsia="Calibri" w:hAnsi="Arial" w:cs="Arial"/>
          <w:color w:val="000000" w:themeColor="text1"/>
          <w:sz w:val="24"/>
          <w:szCs w:val="24"/>
        </w:rPr>
        <w:t>,</w:t>
      </w:r>
      <w:r w:rsidRPr="00554535">
        <w:rPr>
          <w:rFonts w:ascii="Arial" w:eastAsia="Calibri" w:hAnsi="Arial" w:cs="Arial"/>
          <w:color w:val="000000" w:themeColor="text1"/>
          <w:sz w:val="24"/>
          <w:szCs w:val="24"/>
        </w:rPr>
        <w:t xml:space="preserve"> 2</w:t>
      </w:r>
      <w:r w:rsidRPr="00554535">
        <w:rPr>
          <w:rFonts w:ascii="Arial" w:eastAsia="Calibri" w:hAnsi="Arial" w:cs="Arial"/>
          <w:color w:val="000000" w:themeColor="text1"/>
          <w:sz w:val="24"/>
          <w:szCs w:val="24"/>
          <w:vertAlign w:val="superscript"/>
        </w:rPr>
        <w:t>nd</w:t>
      </w:r>
      <w:r w:rsidRPr="00554535">
        <w:rPr>
          <w:rFonts w:ascii="Arial" w:eastAsia="Calibri" w:hAnsi="Arial" w:cs="Arial"/>
          <w:color w:val="000000" w:themeColor="text1"/>
          <w:sz w:val="24"/>
          <w:szCs w:val="24"/>
        </w:rPr>
        <w:t xml:space="preserve"> Feb, p.47.</w:t>
      </w:r>
    </w:p>
    <w:p w14:paraId="3D0FDBE7" w14:textId="53F4AFDD" w:rsidR="4679AD3E" w:rsidRPr="00554535" w:rsidRDefault="4679AD3E" w:rsidP="5BC2426C">
      <w:pPr>
        <w:spacing w:after="0" w:line="360" w:lineRule="auto"/>
        <w:jc w:val="both"/>
        <w:rPr>
          <w:rFonts w:ascii="Arial" w:eastAsia="Calibri" w:hAnsi="Arial" w:cs="Arial"/>
          <w:color w:val="000000" w:themeColor="text1"/>
          <w:sz w:val="24"/>
          <w:szCs w:val="24"/>
        </w:rPr>
      </w:pPr>
    </w:p>
    <w:p w14:paraId="69C365A6" w14:textId="5FE2C643" w:rsidR="4679AD3E" w:rsidRPr="00554535" w:rsidRDefault="5BC2426C" w:rsidP="5BC2426C">
      <w:pPr>
        <w:spacing w:after="0"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McLeod, S. (2018) </w:t>
      </w:r>
      <w:r w:rsidRPr="00554535">
        <w:rPr>
          <w:rFonts w:ascii="Arial" w:eastAsia="Calibri" w:hAnsi="Arial" w:cs="Arial"/>
          <w:i/>
          <w:iCs/>
          <w:color w:val="000000" w:themeColor="text1"/>
          <w:sz w:val="24"/>
          <w:szCs w:val="24"/>
        </w:rPr>
        <w:t>Jean Piaget's Theory of Cognitive Development.</w:t>
      </w:r>
    </w:p>
    <w:p w14:paraId="2C64AC53" w14:textId="30B4BA3A" w:rsidR="4679AD3E" w:rsidRPr="00554535" w:rsidRDefault="5BC2426C" w:rsidP="5BC2426C">
      <w:pPr>
        <w:spacing w:after="0"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Available at: </w:t>
      </w:r>
      <w:hyperlink r:id="rId7">
        <w:r w:rsidRPr="00554535">
          <w:rPr>
            <w:rStyle w:val="Hyperlink"/>
            <w:rFonts w:ascii="Arial" w:eastAsia="Calibri" w:hAnsi="Arial" w:cs="Arial"/>
            <w:color w:val="000000" w:themeColor="text1"/>
            <w:sz w:val="24"/>
            <w:szCs w:val="24"/>
            <w:u w:val="none"/>
          </w:rPr>
          <w:t>https://www.simplypsychology.org/piaget.html</w:t>
        </w:r>
      </w:hyperlink>
    </w:p>
    <w:p w14:paraId="388A5159" w14:textId="3C61CC92" w:rsidR="4679AD3E"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(Accessed: 2</w:t>
      </w:r>
      <w:r w:rsidRPr="00554535">
        <w:rPr>
          <w:rFonts w:ascii="Arial" w:eastAsia="Calibri" w:hAnsi="Arial" w:cs="Arial"/>
          <w:color w:val="000000" w:themeColor="text1"/>
          <w:sz w:val="24"/>
          <w:szCs w:val="24"/>
          <w:vertAlign w:val="superscript"/>
        </w:rPr>
        <w:t>nd</w:t>
      </w:r>
      <w:r w:rsidRPr="00554535">
        <w:rPr>
          <w:rFonts w:ascii="Arial" w:eastAsia="Calibri" w:hAnsi="Arial" w:cs="Arial"/>
          <w:color w:val="000000" w:themeColor="text1"/>
          <w:sz w:val="24"/>
          <w:szCs w:val="24"/>
        </w:rPr>
        <w:t xml:space="preserve"> September 2019).</w:t>
      </w:r>
    </w:p>
    <w:p w14:paraId="4FF6C1A9" w14:textId="593DB8E8" w:rsidR="4679AD3E" w:rsidRPr="00554535" w:rsidRDefault="4679AD3E" w:rsidP="5BC2426C">
      <w:pPr>
        <w:spacing w:after="0" w:line="360" w:lineRule="auto"/>
        <w:jc w:val="both"/>
        <w:rPr>
          <w:rFonts w:ascii="Arial" w:eastAsia="Calibri" w:hAnsi="Arial" w:cs="Arial"/>
          <w:color w:val="000000" w:themeColor="text1"/>
          <w:sz w:val="24"/>
          <w:szCs w:val="24"/>
        </w:rPr>
      </w:pPr>
    </w:p>
    <w:p w14:paraId="295D75A7" w14:textId="15307F71" w:rsidR="2B27C3E8" w:rsidRPr="00554535" w:rsidRDefault="5BC2426C" w:rsidP="5BC2426C">
      <w:pPr>
        <w:spacing w:after="0"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NHS Wales (2018) </w:t>
      </w:r>
      <w:r w:rsidRPr="00554535">
        <w:rPr>
          <w:rFonts w:ascii="Arial" w:eastAsia="Calibri" w:hAnsi="Arial" w:cs="Arial"/>
          <w:i/>
          <w:iCs/>
          <w:color w:val="000000" w:themeColor="text1"/>
          <w:sz w:val="24"/>
          <w:szCs w:val="24"/>
        </w:rPr>
        <w:t>Ace Resilience Report 1.</w:t>
      </w:r>
    </w:p>
    <w:p w14:paraId="1F959B95" w14:textId="35F97866" w:rsidR="452D9B0B" w:rsidRPr="00554535" w:rsidRDefault="5BC2426C" w:rsidP="5BC2426C">
      <w:pPr>
        <w:spacing w:after="0" w:line="360" w:lineRule="auto"/>
        <w:jc w:val="both"/>
        <w:rPr>
          <w:rFonts w:ascii="Arial" w:hAnsi="Arial" w:cs="Arial"/>
          <w:color w:val="000000" w:themeColor="text1"/>
          <w:sz w:val="24"/>
          <w:szCs w:val="24"/>
        </w:rPr>
      </w:pPr>
      <w:r w:rsidRPr="00554535">
        <w:rPr>
          <w:rFonts w:ascii="Arial" w:eastAsia="Calibri" w:hAnsi="Arial" w:cs="Arial"/>
          <w:color w:val="000000" w:themeColor="text1"/>
          <w:sz w:val="24"/>
          <w:szCs w:val="24"/>
        </w:rPr>
        <w:t xml:space="preserve">Available at: </w:t>
      </w:r>
      <w:hyperlink r:id="rId8">
        <w:r w:rsidRPr="00554535">
          <w:rPr>
            <w:rStyle w:val="Hyperlink"/>
            <w:rFonts w:ascii="Arial" w:eastAsia="Calibri" w:hAnsi="Arial" w:cs="Arial"/>
            <w:color w:val="000000" w:themeColor="text1"/>
            <w:sz w:val="24"/>
            <w:szCs w:val="24"/>
            <w:u w:val="none"/>
          </w:rPr>
          <w:t>http://www.wales.nhs.uk/sitesplus/888/page/94697</w:t>
        </w:r>
      </w:hyperlink>
    </w:p>
    <w:p w14:paraId="590BE888" w14:textId="1E74D745" w:rsidR="452D9B0B"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(Accessed: 5th September 2019).  </w:t>
      </w:r>
    </w:p>
    <w:p w14:paraId="39288C83" w14:textId="512CD371" w:rsidR="452D9B0B" w:rsidRPr="00554535" w:rsidRDefault="452D9B0B" w:rsidP="5BC2426C">
      <w:pPr>
        <w:spacing w:line="360" w:lineRule="auto"/>
        <w:jc w:val="both"/>
        <w:rPr>
          <w:rFonts w:ascii="Arial" w:eastAsia="Calibri" w:hAnsi="Arial" w:cs="Arial"/>
          <w:color w:val="000000" w:themeColor="text1"/>
          <w:sz w:val="24"/>
          <w:szCs w:val="24"/>
        </w:rPr>
      </w:pPr>
    </w:p>
    <w:p w14:paraId="7C2479B1" w14:textId="312D71E4" w:rsidR="452D9B0B" w:rsidRPr="00554535" w:rsidRDefault="5BC2426C" w:rsidP="5BC2426C">
      <w:pPr>
        <w:spacing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NHS Wales. (2015) </w:t>
      </w:r>
      <w:r w:rsidRPr="00554535">
        <w:rPr>
          <w:rFonts w:ascii="Arial" w:eastAsia="Calibri" w:hAnsi="Arial" w:cs="Arial"/>
          <w:i/>
          <w:iCs/>
          <w:color w:val="000000" w:themeColor="text1"/>
          <w:sz w:val="24"/>
          <w:szCs w:val="24"/>
        </w:rPr>
        <w:t xml:space="preserve">Adverse Childhood Experiences and their impact on health-harming behaviours in the Welsh adult population. </w:t>
      </w:r>
      <w:r w:rsidRPr="00554535">
        <w:rPr>
          <w:rFonts w:ascii="Arial" w:eastAsia="Calibri" w:hAnsi="Arial" w:cs="Arial"/>
          <w:color w:val="000000" w:themeColor="text1"/>
          <w:sz w:val="24"/>
          <w:szCs w:val="24"/>
        </w:rPr>
        <w:t>Cardiff: Public Health Wales NHS Trust.</w:t>
      </w:r>
    </w:p>
    <w:p w14:paraId="63F17D9E" w14:textId="08DB5AF3" w:rsidR="452D9B0B"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lastRenderedPageBreak/>
        <w:t xml:space="preserve">NHS Wales (2018) </w:t>
      </w:r>
      <w:r w:rsidRPr="00554535">
        <w:rPr>
          <w:rFonts w:ascii="Arial" w:eastAsia="Calibri" w:hAnsi="Arial" w:cs="Arial"/>
          <w:i/>
          <w:iCs/>
          <w:color w:val="000000" w:themeColor="text1"/>
          <w:sz w:val="24"/>
          <w:szCs w:val="24"/>
        </w:rPr>
        <w:t xml:space="preserve">Cymru Well Wales: Adverse Childhood Experiences (ACEs). </w:t>
      </w:r>
    </w:p>
    <w:p w14:paraId="1B2595AE" w14:textId="0FB0D4BE" w:rsidR="452D9B0B" w:rsidRPr="00554535" w:rsidRDefault="5BC2426C" w:rsidP="5BC2426C">
      <w:pPr>
        <w:spacing w:after="0"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Available at: </w:t>
      </w:r>
      <w:hyperlink r:id="rId9">
        <w:r w:rsidRPr="00554535">
          <w:rPr>
            <w:rStyle w:val="Hyperlink"/>
            <w:rFonts w:ascii="Arial" w:eastAsia="Calibri" w:hAnsi="Arial" w:cs="Arial"/>
            <w:color w:val="000000" w:themeColor="text1"/>
            <w:sz w:val="24"/>
            <w:szCs w:val="24"/>
            <w:u w:val="none"/>
          </w:rPr>
          <w:t>http://www.wales.nhs.uk/sitesplus/888/page/88524</w:t>
        </w:r>
      </w:hyperlink>
    </w:p>
    <w:p w14:paraId="7471F31A" w14:textId="088507EE" w:rsidR="452D9B0B"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(Accessed: 10</w:t>
      </w:r>
      <w:r w:rsidRPr="00554535">
        <w:rPr>
          <w:rFonts w:ascii="Arial" w:eastAsia="Calibri" w:hAnsi="Arial" w:cs="Arial"/>
          <w:color w:val="000000" w:themeColor="text1"/>
          <w:sz w:val="24"/>
          <w:szCs w:val="24"/>
          <w:vertAlign w:val="superscript"/>
        </w:rPr>
        <w:t>th</w:t>
      </w:r>
      <w:r w:rsidRPr="00554535">
        <w:rPr>
          <w:rFonts w:ascii="Arial" w:eastAsia="Calibri" w:hAnsi="Arial" w:cs="Arial"/>
          <w:color w:val="000000" w:themeColor="text1"/>
          <w:sz w:val="24"/>
          <w:szCs w:val="24"/>
        </w:rPr>
        <w:t xml:space="preserve"> September 2019).</w:t>
      </w:r>
    </w:p>
    <w:p w14:paraId="7AAA9A44" w14:textId="1DC73B75" w:rsidR="452D9B0B" w:rsidRPr="00554535" w:rsidRDefault="452D9B0B" w:rsidP="5BC2426C">
      <w:pPr>
        <w:spacing w:line="360" w:lineRule="auto"/>
        <w:jc w:val="both"/>
        <w:rPr>
          <w:rFonts w:ascii="Arial" w:eastAsia="Calibri" w:hAnsi="Arial" w:cs="Arial"/>
          <w:color w:val="000000" w:themeColor="text1"/>
          <w:sz w:val="24"/>
          <w:szCs w:val="24"/>
        </w:rPr>
      </w:pPr>
    </w:p>
    <w:p w14:paraId="58EFD8D7" w14:textId="095AC47C" w:rsidR="452D9B0B" w:rsidRPr="00554535" w:rsidRDefault="5BC2426C" w:rsidP="5BC2426C">
      <w:pPr>
        <w:spacing w:after="0"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Our Time (2019) </w:t>
      </w:r>
      <w:r w:rsidRPr="00554535">
        <w:rPr>
          <w:rFonts w:ascii="Arial" w:eastAsia="Calibri" w:hAnsi="Arial" w:cs="Arial"/>
          <w:i/>
          <w:iCs/>
          <w:color w:val="000000" w:themeColor="text1"/>
          <w:sz w:val="24"/>
          <w:szCs w:val="24"/>
        </w:rPr>
        <w:t>Adverse childhood experiences.</w:t>
      </w:r>
    </w:p>
    <w:p w14:paraId="318DD332" w14:textId="77777777" w:rsidR="00402980" w:rsidRDefault="00373768" w:rsidP="5BC2426C">
      <w:pPr>
        <w:spacing w:after="0" w:line="360" w:lineRule="auto"/>
        <w:jc w:val="both"/>
        <w:rPr>
          <w:rFonts w:ascii="Arial" w:eastAsia="Calibri" w:hAnsi="Arial" w:cs="Arial"/>
          <w:color w:val="000000" w:themeColor="text1"/>
          <w:sz w:val="24"/>
          <w:szCs w:val="24"/>
        </w:rPr>
      </w:pPr>
      <w:r w:rsidRPr="00373768">
        <w:rPr>
          <w:rFonts w:ascii="Arial" w:eastAsia="Calibri" w:hAnsi="Arial" w:cs="Arial"/>
          <w:color w:val="000000" w:themeColor="text1"/>
          <w:sz w:val="24"/>
          <w:szCs w:val="24"/>
        </w:rPr>
        <w:t xml:space="preserve">Available at: </w:t>
      </w:r>
    </w:p>
    <w:p w14:paraId="7A6CAF00" w14:textId="4002413F" w:rsidR="00373768" w:rsidRPr="00373768" w:rsidRDefault="00373768" w:rsidP="5BC2426C">
      <w:pPr>
        <w:spacing w:after="0" w:line="360" w:lineRule="auto"/>
        <w:jc w:val="both"/>
        <w:rPr>
          <w:rFonts w:ascii="Arial" w:eastAsia="Calibri" w:hAnsi="Arial" w:cs="Arial"/>
          <w:color w:val="000000" w:themeColor="text1"/>
          <w:sz w:val="24"/>
          <w:szCs w:val="24"/>
        </w:rPr>
      </w:pPr>
      <w:r w:rsidRPr="00373768">
        <w:rPr>
          <w:rFonts w:ascii="Arial" w:eastAsia="Calibri" w:hAnsi="Arial" w:cs="Arial"/>
          <w:color w:val="000000" w:themeColor="text1"/>
          <w:sz w:val="24"/>
          <w:szCs w:val="24"/>
        </w:rPr>
        <w:fldChar w:fldCharType="begin"/>
      </w:r>
      <w:r w:rsidRPr="00373768">
        <w:rPr>
          <w:rFonts w:ascii="Arial" w:eastAsia="Calibri" w:hAnsi="Arial" w:cs="Arial"/>
          <w:color w:val="000000" w:themeColor="text1"/>
          <w:sz w:val="24"/>
          <w:szCs w:val="24"/>
        </w:rPr>
        <w:instrText xml:space="preserve"> HYPERLINK "https://ourtime.org.uk/about-us/our-motivation/adverse-             </w:instrText>
      </w:r>
    </w:p>
    <w:p w14:paraId="4B66F42B" w14:textId="7AD6B951" w:rsidR="452D9B0B" w:rsidRPr="00B64784" w:rsidRDefault="00373768" w:rsidP="5BC2426C">
      <w:pPr>
        <w:spacing w:after="0" w:line="360" w:lineRule="auto"/>
        <w:jc w:val="both"/>
        <w:rPr>
          <w:rFonts w:ascii="Arial" w:eastAsia="Calibri" w:hAnsi="Arial" w:cs="Arial"/>
          <w:color w:val="000000" w:themeColor="text1"/>
          <w:sz w:val="24"/>
          <w:szCs w:val="24"/>
        </w:rPr>
      </w:pPr>
      <w:r w:rsidRPr="00373768">
        <w:rPr>
          <w:rFonts w:ascii="Arial" w:eastAsia="Calibri" w:hAnsi="Arial" w:cs="Arial"/>
          <w:color w:val="000000" w:themeColor="text1"/>
          <w:sz w:val="24"/>
          <w:szCs w:val="24"/>
        </w:rPr>
        <w:instrText xml:space="preserve"> childhood-experiences/" </w:instrText>
      </w:r>
      <w:r w:rsidRPr="00373768">
        <w:rPr>
          <w:rFonts w:ascii="Arial" w:eastAsia="Calibri" w:hAnsi="Arial" w:cs="Arial"/>
          <w:color w:val="000000" w:themeColor="text1"/>
          <w:sz w:val="24"/>
          <w:szCs w:val="24"/>
        </w:rPr>
        <w:fldChar w:fldCharType="separate"/>
      </w:r>
      <w:r w:rsidRPr="00373768">
        <w:rPr>
          <w:rStyle w:val="Hyperlink"/>
          <w:rFonts w:ascii="Arial" w:eastAsia="Calibri" w:hAnsi="Arial" w:cs="Arial"/>
          <w:color w:val="000000" w:themeColor="text1"/>
          <w:sz w:val="24"/>
          <w:szCs w:val="24"/>
          <w:u w:val="none"/>
        </w:rPr>
        <w:t>https://ourtime.org.uk/about-us/our-motivation/adverse-childhood-experiences/</w:t>
      </w:r>
      <w:r w:rsidRPr="00373768">
        <w:rPr>
          <w:rFonts w:ascii="Arial" w:eastAsia="Calibri" w:hAnsi="Arial" w:cs="Arial"/>
          <w:color w:val="000000" w:themeColor="text1"/>
          <w:sz w:val="24"/>
          <w:szCs w:val="24"/>
        </w:rPr>
        <w:fldChar w:fldCharType="end"/>
      </w:r>
    </w:p>
    <w:p w14:paraId="11D9F5C2" w14:textId="55924B76" w:rsidR="452D9B0B" w:rsidRPr="00373768" w:rsidRDefault="5BC2426C" w:rsidP="5BC2426C">
      <w:pPr>
        <w:spacing w:after="0" w:line="360" w:lineRule="auto"/>
        <w:jc w:val="both"/>
        <w:rPr>
          <w:rFonts w:ascii="Arial" w:eastAsia="Calibri" w:hAnsi="Arial" w:cs="Arial"/>
          <w:color w:val="000000" w:themeColor="text1"/>
          <w:sz w:val="24"/>
          <w:szCs w:val="24"/>
        </w:rPr>
      </w:pPr>
      <w:r w:rsidRPr="00373768">
        <w:rPr>
          <w:rFonts w:ascii="Arial" w:eastAsia="Calibri" w:hAnsi="Arial" w:cs="Arial"/>
          <w:color w:val="000000" w:themeColor="text1"/>
          <w:sz w:val="24"/>
          <w:szCs w:val="24"/>
        </w:rPr>
        <w:t>(Accessed: 10</w:t>
      </w:r>
      <w:r w:rsidRPr="00373768">
        <w:rPr>
          <w:rFonts w:ascii="Arial" w:eastAsia="Calibri" w:hAnsi="Arial" w:cs="Arial"/>
          <w:color w:val="000000" w:themeColor="text1"/>
          <w:sz w:val="24"/>
          <w:szCs w:val="24"/>
          <w:vertAlign w:val="superscript"/>
        </w:rPr>
        <w:t>th</w:t>
      </w:r>
      <w:r w:rsidRPr="00373768">
        <w:rPr>
          <w:rFonts w:ascii="Arial" w:eastAsia="Calibri" w:hAnsi="Arial" w:cs="Arial"/>
          <w:color w:val="000000" w:themeColor="text1"/>
          <w:sz w:val="24"/>
          <w:szCs w:val="24"/>
        </w:rPr>
        <w:t xml:space="preserve"> September 2019).</w:t>
      </w:r>
    </w:p>
    <w:p w14:paraId="3E456AE4" w14:textId="3815DFF0" w:rsidR="529953B8" w:rsidRPr="00554535" w:rsidRDefault="529953B8" w:rsidP="5BC2426C">
      <w:pPr>
        <w:spacing w:after="0" w:line="360" w:lineRule="auto"/>
        <w:jc w:val="both"/>
        <w:rPr>
          <w:rFonts w:ascii="Arial" w:eastAsia="Calibri" w:hAnsi="Arial" w:cs="Arial"/>
          <w:color w:val="000000" w:themeColor="text1"/>
          <w:sz w:val="24"/>
          <w:szCs w:val="24"/>
        </w:rPr>
      </w:pPr>
    </w:p>
    <w:p w14:paraId="5C97EB01" w14:textId="088DD0E8" w:rsidR="529953B8" w:rsidRPr="00554535" w:rsidRDefault="5BC2426C" w:rsidP="5BC2426C">
      <w:pPr>
        <w:spacing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School A. (2017) </w:t>
      </w:r>
      <w:r w:rsidRPr="00554535">
        <w:rPr>
          <w:rFonts w:ascii="Arial" w:eastAsia="Calibri" w:hAnsi="Arial" w:cs="Arial"/>
          <w:i/>
          <w:iCs/>
          <w:color w:val="000000" w:themeColor="text1"/>
          <w:sz w:val="24"/>
          <w:szCs w:val="24"/>
        </w:rPr>
        <w:t>Additional Learning Needs Policy.</w:t>
      </w:r>
    </w:p>
    <w:p w14:paraId="3950FD04" w14:textId="4ED29EE5" w:rsidR="529953B8" w:rsidRPr="00554535" w:rsidRDefault="529953B8" w:rsidP="5BC2426C">
      <w:pPr>
        <w:spacing w:line="360" w:lineRule="auto"/>
        <w:jc w:val="both"/>
        <w:rPr>
          <w:rFonts w:ascii="Arial" w:eastAsiaTheme="minorEastAsia" w:hAnsi="Arial" w:cs="Arial"/>
          <w:color w:val="000000" w:themeColor="text1"/>
          <w:sz w:val="24"/>
          <w:szCs w:val="24"/>
        </w:rPr>
      </w:pPr>
    </w:p>
    <w:p w14:paraId="3FF716FF" w14:textId="78960A49" w:rsidR="5BC2426C" w:rsidRPr="00554535" w:rsidRDefault="5BC2426C" w:rsidP="5BC2426C">
      <w:pPr>
        <w:spacing w:line="360" w:lineRule="auto"/>
        <w:jc w:val="both"/>
        <w:rPr>
          <w:rFonts w:ascii="Arial" w:eastAsiaTheme="minorEastAsia" w:hAnsi="Arial" w:cs="Arial"/>
          <w:i/>
          <w:iCs/>
          <w:color w:val="000000" w:themeColor="text1"/>
          <w:sz w:val="24"/>
          <w:szCs w:val="24"/>
        </w:rPr>
      </w:pPr>
      <w:r w:rsidRPr="00554535">
        <w:rPr>
          <w:rFonts w:ascii="Arial" w:eastAsiaTheme="minorEastAsia" w:hAnsi="Arial" w:cs="Arial"/>
          <w:color w:val="000000" w:themeColor="text1"/>
          <w:sz w:val="24"/>
          <w:szCs w:val="24"/>
        </w:rPr>
        <w:t xml:space="preserve">School A. (2018) </w:t>
      </w:r>
      <w:r w:rsidRPr="00554535">
        <w:rPr>
          <w:rFonts w:ascii="Arial" w:eastAsiaTheme="minorEastAsia" w:hAnsi="Arial" w:cs="Arial"/>
          <w:i/>
          <w:iCs/>
          <w:color w:val="000000" w:themeColor="text1"/>
          <w:sz w:val="24"/>
          <w:szCs w:val="24"/>
        </w:rPr>
        <w:t>Positive Behaviour Policy.</w:t>
      </w:r>
    </w:p>
    <w:p w14:paraId="508FFBAE" w14:textId="762E6C43" w:rsidR="5BC2426C" w:rsidRPr="00554535" w:rsidRDefault="5BC2426C" w:rsidP="5BC2426C">
      <w:pPr>
        <w:spacing w:line="360" w:lineRule="auto"/>
        <w:jc w:val="both"/>
        <w:rPr>
          <w:rFonts w:ascii="Arial" w:eastAsiaTheme="minorEastAsia" w:hAnsi="Arial" w:cs="Arial"/>
          <w:i/>
          <w:iCs/>
          <w:color w:val="000000" w:themeColor="text1"/>
          <w:sz w:val="24"/>
          <w:szCs w:val="24"/>
        </w:rPr>
      </w:pPr>
    </w:p>
    <w:p w14:paraId="60B1FF07" w14:textId="1AFB1367" w:rsidR="529953B8" w:rsidRPr="00554535" w:rsidRDefault="5BC2426C" w:rsidP="5BC2426C">
      <w:pPr>
        <w:spacing w:line="360" w:lineRule="auto"/>
        <w:jc w:val="both"/>
        <w:rPr>
          <w:rFonts w:ascii="Arial" w:eastAsiaTheme="minorEastAsia" w:hAnsi="Arial" w:cs="Arial"/>
          <w:i/>
          <w:iCs/>
          <w:color w:val="000000" w:themeColor="text1"/>
          <w:sz w:val="24"/>
          <w:szCs w:val="24"/>
        </w:rPr>
      </w:pPr>
      <w:r w:rsidRPr="00554535">
        <w:rPr>
          <w:rFonts w:ascii="Arial" w:eastAsiaTheme="minorEastAsia" w:hAnsi="Arial" w:cs="Arial"/>
          <w:color w:val="000000" w:themeColor="text1"/>
          <w:sz w:val="24"/>
          <w:szCs w:val="24"/>
        </w:rPr>
        <w:t xml:space="preserve">School A. </w:t>
      </w:r>
      <w:r w:rsidRPr="00554535">
        <w:rPr>
          <w:rFonts w:ascii="Arial" w:eastAsia="Calibri" w:hAnsi="Arial" w:cs="Arial"/>
          <w:color w:val="000000" w:themeColor="text1"/>
          <w:sz w:val="24"/>
          <w:szCs w:val="24"/>
        </w:rPr>
        <w:t>(2010)</w:t>
      </w:r>
      <w:r w:rsidRPr="00554535">
        <w:rPr>
          <w:rFonts w:ascii="Arial" w:eastAsiaTheme="minorEastAsia" w:hAnsi="Arial" w:cs="Arial"/>
          <w:color w:val="000000" w:themeColor="text1"/>
          <w:sz w:val="24"/>
          <w:szCs w:val="24"/>
        </w:rPr>
        <w:t xml:space="preserve"> </w:t>
      </w:r>
      <w:r w:rsidRPr="00554535">
        <w:rPr>
          <w:rFonts w:ascii="Arial" w:eastAsiaTheme="minorEastAsia" w:hAnsi="Arial" w:cs="Arial"/>
          <w:i/>
          <w:iCs/>
          <w:color w:val="000000" w:themeColor="text1"/>
          <w:sz w:val="24"/>
          <w:szCs w:val="24"/>
        </w:rPr>
        <w:t>Equal opportunities policy.</w:t>
      </w:r>
    </w:p>
    <w:p w14:paraId="19AA2EBF" w14:textId="5CB781DD" w:rsidR="5BC2426C" w:rsidRPr="00554535" w:rsidRDefault="5BC2426C" w:rsidP="5BC2426C">
      <w:pPr>
        <w:spacing w:line="360" w:lineRule="auto"/>
        <w:jc w:val="both"/>
        <w:rPr>
          <w:rFonts w:ascii="Arial" w:eastAsiaTheme="minorEastAsia" w:hAnsi="Arial" w:cs="Arial"/>
          <w:i/>
          <w:iCs/>
          <w:color w:val="000000" w:themeColor="text1"/>
          <w:sz w:val="24"/>
          <w:szCs w:val="24"/>
        </w:rPr>
      </w:pPr>
    </w:p>
    <w:p w14:paraId="22794DA3" w14:textId="42FF0AB3" w:rsidR="5BC2426C" w:rsidRPr="00554535" w:rsidRDefault="5BC2426C" w:rsidP="5BC2426C">
      <w:pPr>
        <w:spacing w:line="360" w:lineRule="auto"/>
        <w:jc w:val="both"/>
        <w:rPr>
          <w:rFonts w:ascii="Arial" w:eastAsiaTheme="minorEastAsia" w:hAnsi="Arial" w:cs="Arial"/>
          <w:i/>
          <w:iCs/>
          <w:color w:val="000000" w:themeColor="text1"/>
          <w:sz w:val="24"/>
          <w:szCs w:val="24"/>
        </w:rPr>
      </w:pPr>
      <w:r w:rsidRPr="00554535">
        <w:rPr>
          <w:rFonts w:ascii="Arial" w:eastAsiaTheme="minorEastAsia" w:hAnsi="Arial" w:cs="Arial"/>
          <w:color w:val="000000" w:themeColor="text1"/>
          <w:sz w:val="24"/>
          <w:szCs w:val="24"/>
        </w:rPr>
        <w:t xml:space="preserve">School A. (2017) </w:t>
      </w:r>
      <w:r w:rsidRPr="00554535">
        <w:rPr>
          <w:rFonts w:ascii="Arial" w:eastAsiaTheme="minorEastAsia" w:hAnsi="Arial" w:cs="Arial"/>
          <w:i/>
          <w:iCs/>
          <w:color w:val="000000" w:themeColor="text1"/>
          <w:sz w:val="24"/>
          <w:szCs w:val="24"/>
        </w:rPr>
        <w:t>Strategic Equality Plan 2017-2021.</w:t>
      </w:r>
    </w:p>
    <w:p w14:paraId="256DC840" w14:textId="0B8E9CC1" w:rsidR="529953B8" w:rsidRPr="00554535" w:rsidRDefault="529953B8" w:rsidP="5BC2426C">
      <w:pPr>
        <w:spacing w:after="0" w:line="360" w:lineRule="auto"/>
        <w:jc w:val="both"/>
        <w:rPr>
          <w:rFonts w:ascii="Arial" w:eastAsia="Calibri" w:hAnsi="Arial" w:cs="Arial"/>
          <w:color w:val="000000" w:themeColor="text1"/>
          <w:sz w:val="24"/>
          <w:szCs w:val="24"/>
        </w:rPr>
      </w:pPr>
    </w:p>
    <w:p w14:paraId="25CC397A" w14:textId="56AE6DE5" w:rsidR="529953B8" w:rsidRPr="00554535" w:rsidRDefault="5BC2426C" w:rsidP="5BC2426C">
      <w:pPr>
        <w:spacing w:after="0" w:line="360" w:lineRule="auto"/>
        <w:jc w:val="both"/>
        <w:rPr>
          <w:rFonts w:ascii="Arial" w:eastAsia="Calibri" w:hAnsi="Arial" w:cs="Arial"/>
          <w:i/>
          <w:iCs/>
          <w:color w:val="000000" w:themeColor="text1"/>
          <w:sz w:val="24"/>
          <w:szCs w:val="24"/>
        </w:rPr>
      </w:pPr>
      <w:r w:rsidRPr="00554535">
        <w:rPr>
          <w:rFonts w:ascii="Arial" w:eastAsia="Calibri" w:hAnsi="Arial" w:cs="Arial"/>
          <w:color w:val="000000" w:themeColor="text1"/>
          <w:sz w:val="24"/>
          <w:szCs w:val="24"/>
        </w:rPr>
        <w:t xml:space="preserve">Tes (2018) </w:t>
      </w:r>
      <w:r w:rsidRPr="00554535">
        <w:rPr>
          <w:rFonts w:ascii="Arial" w:eastAsia="Calibri" w:hAnsi="Arial" w:cs="Arial"/>
          <w:i/>
          <w:iCs/>
          <w:color w:val="000000" w:themeColor="text1"/>
          <w:sz w:val="24"/>
          <w:szCs w:val="24"/>
        </w:rPr>
        <w:t>Prison schools show exclusion is not the answer.</w:t>
      </w:r>
    </w:p>
    <w:p w14:paraId="7C5E1EFF" w14:textId="4025154B" w:rsidR="529953B8" w:rsidRPr="00554535" w:rsidRDefault="5BC2426C" w:rsidP="5BC2426C">
      <w:pPr>
        <w:spacing w:after="0" w:line="360" w:lineRule="auto"/>
        <w:jc w:val="both"/>
        <w:rPr>
          <w:rFonts w:ascii="Arial" w:hAnsi="Arial" w:cs="Arial"/>
          <w:color w:val="000000" w:themeColor="text1"/>
          <w:sz w:val="24"/>
          <w:szCs w:val="24"/>
        </w:rPr>
      </w:pPr>
      <w:r w:rsidRPr="00554535">
        <w:rPr>
          <w:rFonts w:ascii="Arial" w:eastAsia="Calibri" w:hAnsi="Arial" w:cs="Arial"/>
          <w:color w:val="000000" w:themeColor="text1"/>
          <w:sz w:val="24"/>
          <w:szCs w:val="24"/>
        </w:rPr>
        <w:t xml:space="preserve">Available at: </w:t>
      </w:r>
      <w:hyperlink r:id="rId10">
        <w:r w:rsidRPr="00554535">
          <w:rPr>
            <w:rStyle w:val="Hyperlink"/>
            <w:rFonts w:ascii="Arial" w:eastAsia="Calibri" w:hAnsi="Arial" w:cs="Arial"/>
            <w:color w:val="000000" w:themeColor="text1"/>
            <w:sz w:val="24"/>
            <w:szCs w:val="24"/>
            <w:u w:val="none"/>
          </w:rPr>
          <w:t>https://www.tes.com/news/prison-schools-show-exclusion-not-answer</w:t>
        </w:r>
      </w:hyperlink>
    </w:p>
    <w:p w14:paraId="2F59F5C0" w14:textId="35E3D51A" w:rsidR="529953B8"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(Accessed: 11</w:t>
      </w:r>
      <w:r w:rsidRPr="00554535">
        <w:rPr>
          <w:rFonts w:ascii="Arial" w:eastAsia="Calibri" w:hAnsi="Arial" w:cs="Arial"/>
          <w:color w:val="000000" w:themeColor="text1"/>
          <w:sz w:val="24"/>
          <w:szCs w:val="24"/>
          <w:vertAlign w:val="superscript"/>
        </w:rPr>
        <w:t>th</w:t>
      </w:r>
      <w:r w:rsidRPr="00554535">
        <w:rPr>
          <w:rFonts w:ascii="Arial" w:eastAsia="Calibri" w:hAnsi="Arial" w:cs="Arial"/>
          <w:color w:val="000000" w:themeColor="text1"/>
          <w:sz w:val="24"/>
          <w:szCs w:val="24"/>
        </w:rPr>
        <w:t xml:space="preserve"> September 2019).</w:t>
      </w:r>
    </w:p>
    <w:p w14:paraId="7B023887" w14:textId="40B832D6" w:rsidR="452D9B0B" w:rsidRPr="00554535" w:rsidRDefault="452D9B0B" w:rsidP="5BC2426C">
      <w:pPr>
        <w:spacing w:line="360" w:lineRule="auto"/>
        <w:jc w:val="both"/>
        <w:rPr>
          <w:rFonts w:ascii="Arial" w:eastAsia="Calibri" w:hAnsi="Arial" w:cs="Arial"/>
          <w:color w:val="000000" w:themeColor="text1"/>
          <w:sz w:val="24"/>
          <w:szCs w:val="24"/>
        </w:rPr>
      </w:pPr>
    </w:p>
    <w:p w14:paraId="78D90544" w14:textId="5722F044" w:rsidR="529953B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 xml:space="preserve">Wang, X. (2014) </w:t>
      </w:r>
      <w:r w:rsidRPr="00554535">
        <w:rPr>
          <w:rFonts w:ascii="Arial" w:eastAsia="Calibri" w:hAnsi="Arial" w:cs="Arial"/>
          <w:i/>
          <w:iCs/>
          <w:color w:val="000000" w:themeColor="text1"/>
          <w:sz w:val="24"/>
          <w:szCs w:val="24"/>
        </w:rPr>
        <w:t xml:space="preserve">Understanding Language and Literacy Development Diverse Learners in the Classroom. </w:t>
      </w:r>
      <w:r w:rsidRPr="00554535">
        <w:rPr>
          <w:rFonts w:ascii="Arial" w:eastAsia="Calibri" w:hAnsi="Arial" w:cs="Arial"/>
          <w:color w:val="000000" w:themeColor="text1"/>
          <w:sz w:val="24"/>
          <w:szCs w:val="24"/>
        </w:rPr>
        <w:t>1</w:t>
      </w:r>
      <w:r w:rsidRPr="00554535">
        <w:rPr>
          <w:rFonts w:ascii="Arial" w:eastAsia="Calibri" w:hAnsi="Arial" w:cs="Arial"/>
          <w:color w:val="000000" w:themeColor="text1"/>
          <w:sz w:val="24"/>
          <w:szCs w:val="24"/>
          <w:vertAlign w:val="superscript"/>
        </w:rPr>
        <w:t>st</w:t>
      </w:r>
      <w:r w:rsidRPr="00554535">
        <w:rPr>
          <w:rFonts w:ascii="Arial" w:eastAsia="Calibri" w:hAnsi="Arial" w:cs="Arial"/>
          <w:color w:val="000000" w:themeColor="text1"/>
          <w:sz w:val="24"/>
          <w:szCs w:val="24"/>
        </w:rPr>
        <w:t xml:space="preserve"> Ed. Sussex: John Wiley &amp; Sons Inc.</w:t>
      </w:r>
    </w:p>
    <w:p w14:paraId="56818AE6" w14:textId="23ECCD20" w:rsidR="529953B8" w:rsidRPr="00554535" w:rsidRDefault="529953B8" w:rsidP="5BC2426C">
      <w:pPr>
        <w:spacing w:line="360" w:lineRule="auto"/>
        <w:jc w:val="both"/>
        <w:rPr>
          <w:rFonts w:ascii="Arial" w:eastAsia="Calibri" w:hAnsi="Arial" w:cs="Arial"/>
          <w:color w:val="000000" w:themeColor="text1"/>
          <w:sz w:val="24"/>
          <w:szCs w:val="24"/>
        </w:rPr>
      </w:pPr>
    </w:p>
    <w:p w14:paraId="6B79EF38" w14:textId="59CBFE0C" w:rsidR="4679AD3E" w:rsidRPr="00373768" w:rsidRDefault="5BC2426C" w:rsidP="5BC2426C">
      <w:pPr>
        <w:spacing w:after="0" w:line="360" w:lineRule="auto"/>
        <w:jc w:val="both"/>
        <w:rPr>
          <w:rFonts w:ascii="Arial" w:eastAsia="Calibri" w:hAnsi="Arial" w:cs="Arial"/>
          <w:color w:val="000000" w:themeColor="text1"/>
          <w:sz w:val="24"/>
          <w:szCs w:val="24"/>
          <w:u w:val="single"/>
        </w:rPr>
      </w:pPr>
      <w:r w:rsidRPr="00554535">
        <w:rPr>
          <w:rFonts w:ascii="Arial" w:eastAsia="Calibri" w:hAnsi="Arial" w:cs="Arial"/>
          <w:color w:val="000000" w:themeColor="text1"/>
          <w:sz w:val="24"/>
          <w:szCs w:val="24"/>
        </w:rPr>
        <w:t xml:space="preserve">Welsh Government. (2019) </w:t>
      </w:r>
      <w:r w:rsidRPr="00554535">
        <w:rPr>
          <w:rFonts w:ascii="Arial" w:eastAsia="Calibri" w:hAnsi="Arial" w:cs="Arial"/>
          <w:i/>
          <w:iCs/>
          <w:color w:val="000000" w:themeColor="text1"/>
          <w:sz w:val="24"/>
          <w:szCs w:val="24"/>
        </w:rPr>
        <w:t>Permanent d fixed-term exclusions form schools in Wales, 2016/17.</w:t>
      </w:r>
    </w:p>
    <w:p w14:paraId="1DB8AD0E" w14:textId="405A6DB3" w:rsidR="00373768" w:rsidRPr="00373768" w:rsidRDefault="5BC2426C" w:rsidP="5BC2426C">
      <w:pPr>
        <w:spacing w:after="0" w:line="360" w:lineRule="auto"/>
        <w:jc w:val="both"/>
        <w:rPr>
          <w:rFonts w:ascii="Arial" w:eastAsia="Calibri" w:hAnsi="Arial" w:cs="Arial"/>
          <w:color w:val="000000" w:themeColor="text1"/>
          <w:sz w:val="24"/>
          <w:szCs w:val="24"/>
        </w:rPr>
      </w:pPr>
      <w:r w:rsidRPr="00373768">
        <w:rPr>
          <w:rFonts w:ascii="Arial" w:eastAsia="Calibri" w:hAnsi="Arial" w:cs="Arial"/>
          <w:color w:val="000000" w:themeColor="text1"/>
          <w:sz w:val="24"/>
          <w:szCs w:val="24"/>
        </w:rPr>
        <w:t xml:space="preserve">Available at: </w:t>
      </w:r>
      <w:hyperlink r:id="rId11" w:history="1">
        <w:r w:rsidR="00373768" w:rsidRPr="00373768">
          <w:rPr>
            <w:rStyle w:val="Hyperlink"/>
            <w:rFonts w:ascii="Arial" w:eastAsia="Calibri" w:hAnsi="Arial" w:cs="Arial"/>
            <w:color w:val="000000" w:themeColor="text1"/>
            <w:sz w:val="24"/>
            <w:szCs w:val="24"/>
            <w:u w:val="none"/>
          </w:rPr>
          <w:t>https://gov.wales/sites/default/files/statistics-and-research/2018-</w:t>
        </w:r>
      </w:hyperlink>
    </w:p>
    <w:p w14:paraId="189C6E03" w14:textId="5246718B" w:rsidR="4679AD3E"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12/181002-permanent-fixed-term-exclusions-from-schools-2016-17-en.pdf</w:t>
      </w:r>
    </w:p>
    <w:p w14:paraId="19DDA97C" w14:textId="0EE873B2" w:rsidR="4679AD3E" w:rsidRPr="00554535" w:rsidRDefault="5BC2426C" w:rsidP="5BC2426C">
      <w:pPr>
        <w:spacing w:after="0"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t>(Accessed: 10</w:t>
      </w:r>
      <w:r w:rsidRPr="00554535">
        <w:rPr>
          <w:rFonts w:ascii="Arial" w:eastAsia="Calibri" w:hAnsi="Arial" w:cs="Arial"/>
          <w:color w:val="000000" w:themeColor="text1"/>
          <w:sz w:val="24"/>
          <w:szCs w:val="24"/>
          <w:vertAlign w:val="superscript"/>
        </w:rPr>
        <w:t>th</w:t>
      </w:r>
      <w:r w:rsidRPr="00554535">
        <w:rPr>
          <w:rFonts w:ascii="Arial" w:eastAsia="Calibri" w:hAnsi="Arial" w:cs="Arial"/>
          <w:color w:val="000000" w:themeColor="text1"/>
          <w:sz w:val="24"/>
          <w:szCs w:val="24"/>
        </w:rPr>
        <w:t xml:space="preserve"> September 2019).</w:t>
      </w:r>
    </w:p>
    <w:p w14:paraId="35BE7992" w14:textId="5B0221FB" w:rsidR="2B27C3E8" w:rsidRPr="00554535" w:rsidRDefault="5BC2426C" w:rsidP="5BC2426C">
      <w:pPr>
        <w:spacing w:line="360" w:lineRule="auto"/>
        <w:jc w:val="both"/>
        <w:rPr>
          <w:rFonts w:ascii="Arial" w:eastAsia="Calibri" w:hAnsi="Arial" w:cs="Arial"/>
          <w:color w:val="000000" w:themeColor="text1"/>
          <w:sz w:val="24"/>
          <w:szCs w:val="24"/>
        </w:rPr>
      </w:pPr>
      <w:r w:rsidRPr="00554535">
        <w:rPr>
          <w:rFonts w:ascii="Arial" w:eastAsia="Calibri" w:hAnsi="Arial" w:cs="Arial"/>
          <w:color w:val="000000" w:themeColor="text1"/>
          <w:sz w:val="24"/>
          <w:szCs w:val="24"/>
        </w:rPr>
        <w:lastRenderedPageBreak/>
        <w:t>Quigley, A. (2018) ‘</w:t>
      </w:r>
      <w:r w:rsidRPr="003543A2">
        <w:rPr>
          <w:rFonts w:ascii="Arial" w:eastAsia="Calibri" w:hAnsi="Arial" w:cs="Arial"/>
          <w:i/>
          <w:iCs/>
          <w:color w:val="000000" w:themeColor="text1"/>
          <w:sz w:val="24"/>
          <w:szCs w:val="24"/>
        </w:rPr>
        <w:t>A teachers hunt for evidence… Zero-tolerance behaviour policies</w:t>
      </w:r>
      <w:r w:rsidRPr="00554535">
        <w:rPr>
          <w:rFonts w:ascii="Arial" w:eastAsia="Calibri" w:hAnsi="Arial" w:cs="Arial"/>
          <w:color w:val="000000" w:themeColor="text1"/>
          <w:sz w:val="24"/>
          <w:szCs w:val="24"/>
        </w:rPr>
        <w:t>’, TES</w:t>
      </w:r>
      <w:r w:rsidR="003C3C45">
        <w:rPr>
          <w:rFonts w:ascii="Arial" w:eastAsia="Calibri" w:hAnsi="Arial" w:cs="Arial"/>
          <w:color w:val="000000" w:themeColor="text1"/>
          <w:sz w:val="24"/>
          <w:szCs w:val="24"/>
        </w:rPr>
        <w:t>,</w:t>
      </w:r>
      <w:r w:rsidRPr="00554535">
        <w:rPr>
          <w:rFonts w:ascii="Arial" w:eastAsia="Calibri" w:hAnsi="Arial" w:cs="Arial"/>
          <w:color w:val="000000" w:themeColor="text1"/>
          <w:sz w:val="24"/>
          <w:szCs w:val="24"/>
        </w:rPr>
        <w:t xml:space="preserve"> 2</w:t>
      </w:r>
      <w:r w:rsidRPr="00554535">
        <w:rPr>
          <w:rFonts w:ascii="Arial" w:eastAsia="Calibri" w:hAnsi="Arial" w:cs="Arial"/>
          <w:color w:val="000000" w:themeColor="text1"/>
          <w:sz w:val="24"/>
          <w:szCs w:val="24"/>
          <w:vertAlign w:val="superscript"/>
        </w:rPr>
        <w:t>nd</w:t>
      </w:r>
      <w:r w:rsidRPr="00554535">
        <w:rPr>
          <w:rFonts w:ascii="Arial" w:eastAsia="Calibri" w:hAnsi="Arial" w:cs="Arial"/>
          <w:color w:val="000000" w:themeColor="text1"/>
          <w:sz w:val="24"/>
          <w:szCs w:val="24"/>
        </w:rPr>
        <w:t xml:space="preserve"> Feb, pp.48-49.</w:t>
      </w:r>
    </w:p>
    <w:p w14:paraId="2F258673" w14:textId="29A60B4E" w:rsidR="452D9B0B" w:rsidRPr="00554535" w:rsidRDefault="452D9B0B" w:rsidP="5BC2426C">
      <w:pPr>
        <w:spacing w:line="360" w:lineRule="auto"/>
        <w:jc w:val="both"/>
        <w:rPr>
          <w:rFonts w:ascii="Arial" w:eastAsia="Calibri" w:hAnsi="Arial" w:cs="Arial"/>
          <w:color w:val="000000" w:themeColor="text1"/>
          <w:sz w:val="24"/>
          <w:szCs w:val="24"/>
        </w:rPr>
      </w:pPr>
    </w:p>
    <w:p w14:paraId="7AEE44F9" w14:textId="66F5E9DD" w:rsidR="2B27C3E8" w:rsidRPr="00554535" w:rsidRDefault="2B27C3E8" w:rsidP="5BC2426C">
      <w:pPr>
        <w:spacing w:line="360" w:lineRule="auto"/>
        <w:jc w:val="both"/>
        <w:rPr>
          <w:rFonts w:ascii="Arial" w:hAnsi="Arial" w:cs="Arial"/>
          <w:color w:val="000000" w:themeColor="text1"/>
          <w:sz w:val="24"/>
          <w:szCs w:val="24"/>
        </w:rPr>
      </w:pPr>
    </w:p>
    <w:sectPr w:rsidR="2B27C3E8" w:rsidRPr="00554535">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B6830B" w14:textId="77777777" w:rsidR="00E81567" w:rsidRDefault="00E81567" w:rsidP="00554535">
      <w:pPr>
        <w:spacing w:after="0" w:line="240" w:lineRule="auto"/>
      </w:pPr>
      <w:r>
        <w:separator/>
      </w:r>
    </w:p>
  </w:endnote>
  <w:endnote w:type="continuationSeparator" w:id="0">
    <w:p w14:paraId="50DF747F" w14:textId="77777777" w:rsidR="00E81567" w:rsidRDefault="00E81567" w:rsidP="00554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20000287" w:usb1="00000000"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1573427"/>
      <w:docPartObj>
        <w:docPartGallery w:val="Page Numbers (Bottom of Page)"/>
        <w:docPartUnique/>
      </w:docPartObj>
    </w:sdtPr>
    <w:sdtEndPr>
      <w:rPr>
        <w:noProof/>
      </w:rPr>
    </w:sdtEndPr>
    <w:sdtContent>
      <w:p w14:paraId="01FF3626" w14:textId="380984EF" w:rsidR="00554535" w:rsidRDefault="00554535">
        <w:pPr>
          <w:pStyle w:val="Footer"/>
          <w:jc w:val="center"/>
        </w:pPr>
        <w:r>
          <w:fldChar w:fldCharType="begin"/>
        </w:r>
        <w:r>
          <w:instrText xml:space="preserve"> PAGE   \* MERGEFORMAT </w:instrText>
        </w:r>
        <w:r>
          <w:fldChar w:fldCharType="separate"/>
        </w:r>
        <w:r w:rsidR="005B1D89">
          <w:rPr>
            <w:noProof/>
          </w:rPr>
          <w:t>1</w:t>
        </w:r>
        <w:r>
          <w:rPr>
            <w:noProof/>
          </w:rPr>
          <w:fldChar w:fldCharType="end"/>
        </w:r>
      </w:p>
    </w:sdtContent>
  </w:sdt>
  <w:p w14:paraId="34E3169F" w14:textId="77777777" w:rsidR="00554535" w:rsidRDefault="00554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F9808B" w14:textId="77777777" w:rsidR="00E81567" w:rsidRDefault="00E81567" w:rsidP="00554535">
      <w:pPr>
        <w:spacing w:after="0" w:line="240" w:lineRule="auto"/>
      </w:pPr>
      <w:r>
        <w:separator/>
      </w:r>
    </w:p>
  </w:footnote>
  <w:footnote w:type="continuationSeparator" w:id="0">
    <w:p w14:paraId="17C65F7B" w14:textId="77777777" w:rsidR="00E81567" w:rsidRDefault="00E81567" w:rsidP="005545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CC67C" w14:textId="3476C29D" w:rsidR="00554535" w:rsidRDefault="00554535">
    <w:pPr>
      <w:pStyle w:val="Header"/>
    </w:pPr>
    <w:r>
      <w:t>Lauren Buckley</w:t>
    </w:r>
  </w:p>
  <w:p w14:paraId="5908E8C7" w14:textId="493C6E0F" w:rsidR="00554535" w:rsidRDefault="00554535">
    <w:pPr>
      <w:pStyle w:val="Header"/>
    </w:pPr>
    <w:r>
      <w:t>1707395</w:t>
    </w:r>
  </w:p>
  <w:p w14:paraId="4DF6AB17" w14:textId="77777777" w:rsidR="00554535" w:rsidRDefault="005545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8E74A5"/>
    <w:rsid w:val="00003947"/>
    <w:rsid w:val="000F3E0B"/>
    <w:rsid w:val="001440FE"/>
    <w:rsid w:val="001B71B5"/>
    <w:rsid w:val="00216A71"/>
    <w:rsid w:val="00263F86"/>
    <w:rsid w:val="00287900"/>
    <w:rsid w:val="002B6B22"/>
    <w:rsid w:val="00301B18"/>
    <w:rsid w:val="00312E59"/>
    <w:rsid w:val="003543A2"/>
    <w:rsid w:val="00357FD1"/>
    <w:rsid w:val="00373768"/>
    <w:rsid w:val="003C3C45"/>
    <w:rsid w:val="003F0E9B"/>
    <w:rsid w:val="004009A5"/>
    <w:rsid w:val="00402980"/>
    <w:rsid w:val="004E0A6B"/>
    <w:rsid w:val="005255BA"/>
    <w:rsid w:val="00554535"/>
    <w:rsid w:val="005B1D89"/>
    <w:rsid w:val="00602238"/>
    <w:rsid w:val="00736E0A"/>
    <w:rsid w:val="00782092"/>
    <w:rsid w:val="008053C8"/>
    <w:rsid w:val="008D71CF"/>
    <w:rsid w:val="00917EF6"/>
    <w:rsid w:val="00917FA6"/>
    <w:rsid w:val="00930A4D"/>
    <w:rsid w:val="009906B0"/>
    <w:rsid w:val="009D6CD9"/>
    <w:rsid w:val="009E26D0"/>
    <w:rsid w:val="009E3CD0"/>
    <w:rsid w:val="00A163C9"/>
    <w:rsid w:val="00A20071"/>
    <w:rsid w:val="00A835F4"/>
    <w:rsid w:val="00A83961"/>
    <w:rsid w:val="00A87B3A"/>
    <w:rsid w:val="00A925F1"/>
    <w:rsid w:val="00AF3D2F"/>
    <w:rsid w:val="00B124EF"/>
    <w:rsid w:val="00B5207D"/>
    <w:rsid w:val="00B54C1C"/>
    <w:rsid w:val="00B64784"/>
    <w:rsid w:val="00B97A67"/>
    <w:rsid w:val="00CE5FEC"/>
    <w:rsid w:val="00D842EA"/>
    <w:rsid w:val="00D85B6F"/>
    <w:rsid w:val="00D9163A"/>
    <w:rsid w:val="00E37167"/>
    <w:rsid w:val="00E80D16"/>
    <w:rsid w:val="00E81567"/>
    <w:rsid w:val="00ED03C0"/>
    <w:rsid w:val="00FC5E21"/>
    <w:rsid w:val="00FF4217"/>
    <w:rsid w:val="0DE8C4D9"/>
    <w:rsid w:val="176D1C95"/>
    <w:rsid w:val="19269DCD"/>
    <w:rsid w:val="26DAA425"/>
    <w:rsid w:val="2B27C3E8"/>
    <w:rsid w:val="3F200978"/>
    <w:rsid w:val="452D9B0B"/>
    <w:rsid w:val="4679AD3E"/>
    <w:rsid w:val="529953B8"/>
    <w:rsid w:val="53310850"/>
    <w:rsid w:val="5BC2426C"/>
    <w:rsid w:val="5FA87953"/>
    <w:rsid w:val="668E74A5"/>
    <w:rsid w:val="68583938"/>
    <w:rsid w:val="739D7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8E74A5"/>
  <w15:chartTrackingRefBased/>
  <w15:docId w15:val="{95ED63AA-0375-45EA-B287-EF0576333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554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535"/>
  </w:style>
  <w:style w:type="paragraph" w:styleId="Footer">
    <w:name w:val="footer"/>
    <w:basedOn w:val="Normal"/>
    <w:link w:val="FooterChar"/>
    <w:uiPriority w:val="99"/>
    <w:unhideWhenUsed/>
    <w:rsid w:val="00554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535"/>
  </w:style>
  <w:style w:type="paragraph" w:styleId="BalloonText">
    <w:name w:val="Balloon Text"/>
    <w:basedOn w:val="Normal"/>
    <w:link w:val="BalloonTextChar"/>
    <w:uiPriority w:val="99"/>
    <w:semiHidden/>
    <w:unhideWhenUsed/>
    <w:rsid w:val="003737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768"/>
    <w:rPr>
      <w:rFonts w:ascii="Segoe UI" w:hAnsi="Segoe UI" w:cs="Segoe UI"/>
      <w:sz w:val="18"/>
      <w:szCs w:val="18"/>
    </w:rPr>
  </w:style>
  <w:style w:type="character" w:styleId="FollowedHyperlink">
    <w:name w:val="FollowedHyperlink"/>
    <w:basedOn w:val="DefaultParagraphFont"/>
    <w:uiPriority w:val="99"/>
    <w:semiHidden/>
    <w:unhideWhenUsed/>
    <w:rsid w:val="00373768"/>
    <w:rPr>
      <w:color w:val="954F72" w:themeColor="followedHyperlink"/>
      <w:u w:val="single"/>
    </w:rPr>
  </w:style>
  <w:style w:type="character" w:customStyle="1" w:styleId="UnresolvedMention">
    <w:name w:val="Unresolved Mention"/>
    <w:basedOn w:val="DefaultParagraphFont"/>
    <w:uiPriority w:val="99"/>
    <w:semiHidden/>
    <w:unhideWhenUsed/>
    <w:rsid w:val="00357F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sitesplus/888/page/94697"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implypsychology.org/piaget.html"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gov.wales/sites/default/files/statistics-and-research/2018-"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tes.com/news/prison-schools-show-exclusion-not-answer" TargetMode="External"/><Relationship Id="rId4" Type="http://schemas.openxmlformats.org/officeDocument/2006/relationships/footnotes" Target="footnotes.xml"/><Relationship Id="rId9" Type="http://schemas.openxmlformats.org/officeDocument/2006/relationships/hyperlink" Target="http://www.wales.nhs.uk/sitesplus/888/page/8852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2910</Words>
  <Characters>16590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Buckley (1707395)</dc:creator>
  <cp:keywords/>
  <dc:description/>
  <cp:lastModifiedBy>Heike Griffiths</cp:lastModifiedBy>
  <cp:revision>2</cp:revision>
  <cp:lastPrinted>2019-09-20T16:01:00Z</cp:lastPrinted>
  <dcterms:created xsi:type="dcterms:W3CDTF">2019-10-14T10:22:00Z</dcterms:created>
  <dcterms:modified xsi:type="dcterms:W3CDTF">2019-10-14T10:22:00Z</dcterms:modified>
</cp:coreProperties>
</file>