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BBE741" w14:textId="77777777" w:rsidR="00C45FA9" w:rsidRPr="00090E44" w:rsidRDefault="00C45FA9" w:rsidP="006A41D2">
      <w:pPr>
        <w:rPr>
          <w:rFonts w:ascii="Arial" w:hAnsi="Arial" w:cs="Arial"/>
          <w:sz w:val="22"/>
        </w:rPr>
      </w:pPr>
    </w:p>
    <w:p w14:paraId="2AA355DF" w14:textId="77777777" w:rsidR="00C45FA9" w:rsidRPr="00090E44" w:rsidRDefault="00C45FA9" w:rsidP="006A41D2">
      <w:pPr>
        <w:rPr>
          <w:rFonts w:ascii="Arial" w:hAnsi="Arial" w:cs="Arial"/>
          <w:sz w:val="22"/>
        </w:rPr>
      </w:pPr>
    </w:p>
    <w:p w14:paraId="57221AC3" w14:textId="77777777" w:rsidR="00C45FA9" w:rsidRPr="00090E44" w:rsidRDefault="00C45FA9" w:rsidP="006A41D2">
      <w:pPr>
        <w:rPr>
          <w:rFonts w:ascii="Arial" w:hAnsi="Arial" w:cs="Arial"/>
          <w:sz w:val="22"/>
        </w:rPr>
      </w:pPr>
    </w:p>
    <w:p w14:paraId="52698102" w14:textId="77777777" w:rsidR="00C45FA9" w:rsidRPr="00090E44" w:rsidRDefault="00C45FA9" w:rsidP="006A41D2">
      <w:pPr>
        <w:rPr>
          <w:rFonts w:ascii="Arial" w:hAnsi="Arial" w:cs="Arial"/>
          <w:sz w:val="22"/>
        </w:rPr>
      </w:pPr>
    </w:p>
    <w:p w14:paraId="3486FF39" w14:textId="77777777" w:rsidR="00C45FA9" w:rsidRPr="00090E44" w:rsidRDefault="00C45FA9" w:rsidP="006A41D2">
      <w:pPr>
        <w:rPr>
          <w:rFonts w:ascii="Arial" w:hAnsi="Arial" w:cs="Arial"/>
          <w:sz w:val="22"/>
        </w:rPr>
      </w:pPr>
    </w:p>
    <w:p w14:paraId="39F9EAD9" w14:textId="77777777" w:rsidR="00C45FA9" w:rsidRPr="00090E44" w:rsidRDefault="00C45FA9" w:rsidP="006A41D2">
      <w:pPr>
        <w:rPr>
          <w:rFonts w:ascii="Arial" w:hAnsi="Arial" w:cs="Arial"/>
          <w:sz w:val="22"/>
        </w:rPr>
      </w:pPr>
    </w:p>
    <w:p w14:paraId="43B36910" w14:textId="77777777" w:rsidR="00FE5CD1" w:rsidRPr="00E42702" w:rsidRDefault="00FE5CD1" w:rsidP="006A41D2">
      <w:pPr>
        <w:jc w:val="center"/>
        <w:rPr>
          <w:rFonts w:ascii="Arial" w:hAnsi="Arial" w:cs="Arial"/>
          <w:b/>
          <w:sz w:val="22"/>
        </w:rPr>
      </w:pPr>
      <w:proofErr w:type="spellStart"/>
      <w:r w:rsidRPr="00E42702">
        <w:rPr>
          <w:rFonts w:ascii="Arial" w:hAnsi="Arial" w:cs="Arial"/>
          <w:b/>
          <w:sz w:val="22"/>
        </w:rPr>
        <w:t>Programme</w:t>
      </w:r>
      <w:proofErr w:type="spellEnd"/>
      <w:r w:rsidRPr="00E42702">
        <w:rPr>
          <w:rFonts w:ascii="Arial" w:hAnsi="Arial" w:cs="Arial"/>
          <w:b/>
          <w:sz w:val="22"/>
        </w:rPr>
        <w:t>: Certificate of Higher Education in Health and Social Care</w:t>
      </w:r>
    </w:p>
    <w:p w14:paraId="54D269AC" w14:textId="77777777" w:rsidR="00FE5CD1" w:rsidRPr="00E42702" w:rsidRDefault="00FE5CD1" w:rsidP="006A41D2">
      <w:pPr>
        <w:jc w:val="center"/>
        <w:rPr>
          <w:rFonts w:ascii="Arial" w:hAnsi="Arial" w:cs="Arial"/>
          <w:b/>
          <w:sz w:val="22"/>
        </w:rPr>
      </w:pPr>
      <w:r w:rsidRPr="00E42702">
        <w:rPr>
          <w:rFonts w:ascii="Arial" w:hAnsi="Arial" w:cs="Arial"/>
          <w:b/>
          <w:sz w:val="22"/>
        </w:rPr>
        <w:t>Module: Psychology in Health and Social Care</w:t>
      </w:r>
    </w:p>
    <w:p w14:paraId="272CC3AD" w14:textId="77777777" w:rsidR="001F089A" w:rsidRDefault="00FE5CD1" w:rsidP="006A41D2">
      <w:pPr>
        <w:jc w:val="center"/>
        <w:rPr>
          <w:rFonts w:ascii="Arial" w:hAnsi="Arial" w:cs="Arial"/>
          <w:b/>
          <w:sz w:val="22"/>
        </w:rPr>
      </w:pPr>
      <w:r w:rsidRPr="00E42702">
        <w:rPr>
          <w:rFonts w:ascii="Arial" w:hAnsi="Arial" w:cs="Arial"/>
          <w:b/>
          <w:sz w:val="22"/>
        </w:rPr>
        <w:t>Module code: LCHS4010</w:t>
      </w:r>
    </w:p>
    <w:p w14:paraId="671D797A" w14:textId="509FAE9C" w:rsidR="00633A62" w:rsidRDefault="00123FF6" w:rsidP="006A41D2">
      <w:pPr>
        <w:jc w:val="center"/>
        <w:rPr>
          <w:rFonts w:ascii="Arial" w:hAnsi="Arial" w:cs="Arial"/>
          <w:b/>
          <w:sz w:val="22"/>
        </w:rPr>
      </w:pPr>
      <w:r>
        <w:rPr>
          <w:rFonts w:ascii="Arial" w:hAnsi="Arial" w:cs="Arial"/>
          <w:b/>
          <w:sz w:val="22"/>
        </w:rPr>
        <w:t xml:space="preserve">Student Name: Henry </w:t>
      </w:r>
      <w:proofErr w:type="spellStart"/>
      <w:r>
        <w:rPr>
          <w:rFonts w:ascii="Arial" w:hAnsi="Arial" w:cs="Arial"/>
          <w:b/>
          <w:sz w:val="22"/>
        </w:rPr>
        <w:t>Wiredu</w:t>
      </w:r>
      <w:proofErr w:type="spellEnd"/>
    </w:p>
    <w:p w14:paraId="214651B3" w14:textId="30FB1217" w:rsidR="00652B6D" w:rsidRPr="00E42702" w:rsidRDefault="00652B6D" w:rsidP="006A41D2">
      <w:pPr>
        <w:jc w:val="center"/>
        <w:rPr>
          <w:rFonts w:ascii="Arial" w:hAnsi="Arial" w:cs="Arial"/>
          <w:b/>
          <w:sz w:val="22"/>
        </w:rPr>
      </w:pPr>
      <w:r>
        <w:rPr>
          <w:rFonts w:ascii="Arial" w:hAnsi="Arial" w:cs="Arial"/>
          <w:b/>
          <w:sz w:val="22"/>
        </w:rPr>
        <w:t>Lecture</w:t>
      </w:r>
      <w:r w:rsidR="003A1437">
        <w:rPr>
          <w:rFonts w:ascii="Arial" w:hAnsi="Arial" w:cs="Arial"/>
          <w:b/>
          <w:sz w:val="22"/>
        </w:rPr>
        <w:t xml:space="preserve">r: </w:t>
      </w:r>
      <w:r w:rsidR="00BE2FF6">
        <w:rPr>
          <w:rFonts w:ascii="Arial" w:hAnsi="Arial" w:cs="Arial"/>
          <w:b/>
          <w:sz w:val="22"/>
        </w:rPr>
        <w:t>Sh</w:t>
      </w:r>
      <w:r w:rsidR="00C97AFC">
        <w:rPr>
          <w:rFonts w:ascii="Arial" w:hAnsi="Arial" w:cs="Arial"/>
          <w:b/>
          <w:sz w:val="22"/>
        </w:rPr>
        <w:t>a</w:t>
      </w:r>
      <w:r w:rsidR="00BE2FF6">
        <w:rPr>
          <w:rFonts w:ascii="Arial" w:hAnsi="Arial" w:cs="Arial"/>
          <w:b/>
          <w:sz w:val="22"/>
        </w:rPr>
        <w:t>ila Hussain</w:t>
      </w:r>
    </w:p>
    <w:p w14:paraId="7B5B95AB" w14:textId="77777777" w:rsidR="008078DA" w:rsidRPr="00E42702" w:rsidRDefault="008078DA" w:rsidP="006A41D2">
      <w:pPr>
        <w:jc w:val="center"/>
        <w:rPr>
          <w:rFonts w:ascii="Arial" w:hAnsi="Arial" w:cs="Arial"/>
          <w:b/>
          <w:sz w:val="22"/>
        </w:rPr>
      </w:pPr>
      <w:r w:rsidRPr="00E42702">
        <w:rPr>
          <w:rFonts w:ascii="Arial" w:hAnsi="Arial" w:cs="Arial"/>
          <w:b/>
          <w:sz w:val="22"/>
        </w:rPr>
        <w:t>Using Psychological Theories to Support Older Adults with Dementia in Care Settings</w:t>
      </w:r>
    </w:p>
    <w:p w14:paraId="0389A874" w14:textId="77777777" w:rsidR="0017193E" w:rsidRPr="00E42702" w:rsidRDefault="0017193E" w:rsidP="006A41D2">
      <w:pPr>
        <w:spacing w:before="0" w:after="160"/>
        <w:ind w:left="0" w:right="0"/>
        <w:jc w:val="left"/>
        <w:rPr>
          <w:rFonts w:ascii="Arial" w:hAnsi="Arial" w:cs="Arial"/>
          <w:sz w:val="22"/>
        </w:rPr>
      </w:pPr>
      <w:r w:rsidRPr="00E42702">
        <w:rPr>
          <w:rFonts w:ascii="Arial" w:hAnsi="Arial" w:cs="Arial"/>
          <w:sz w:val="22"/>
        </w:rPr>
        <w:br w:type="page"/>
      </w:r>
    </w:p>
    <w:sdt>
      <w:sdtPr>
        <w:rPr>
          <w:rFonts w:ascii="Arial" w:eastAsiaTheme="minorHAnsi" w:hAnsi="Arial" w:cs="Arial"/>
          <w:b/>
          <w:color w:val="auto"/>
          <w:sz w:val="24"/>
          <w:szCs w:val="22"/>
        </w:rPr>
        <w:id w:val="-204951669"/>
        <w:docPartObj>
          <w:docPartGallery w:val="Table of Contents"/>
          <w:docPartUnique/>
        </w:docPartObj>
      </w:sdtPr>
      <w:sdtEndPr>
        <w:rPr>
          <w:bCs/>
          <w:noProof/>
          <w:sz w:val="22"/>
        </w:rPr>
      </w:sdtEndPr>
      <w:sdtContent>
        <w:p w14:paraId="531009D6" w14:textId="77777777" w:rsidR="0017193E" w:rsidRPr="00E42702" w:rsidRDefault="0017193E" w:rsidP="006A41D2">
          <w:pPr>
            <w:pStyle w:val="TOCHeading"/>
            <w:spacing w:line="360" w:lineRule="auto"/>
            <w:jc w:val="center"/>
            <w:rPr>
              <w:rFonts w:ascii="Arial" w:hAnsi="Arial" w:cs="Arial"/>
              <w:b/>
              <w:color w:val="auto"/>
              <w:szCs w:val="22"/>
            </w:rPr>
          </w:pPr>
          <w:r w:rsidRPr="00E42702">
            <w:rPr>
              <w:rFonts w:ascii="Arial" w:hAnsi="Arial" w:cs="Arial"/>
              <w:b/>
              <w:color w:val="auto"/>
              <w:szCs w:val="22"/>
            </w:rPr>
            <w:t>Table of Contents</w:t>
          </w:r>
        </w:p>
        <w:p w14:paraId="29562A37" w14:textId="77777777" w:rsidR="00D07DC6" w:rsidRDefault="0017193E" w:rsidP="006A41D2">
          <w:pPr>
            <w:pStyle w:val="TOC1"/>
            <w:tabs>
              <w:tab w:val="right" w:leader="dot" w:pos="9350"/>
            </w:tabs>
            <w:rPr>
              <w:rFonts w:asciiTheme="minorHAnsi" w:eastAsiaTheme="minorEastAsia" w:hAnsiTheme="minorHAnsi"/>
              <w:noProof/>
              <w:sz w:val="22"/>
            </w:rPr>
          </w:pPr>
          <w:r w:rsidRPr="00E42702">
            <w:rPr>
              <w:rFonts w:ascii="Arial" w:hAnsi="Arial" w:cs="Arial"/>
              <w:sz w:val="22"/>
            </w:rPr>
            <w:fldChar w:fldCharType="begin"/>
          </w:r>
          <w:r w:rsidRPr="00E42702">
            <w:rPr>
              <w:rFonts w:ascii="Arial" w:hAnsi="Arial" w:cs="Arial"/>
              <w:sz w:val="22"/>
            </w:rPr>
            <w:instrText xml:space="preserve"> TOC \o "1-3" \h \z \u </w:instrText>
          </w:r>
          <w:r w:rsidRPr="00E42702">
            <w:rPr>
              <w:rFonts w:ascii="Arial" w:hAnsi="Arial" w:cs="Arial"/>
              <w:sz w:val="22"/>
            </w:rPr>
            <w:fldChar w:fldCharType="separate"/>
          </w:r>
          <w:hyperlink w:anchor="_Toc212761310" w:history="1">
            <w:r w:rsidR="00D07DC6" w:rsidRPr="001444AA">
              <w:rPr>
                <w:rStyle w:val="Hyperlink"/>
                <w:rFonts w:ascii="Arial" w:hAnsi="Arial" w:cs="Arial"/>
                <w:noProof/>
              </w:rPr>
              <w:t>Introduction</w:t>
            </w:r>
            <w:r w:rsidR="00D07DC6">
              <w:rPr>
                <w:noProof/>
                <w:webHidden/>
              </w:rPr>
              <w:tab/>
            </w:r>
            <w:r w:rsidR="00D07DC6">
              <w:rPr>
                <w:noProof/>
                <w:webHidden/>
              </w:rPr>
              <w:fldChar w:fldCharType="begin"/>
            </w:r>
            <w:r w:rsidR="00D07DC6">
              <w:rPr>
                <w:noProof/>
                <w:webHidden/>
              </w:rPr>
              <w:instrText xml:space="preserve"> PAGEREF _Toc212761310 \h </w:instrText>
            </w:r>
            <w:r w:rsidR="00D07DC6">
              <w:rPr>
                <w:noProof/>
                <w:webHidden/>
              </w:rPr>
            </w:r>
            <w:r w:rsidR="00D07DC6">
              <w:rPr>
                <w:noProof/>
                <w:webHidden/>
              </w:rPr>
              <w:fldChar w:fldCharType="separate"/>
            </w:r>
            <w:r w:rsidR="00D07DC6">
              <w:rPr>
                <w:noProof/>
                <w:webHidden/>
              </w:rPr>
              <w:t>3</w:t>
            </w:r>
            <w:r w:rsidR="00D07DC6">
              <w:rPr>
                <w:noProof/>
                <w:webHidden/>
              </w:rPr>
              <w:fldChar w:fldCharType="end"/>
            </w:r>
          </w:hyperlink>
        </w:p>
        <w:p w14:paraId="699E40CB" w14:textId="77777777" w:rsidR="00D07DC6" w:rsidRDefault="00D07DC6" w:rsidP="006A41D2">
          <w:pPr>
            <w:pStyle w:val="TOC2"/>
            <w:tabs>
              <w:tab w:val="right" w:leader="dot" w:pos="9350"/>
            </w:tabs>
            <w:rPr>
              <w:rFonts w:asciiTheme="minorHAnsi" w:eastAsiaTheme="minorEastAsia" w:hAnsiTheme="minorHAnsi"/>
              <w:noProof/>
              <w:sz w:val="22"/>
            </w:rPr>
          </w:pPr>
          <w:hyperlink w:anchor="_Toc212761311" w:history="1">
            <w:r w:rsidRPr="001444AA">
              <w:rPr>
                <w:rStyle w:val="Hyperlink"/>
                <w:rFonts w:ascii="Arial" w:hAnsi="Arial" w:cs="Arial"/>
                <w:noProof/>
              </w:rPr>
              <w:t>Context: Dementia and Psychological Health in Older Adults</w:t>
            </w:r>
            <w:r>
              <w:rPr>
                <w:noProof/>
                <w:webHidden/>
              </w:rPr>
              <w:tab/>
            </w:r>
            <w:r>
              <w:rPr>
                <w:noProof/>
                <w:webHidden/>
              </w:rPr>
              <w:fldChar w:fldCharType="begin"/>
            </w:r>
            <w:r>
              <w:rPr>
                <w:noProof/>
                <w:webHidden/>
              </w:rPr>
              <w:instrText xml:space="preserve"> PAGEREF _Toc212761311 \h </w:instrText>
            </w:r>
            <w:r>
              <w:rPr>
                <w:noProof/>
                <w:webHidden/>
              </w:rPr>
            </w:r>
            <w:r>
              <w:rPr>
                <w:noProof/>
                <w:webHidden/>
              </w:rPr>
              <w:fldChar w:fldCharType="separate"/>
            </w:r>
            <w:r>
              <w:rPr>
                <w:noProof/>
                <w:webHidden/>
              </w:rPr>
              <w:t>3</w:t>
            </w:r>
            <w:r>
              <w:rPr>
                <w:noProof/>
                <w:webHidden/>
              </w:rPr>
              <w:fldChar w:fldCharType="end"/>
            </w:r>
          </w:hyperlink>
        </w:p>
        <w:p w14:paraId="77288A27" w14:textId="77777777" w:rsidR="00D07DC6" w:rsidRDefault="00D07DC6" w:rsidP="006A41D2">
          <w:pPr>
            <w:pStyle w:val="TOC2"/>
            <w:tabs>
              <w:tab w:val="right" w:leader="dot" w:pos="9350"/>
            </w:tabs>
            <w:rPr>
              <w:rFonts w:asciiTheme="minorHAnsi" w:eastAsiaTheme="minorEastAsia" w:hAnsiTheme="minorHAnsi"/>
              <w:noProof/>
              <w:sz w:val="22"/>
            </w:rPr>
          </w:pPr>
          <w:hyperlink w:anchor="_Toc212761312" w:history="1">
            <w:r w:rsidRPr="001444AA">
              <w:rPr>
                <w:rStyle w:val="Hyperlink"/>
                <w:rFonts w:ascii="Arial" w:hAnsi="Arial" w:cs="Arial"/>
                <w:noProof/>
              </w:rPr>
              <w:t>Erikson’s Psychosocial Theory of Development</w:t>
            </w:r>
            <w:r>
              <w:rPr>
                <w:noProof/>
                <w:webHidden/>
              </w:rPr>
              <w:tab/>
            </w:r>
            <w:r>
              <w:rPr>
                <w:noProof/>
                <w:webHidden/>
              </w:rPr>
              <w:fldChar w:fldCharType="begin"/>
            </w:r>
            <w:r>
              <w:rPr>
                <w:noProof/>
                <w:webHidden/>
              </w:rPr>
              <w:instrText xml:space="preserve"> PAGEREF _Toc212761312 \h </w:instrText>
            </w:r>
            <w:r>
              <w:rPr>
                <w:noProof/>
                <w:webHidden/>
              </w:rPr>
            </w:r>
            <w:r>
              <w:rPr>
                <w:noProof/>
                <w:webHidden/>
              </w:rPr>
              <w:fldChar w:fldCharType="separate"/>
            </w:r>
            <w:r>
              <w:rPr>
                <w:noProof/>
                <w:webHidden/>
              </w:rPr>
              <w:t>3</w:t>
            </w:r>
            <w:r>
              <w:rPr>
                <w:noProof/>
                <w:webHidden/>
              </w:rPr>
              <w:fldChar w:fldCharType="end"/>
            </w:r>
          </w:hyperlink>
        </w:p>
        <w:p w14:paraId="6948F546" w14:textId="77777777" w:rsidR="00D07DC6" w:rsidRDefault="00D07DC6" w:rsidP="006A41D2">
          <w:pPr>
            <w:pStyle w:val="TOC2"/>
            <w:tabs>
              <w:tab w:val="right" w:leader="dot" w:pos="9350"/>
            </w:tabs>
            <w:rPr>
              <w:rFonts w:asciiTheme="minorHAnsi" w:eastAsiaTheme="minorEastAsia" w:hAnsiTheme="minorHAnsi"/>
              <w:noProof/>
              <w:sz w:val="22"/>
            </w:rPr>
          </w:pPr>
          <w:hyperlink w:anchor="_Toc212761313" w:history="1">
            <w:r w:rsidRPr="001444AA">
              <w:rPr>
                <w:rStyle w:val="Hyperlink"/>
                <w:rFonts w:ascii="Arial" w:hAnsi="Arial" w:cs="Arial"/>
                <w:noProof/>
              </w:rPr>
              <w:t>Maslow’s Hierarchy of Needs</w:t>
            </w:r>
            <w:r>
              <w:rPr>
                <w:noProof/>
                <w:webHidden/>
              </w:rPr>
              <w:tab/>
            </w:r>
            <w:r>
              <w:rPr>
                <w:noProof/>
                <w:webHidden/>
              </w:rPr>
              <w:fldChar w:fldCharType="begin"/>
            </w:r>
            <w:r>
              <w:rPr>
                <w:noProof/>
                <w:webHidden/>
              </w:rPr>
              <w:instrText xml:space="preserve"> PAGEREF _Toc212761313 \h </w:instrText>
            </w:r>
            <w:r>
              <w:rPr>
                <w:noProof/>
                <w:webHidden/>
              </w:rPr>
            </w:r>
            <w:r>
              <w:rPr>
                <w:noProof/>
                <w:webHidden/>
              </w:rPr>
              <w:fldChar w:fldCharType="separate"/>
            </w:r>
            <w:r>
              <w:rPr>
                <w:noProof/>
                <w:webHidden/>
              </w:rPr>
              <w:t>4</w:t>
            </w:r>
            <w:r>
              <w:rPr>
                <w:noProof/>
                <w:webHidden/>
              </w:rPr>
              <w:fldChar w:fldCharType="end"/>
            </w:r>
          </w:hyperlink>
        </w:p>
        <w:p w14:paraId="2EF6690E" w14:textId="77777777" w:rsidR="00D07DC6" w:rsidRDefault="00D07DC6" w:rsidP="006A41D2">
          <w:pPr>
            <w:pStyle w:val="TOC2"/>
            <w:tabs>
              <w:tab w:val="right" w:leader="dot" w:pos="9350"/>
            </w:tabs>
            <w:rPr>
              <w:rFonts w:asciiTheme="minorHAnsi" w:eastAsiaTheme="minorEastAsia" w:hAnsiTheme="minorHAnsi"/>
              <w:noProof/>
              <w:sz w:val="22"/>
            </w:rPr>
          </w:pPr>
          <w:hyperlink w:anchor="_Toc212761314" w:history="1">
            <w:r w:rsidRPr="001444AA">
              <w:rPr>
                <w:rStyle w:val="Hyperlink"/>
                <w:rFonts w:ascii="Arial" w:hAnsi="Arial" w:cs="Arial"/>
                <w:noProof/>
              </w:rPr>
              <w:t>Practical Implications and Professional Challenges</w:t>
            </w:r>
            <w:r>
              <w:rPr>
                <w:noProof/>
                <w:webHidden/>
              </w:rPr>
              <w:tab/>
            </w:r>
            <w:r>
              <w:rPr>
                <w:noProof/>
                <w:webHidden/>
              </w:rPr>
              <w:fldChar w:fldCharType="begin"/>
            </w:r>
            <w:r>
              <w:rPr>
                <w:noProof/>
                <w:webHidden/>
              </w:rPr>
              <w:instrText xml:space="preserve"> PAGEREF _Toc212761314 \h </w:instrText>
            </w:r>
            <w:r>
              <w:rPr>
                <w:noProof/>
                <w:webHidden/>
              </w:rPr>
            </w:r>
            <w:r>
              <w:rPr>
                <w:noProof/>
                <w:webHidden/>
              </w:rPr>
              <w:fldChar w:fldCharType="separate"/>
            </w:r>
            <w:r>
              <w:rPr>
                <w:noProof/>
                <w:webHidden/>
              </w:rPr>
              <w:t>5</w:t>
            </w:r>
            <w:r>
              <w:rPr>
                <w:noProof/>
                <w:webHidden/>
              </w:rPr>
              <w:fldChar w:fldCharType="end"/>
            </w:r>
          </w:hyperlink>
        </w:p>
        <w:p w14:paraId="3E2903C5" w14:textId="77777777" w:rsidR="00D07DC6" w:rsidRDefault="00D07DC6" w:rsidP="006A41D2">
          <w:pPr>
            <w:pStyle w:val="TOC1"/>
            <w:tabs>
              <w:tab w:val="right" w:leader="dot" w:pos="9350"/>
            </w:tabs>
            <w:rPr>
              <w:rFonts w:asciiTheme="minorHAnsi" w:eastAsiaTheme="minorEastAsia" w:hAnsiTheme="minorHAnsi"/>
              <w:noProof/>
              <w:sz w:val="22"/>
            </w:rPr>
          </w:pPr>
          <w:hyperlink w:anchor="_Toc212761315" w:history="1">
            <w:r w:rsidRPr="001444A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_Toc212761315 \h </w:instrText>
            </w:r>
            <w:r>
              <w:rPr>
                <w:noProof/>
                <w:webHidden/>
              </w:rPr>
            </w:r>
            <w:r>
              <w:rPr>
                <w:noProof/>
                <w:webHidden/>
              </w:rPr>
              <w:fldChar w:fldCharType="separate"/>
            </w:r>
            <w:r>
              <w:rPr>
                <w:noProof/>
                <w:webHidden/>
              </w:rPr>
              <w:t>6</w:t>
            </w:r>
            <w:r>
              <w:rPr>
                <w:noProof/>
                <w:webHidden/>
              </w:rPr>
              <w:fldChar w:fldCharType="end"/>
            </w:r>
          </w:hyperlink>
        </w:p>
        <w:p w14:paraId="4682738F" w14:textId="77777777" w:rsidR="00D07DC6" w:rsidRDefault="00D07DC6" w:rsidP="006A41D2">
          <w:pPr>
            <w:pStyle w:val="TOC1"/>
            <w:tabs>
              <w:tab w:val="right" w:leader="dot" w:pos="9350"/>
            </w:tabs>
            <w:rPr>
              <w:rFonts w:asciiTheme="minorHAnsi" w:eastAsiaTheme="minorEastAsia" w:hAnsiTheme="minorHAnsi"/>
              <w:noProof/>
              <w:sz w:val="22"/>
            </w:rPr>
          </w:pPr>
          <w:hyperlink w:anchor="_Toc212761316" w:history="1">
            <w:r w:rsidRPr="001444A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_Toc212761316 \h </w:instrText>
            </w:r>
            <w:r>
              <w:rPr>
                <w:noProof/>
                <w:webHidden/>
              </w:rPr>
            </w:r>
            <w:r>
              <w:rPr>
                <w:noProof/>
                <w:webHidden/>
              </w:rPr>
              <w:fldChar w:fldCharType="separate"/>
            </w:r>
            <w:r>
              <w:rPr>
                <w:noProof/>
                <w:webHidden/>
              </w:rPr>
              <w:t>7</w:t>
            </w:r>
            <w:r>
              <w:rPr>
                <w:noProof/>
                <w:webHidden/>
              </w:rPr>
              <w:fldChar w:fldCharType="end"/>
            </w:r>
          </w:hyperlink>
        </w:p>
        <w:p w14:paraId="15980A5F" w14:textId="77777777" w:rsidR="0017193E" w:rsidRPr="00E42702" w:rsidRDefault="0017193E" w:rsidP="006A41D2">
          <w:pPr>
            <w:rPr>
              <w:rFonts w:ascii="Arial" w:hAnsi="Arial" w:cs="Arial"/>
              <w:sz w:val="22"/>
            </w:rPr>
          </w:pPr>
          <w:r w:rsidRPr="00E42702">
            <w:rPr>
              <w:rFonts w:ascii="Arial" w:hAnsi="Arial" w:cs="Arial"/>
              <w:b/>
              <w:bCs/>
              <w:noProof/>
              <w:sz w:val="22"/>
            </w:rPr>
            <w:fldChar w:fldCharType="end"/>
          </w:r>
        </w:p>
      </w:sdtContent>
    </w:sdt>
    <w:p w14:paraId="04D294B0" w14:textId="77777777" w:rsidR="0017193E" w:rsidRPr="00E42702" w:rsidRDefault="0017193E" w:rsidP="006A41D2">
      <w:pPr>
        <w:rPr>
          <w:rFonts w:ascii="Arial" w:hAnsi="Arial" w:cs="Arial"/>
          <w:sz w:val="22"/>
        </w:rPr>
      </w:pPr>
    </w:p>
    <w:p w14:paraId="1D9EE3EE" w14:textId="77777777" w:rsidR="0017193E" w:rsidRPr="00E42702" w:rsidRDefault="0017193E" w:rsidP="006A41D2">
      <w:pPr>
        <w:spacing w:before="0" w:after="160"/>
        <w:ind w:left="0" w:right="0"/>
        <w:jc w:val="left"/>
        <w:rPr>
          <w:rFonts w:ascii="Arial" w:hAnsi="Arial" w:cs="Arial"/>
          <w:sz w:val="22"/>
        </w:rPr>
      </w:pPr>
      <w:r w:rsidRPr="00E42702">
        <w:rPr>
          <w:rFonts w:ascii="Arial" w:hAnsi="Arial" w:cs="Arial"/>
          <w:sz w:val="22"/>
        </w:rPr>
        <w:br w:type="page"/>
      </w:r>
    </w:p>
    <w:p w14:paraId="739AD994" w14:textId="77777777" w:rsidR="008078DA" w:rsidRPr="00E42702" w:rsidRDefault="008078DA" w:rsidP="006A41D2">
      <w:pPr>
        <w:pStyle w:val="Heading1"/>
        <w:rPr>
          <w:rFonts w:ascii="Arial" w:hAnsi="Arial" w:cs="Arial"/>
          <w:sz w:val="22"/>
          <w:szCs w:val="22"/>
        </w:rPr>
      </w:pPr>
      <w:bookmarkStart w:id="0" w:name="_Toc212761310"/>
      <w:r w:rsidRPr="00E42702">
        <w:rPr>
          <w:rFonts w:ascii="Arial" w:hAnsi="Arial" w:cs="Arial"/>
          <w:sz w:val="22"/>
          <w:szCs w:val="22"/>
        </w:rPr>
        <w:lastRenderedPageBreak/>
        <w:t>Introduction</w:t>
      </w:r>
      <w:bookmarkEnd w:id="0"/>
    </w:p>
    <w:p w14:paraId="169A04D8" w14:textId="77777777" w:rsidR="008078DA" w:rsidRPr="00E42702" w:rsidRDefault="009B0A73" w:rsidP="006A41D2">
      <w:pPr>
        <w:rPr>
          <w:rFonts w:ascii="Arial" w:hAnsi="Arial" w:cs="Arial"/>
          <w:sz w:val="22"/>
        </w:rPr>
      </w:pPr>
      <w:r w:rsidRPr="00E42702">
        <w:rPr>
          <w:rFonts w:ascii="Arial" w:hAnsi="Arial" w:cs="Arial"/>
          <w:sz w:val="22"/>
        </w:rPr>
        <w:t xml:space="preserve">Health and social care requires a rigorous psychological knowledge especially when one is dealing with older adults diagnosed with dementia. Dementia is a pathological condition and, at the same time, a complex psychological and social process, which changes the identity, affect, and relation processes. Older adults (65 years and above) tend to experience cognitive impairment, emotional changes, and reduced autonomy, whereas the elderly in dementia care facilities tend to feel more lonely, anxious, and withdrawn. Health and social care professionals need to use psychological models to explain such </w:t>
      </w:r>
      <w:proofErr w:type="spellStart"/>
      <w:r w:rsidRPr="00E42702">
        <w:rPr>
          <w:rFonts w:ascii="Arial" w:hAnsi="Arial" w:cs="Arial"/>
          <w:sz w:val="22"/>
        </w:rPr>
        <w:t>behaviours</w:t>
      </w:r>
      <w:proofErr w:type="spellEnd"/>
      <w:r w:rsidRPr="00E42702">
        <w:rPr>
          <w:rFonts w:ascii="Arial" w:hAnsi="Arial" w:cs="Arial"/>
          <w:sz w:val="22"/>
        </w:rPr>
        <w:t xml:space="preserve"> and to facilitate well-being. In this regard, the current essay uses two of the most notable theoretical models, namely the Psychosocial Theory of Development as explained by Erikson and the Hierarchy of Needs as postulated by Maslow to demonstrate how theory can guide the routine </w:t>
      </w:r>
      <w:proofErr w:type="spellStart"/>
      <w:r w:rsidRPr="00E42702">
        <w:rPr>
          <w:rFonts w:ascii="Arial" w:hAnsi="Arial" w:cs="Arial"/>
          <w:sz w:val="22"/>
        </w:rPr>
        <w:t>practise</w:t>
      </w:r>
      <w:proofErr w:type="spellEnd"/>
      <w:r w:rsidRPr="00E42702">
        <w:rPr>
          <w:rFonts w:ascii="Arial" w:hAnsi="Arial" w:cs="Arial"/>
          <w:sz w:val="22"/>
        </w:rPr>
        <w:t xml:space="preserve"> of care in the context of older patients who have been diagnosed with dementia. These frameworks are combined in the analysis with the present-day evidence on the dementia-friendly environment and </w:t>
      </w:r>
      <w:proofErr w:type="spellStart"/>
      <w:r w:rsidRPr="00E42702">
        <w:rPr>
          <w:rFonts w:ascii="Arial" w:hAnsi="Arial" w:cs="Arial"/>
          <w:sz w:val="22"/>
        </w:rPr>
        <w:t>person-centred</w:t>
      </w:r>
      <w:proofErr w:type="spellEnd"/>
      <w:r w:rsidRPr="00E42702">
        <w:rPr>
          <w:rFonts w:ascii="Arial" w:hAnsi="Arial" w:cs="Arial"/>
          <w:sz w:val="22"/>
        </w:rPr>
        <w:t xml:space="preserve"> care.</w:t>
      </w:r>
    </w:p>
    <w:p w14:paraId="2DB89289" w14:textId="77777777" w:rsidR="008078DA" w:rsidRPr="00E42702" w:rsidRDefault="008078DA" w:rsidP="006A41D2">
      <w:pPr>
        <w:pStyle w:val="Heading2"/>
        <w:rPr>
          <w:rFonts w:ascii="Arial" w:hAnsi="Arial" w:cs="Arial"/>
          <w:sz w:val="22"/>
          <w:szCs w:val="22"/>
        </w:rPr>
      </w:pPr>
      <w:bookmarkStart w:id="1" w:name="_Toc212761311"/>
      <w:r w:rsidRPr="00E42702">
        <w:rPr>
          <w:rFonts w:ascii="Arial" w:hAnsi="Arial" w:cs="Arial"/>
          <w:sz w:val="22"/>
          <w:szCs w:val="22"/>
        </w:rPr>
        <w:t>Context: Dementia and Psychological Health in Older Adults</w:t>
      </w:r>
      <w:bookmarkEnd w:id="1"/>
    </w:p>
    <w:p w14:paraId="1CDA50DD" w14:textId="77777777" w:rsidR="008078DA" w:rsidRPr="00E42702" w:rsidRDefault="003E1888" w:rsidP="006A41D2">
      <w:pPr>
        <w:rPr>
          <w:rFonts w:ascii="Arial" w:hAnsi="Arial" w:cs="Arial"/>
          <w:sz w:val="22"/>
        </w:rPr>
      </w:pPr>
      <w:r w:rsidRPr="00E42702">
        <w:rPr>
          <w:rFonts w:ascii="Arial" w:hAnsi="Arial" w:cs="Arial"/>
          <w:sz w:val="22"/>
        </w:rPr>
        <w:t xml:space="preserve">The effects of dementia include memory disturbances, changes in perception and personality, which often lead to distress and dependency. The condition also leads to social isolation, particularly in the residential environments. </w:t>
      </w:r>
      <w:proofErr w:type="spellStart"/>
      <w:r w:rsidRPr="00E42702">
        <w:rPr>
          <w:rFonts w:ascii="Arial" w:hAnsi="Arial" w:cs="Arial"/>
          <w:sz w:val="22"/>
        </w:rPr>
        <w:t>Akhter-Khan</w:t>
      </w:r>
      <w:proofErr w:type="spellEnd"/>
      <w:r w:rsidRPr="00E42702">
        <w:rPr>
          <w:rFonts w:ascii="Arial" w:hAnsi="Arial" w:cs="Arial"/>
          <w:sz w:val="22"/>
        </w:rPr>
        <w:t xml:space="preserve">, </w:t>
      </w:r>
      <w:proofErr w:type="spellStart"/>
      <w:r w:rsidRPr="00E42702">
        <w:rPr>
          <w:rFonts w:ascii="Arial" w:hAnsi="Arial" w:cs="Arial"/>
          <w:sz w:val="22"/>
        </w:rPr>
        <w:t>Prina</w:t>
      </w:r>
      <w:proofErr w:type="spellEnd"/>
      <w:r w:rsidRPr="00E42702">
        <w:rPr>
          <w:rFonts w:ascii="Arial" w:hAnsi="Arial" w:cs="Arial"/>
          <w:sz w:val="22"/>
        </w:rPr>
        <w:t xml:space="preserve">, Wong, </w:t>
      </w:r>
      <w:proofErr w:type="spellStart"/>
      <w:r w:rsidRPr="00E42702">
        <w:rPr>
          <w:rFonts w:ascii="Arial" w:hAnsi="Arial" w:cs="Arial"/>
          <w:sz w:val="22"/>
        </w:rPr>
        <w:t>Mayston</w:t>
      </w:r>
      <w:proofErr w:type="spellEnd"/>
      <w:r w:rsidRPr="00E42702">
        <w:rPr>
          <w:rFonts w:ascii="Arial" w:hAnsi="Arial" w:cs="Arial"/>
          <w:sz w:val="22"/>
        </w:rPr>
        <w:t xml:space="preserve"> and Li (2023) noted that loneliness is based on the lack of fulfilled social expectations, thus diminishing self-worth and reason. Environmental psychology proves that the environment affects cognitive comfort; Wiener and </w:t>
      </w:r>
      <w:proofErr w:type="spellStart"/>
      <w:r w:rsidRPr="00E42702">
        <w:rPr>
          <w:rFonts w:ascii="Arial" w:hAnsi="Arial" w:cs="Arial"/>
          <w:sz w:val="22"/>
        </w:rPr>
        <w:t>Pazzaglia</w:t>
      </w:r>
      <w:proofErr w:type="spellEnd"/>
      <w:r w:rsidRPr="00E42702">
        <w:rPr>
          <w:rFonts w:ascii="Arial" w:hAnsi="Arial" w:cs="Arial"/>
          <w:sz w:val="22"/>
        </w:rPr>
        <w:t xml:space="preserve"> (2021) have revealed that dementia-friendly design, with clear layout and </w:t>
      </w:r>
      <w:proofErr w:type="spellStart"/>
      <w:r w:rsidRPr="00E42702">
        <w:rPr>
          <w:rFonts w:ascii="Arial" w:hAnsi="Arial" w:cs="Arial"/>
          <w:sz w:val="22"/>
        </w:rPr>
        <w:t>recognisable</w:t>
      </w:r>
      <w:proofErr w:type="spellEnd"/>
      <w:r w:rsidRPr="00E42702">
        <w:rPr>
          <w:rFonts w:ascii="Arial" w:hAnsi="Arial" w:cs="Arial"/>
          <w:sz w:val="22"/>
        </w:rPr>
        <w:t xml:space="preserve"> visual elements, alleviates the feeling of being lost and agitation. </w:t>
      </w:r>
      <w:proofErr w:type="spellStart"/>
      <w:r w:rsidRPr="00E42702">
        <w:rPr>
          <w:rFonts w:ascii="Arial" w:hAnsi="Arial" w:cs="Arial"/>
          <w:sz w:val="22"/>
        </w:rPr>
        <w:t>Newbould</w:t>
      </w:r>
      <w:proofErr w:type="spellEnd"/>
      <w:r w:rsidRPr="00E42702">
        <w:rPr>
          <w:rFonts w:ascii="Arial" w:hAnsi="Arial" w:cs="Arial"/>
          <w:sz w:val="22"/>
        </w:rPr>
        <w:t>, Tucker and Wilberforce (2022) discovered that in cases of understanding of emotional and cognitive needs by social care providers, the elderly subsequently become active and trustful participants. These results support the idea that to be effective in dementia care, medical care must be provided with psychological wisdom. Development and motivation theories provide the means of understanding the internal lives of the older adults and building supportive care settings.</w:t>
      </w:r>
    </w:p>
    <w:p w14:paraId="7E5CDF82" w14:textId="77777777" w:rsidR="008078DA" w:rsidRPr="00E42702" w:rsidRDefault="008078DA" w:rsidP="006A41D2">
      <w:pPr>
        <w:pStyle w:val="Heading2"/>
        <w:rPr>
          <w:rFonts w:ascii="Arial" w:hAnsi="Arial" w:cs="Arial"/>
          <w:sz w:val="22"/>
          <w:szCs w:val="22"/>
        </w:rPr>
      </w:pPr>
      <w:bookmarkStart w:id="2" w:name="_Toc212761312"/>
      <w:r w:rsidRPr="00E42702">
        <w:rPr>
          <w:rFonts w:ascii="Arial" w:hAnsi="Arial" w:cs="Arial"/>
          <w:sz w:val="22"/>
          <w:szCs w:val="22"/>
        </w:rPr>
        <w:t>Erikson’s Psychosocial Theory of Development</w:t>
      </w:r>
      <w:bookmarkEnd w:id="2"/>
    </w:p>
    <w:p w14:paraId="4BF78B64" w14:textId="77777777" w:rsidR="008078DA" w:rsidRPr="00E42702" w:rsidRDefault="00203AE7" w:rsidP="006A41D2">
      <w:pPr>
        <w:rPr>
          <w:rFonts w:ascii="Arial" w:hAnsi="Arial" w:cs="Arial"/>
          <w:sz w:val="22"/>
        </w:rPr>
      </w:pPr>
      <w:r w:rsidRPr="00E42702">
        <w:rPr>
          <w:rFonts w:ascii="Arial" w:hAnsi="Arial" w:cs="Arial"/>
          <w:sz w:val="22"/>
        </w:rPr>
        <w:t xml:space="preserve">The concept of psychosocial framework by Erik Erikson subjects human life to the view of a series of stages, all of which are </w:t>
      </w:r>
      <w:proofErr w:type="spellStart"/>
      <w:r w:rsidRPr="00E42702">
        <w:rPr>
          <w:rFonts w:ascii="Arial" w:hAnsi="Arial" w:cs="Arial"/>
          <w:sz w:val="22"/>
        </w:rPr>
        <w:t>characterised</w:t>
      </w:r>
      <w:proofErr w:type="spellEnd"/>
      <w:r w:rsidRPr="00E42702">
        <w:rPr>
          <w:rFonts w:ascii="Arial" w:hAnsi="Arial" w:cs="Arial"/>
          <w:sz w:val="22"/>
        </w:rPr>
        <w:t xml:space="preserve"> by a central conflict. The last development level, integrity versus despair is normally introduced in late adulthood when people look </w:t>
      </w:r>
      <w:r w:rsidRPr="00E42702">
        <w:rPr>
          <w:rFonts w:ascii="Arial" w:hAnsi="Arial" w:cs="Arial"/>
          <w:sz w:val="22"/>
        </w:rPr>
        <w:lastRenderedPageBreak/>
        <w:t>back at the life they have lived. The outcome of achieving integrity is acceptance and wisdom; failure leads to regret and fear. According to Chen, Ho, Lo and Yeh (2021), the aspect of ego integrity among older people is linked to previous developmental lives and the ability to maintain relations. In the case of dementia, it is a complex process since individuals are not able to remember, but the emotional necessity to find a meaning persists. In care facilities, employees can refer to the model suggested by Erikson to help them guide the interventions that would help in reestablishing identity, including reminiscence activities, storytelling, or photo albums, allowing residents to rediscover past events and accomplishments. Odell-Miller et al. (2022) confirmed that music therapy signifi</w:t>
      </w:r>
      <w:r w:rsidR="00686D3C">
        <w:rPr>
          <w:rFonts w:ascii="Arial" w:hAnsi="Arial" w:cs="Arial"/>
          <w:sz w:val="22"/>
        </w:rPr>
        <w:t>cantly improved emotional connections and connect</w:t>
      </w:r>
      <w:r w:rsidRPr="00E42702">
        <w:rPr>
          <w:rFonts w:ascii="Arial" w:hAnsi="Arial" w:cs="Arial"/>
          <w:sz w:val="22"/>
        </w:rPr>
        <w:t xml:space="preserve">ion maintenance, with the </w:t>
      </w:r>
      <w:proofErr w:type="spellStart"/>
      <w:r w:rsidRPr="00E42702">
        <w:rPr>
          <w:rFonts w:ascii="Arial" w:hAnsi="Arial" w:cs="Arial"/>
          <w:sz w:val="22"/>
        </w:rPr>
        <w:t>HOMESIDE</w:t>
      </w:r>
      <w:proofErr w:type="spellEnd"/>
      <w:r w:rsidRPr="00E42702">
        <w:rPr>
          <w:rFonts w:ascii="Arial" w:hAnsi="Arial" w:cs="Arial"/>
          <w:sz w:val="22"/>
        </w:rPr>
        <w:t xml:space="preserve"> intervention (carers played music to elicit recognition and sense of belonging amongst individuals with dementia) demonstrating an increase in well-being and family relationships. Employees are also encouraged to develop empathy in Erickson approach since staffs are reminded that there is a person behind the </w:t>
      </w:r>
      <w:proofErr w:type="spellStart"/>
      <w:r w:rsidRPr="00E42702">
        <w:rPr>
          <w:rFonts w:ascii="Arial" w:hAnsi="Arial" w:cs="Arial"/>
          <w:sz w:val="22"/>
        </w:rPr>
        <w:t>behavioural</w:t>
      </w:r>
      <w:proofErr w:type="spellEnd"/>
      <w:r w:rsidRPr="00E42702">
        <w:rPr>
          <w:rFonts w:ascii="Arial" w:hAnsi="Arial" w:cs="Arial"/>
          <w:sz w:val="22"/>
        </w:rPr>
        <w:t xml:space="preserve"> symptoms, who is trying to make meaning in their lives. Promotion of life review or validation may ease the state of despair and aid in acceptance thus turning the routine process of care provision into an expressive relationship. However, the Erikson model presupposes a linear approach to development, which might not reflect the discontinuous and periodic experience of cognitive impairment. According to </w:t>
      </w:r>
      <w:proofErr w:type="spellStart"/>
      <w:r w:rsidRPr="00E42702">
        <w:rPr>
          <w:rFonts w:ascii="Arial" w:hAnsi="Arial" w:cs="Arial"/>
          <w:sz w:val="22"/>
        </w:rPr>
        <w:t>Timm</w:t>
      </w:r>
      <w:proofErr w:type="spellEnd"/>
      <w:r w:rsidRPr="00E42702">
        <w:rPr>
          <w:rFonts w:ascii="Arial" w:hAnsi="Arial" w:cs="Arial"/>
          <w:sz w:val="22"/>
        </w:rPr>
        <w:t xml:space="preserve">, Block, </w:t>
      </w:r>
      <w:proofErr w:type="spellStart"/>
      <w:r w:rsidRPr="00E42702">
        <w:rPr>
          <w:rFonts w:ascii="Arial" w:hAnsi="Arial" w:cs="Arial"/>
          <w:sz w:val="22"/>
        </w:rPr>
        <w:t>Boanca</w:t>
      </w:r>
      <w:proofErr w:type="spellEnd"/>
      <w:r w:rsidRPr="00E42702">
        <w:rPr>
          <w:rFonts w:ascii="Arial" w:hAnsi="Arial" w:cs="Arial"/>
          <w:sz w:val="22"/>
        </w:rPr>
        <w:t xml:space="preserve"> and </w:t>
      </w:r>
      <w:proofErr w:type="spellStart"/>
      <w:r w:rsidRPr="00E42702">
        <w:rPr>
          <w:rFonts w:ascii="Arial" w:hAnsi="Arial" w:cs="Arial"/>
          <w:sz w:val="22"/>
        </w:rPr>
        <w:t>Acquaye</w:t>
      </w:r>
      <w:proofErr w:type="spellEnd"/>
      <w:r w:rsidRPr="00E42702">
        <w:rPr>
          <w:rFonts w:ascii="Arial" w:hAnsi="Arial" w:cs="Arial"/>
          <w:sz w:val="22"/>
        </w:rPr>
        <w:t xml:space="preserve"> (2022), one can re-experience previous psychosocial conflicts throughout life, which object to the defined stages of the model. The significance of integrity is also affected by cultural differences (</w:t>
      </w:r>
      <w:proofErr w:type="spellStart"/>
      <w:r w:rsidRPr="00E42702">
        <w:rPr>
          <w:rFonts w:ascii="Arial" w:hAnsi="Arial" w:cs="Arial"/>
          <w:sz w:val="22"/>
        </w:rPr>
        <w:t>Khairani</w:t>
      </w:r>
      <w:proofErr w:type="spellEnd"/>
      <w:r w:rsidRPr="00E42702">
        <w:rPr>
          <w:rFonts w:ascii="Arial" w:hAnsi="Arial" w:cs="Arial"/>
          <w:sz w:val="22"/>
        </w:rPr>
        <w:t xml:space="preserve"> and </w:t>
      </w:r>
      <w:proofErr w:type="spellStart"/>
      <w:r w:rsidRPr="00E42702">
        <w:rPr>
          <w:rFonts w:ascii="Arial" w:hAnsi="Arial" w:cs="Arial"/>
          <w:sz w:val="22"/>
        </w:rPr>
        <w:t>Maemonah</w:t>
      </w:r>
      <w:proofErr w:type="spellEnd"/>
      <w:r w:rsidRPr="00E42702">
        <w:rPr>
          <w:rFonts w:ascii="Arial" w:hAnsi="Arial" w:cs="Arial"/>
          <w:sz w:val="22"/>
        </w:rPr>
        <w:t xml:space="preserve">, 2021). Nevertheless, these constraints do not render the Erikson framework insignificant with the modification, considering where necessary, to memory loss and applied to environmental design strategies such as those suggested by Wiener and </w:t>
      </w:r>
      <w:proofErr w:type="spellStart"/>
      <w:r w:rsidRPr="00E42702">
        <w:rPr>
          <w:rFonts w:ascii="Arial" w:hAnsi="Arial" w:cs="Arial"/>
          <w:sz w:val="22"/>
        </w:rPr>
        <w:t>Pazzaglia</w:t>
      </w:r>
      <w:proofErr w:type="spellEnd"/>
      <w:r w:rsidRPr="00E42702">
        <w:rPr>
          <w:rFonts w:ascii="Arial" w:hAnsi="Arial" w:cs="Arial"/>
          <w:sz w:val="22"/>
        </w:rPr>
        <w:t xml:space="preserve"> (2021), which </w:t>
      </w:r>
      <w:proofErr w:type="spellStart"/>
      <w:r w:rsidRPr="00E42702">
        <w:rPr>
          <w:rFonts w:ascii="Arial" w:hAnsi="Arial" w:cs="Arial"/>
          <w:sz w:val="22"/>
        </w:rPr>
        <w:t>favour</w:t>
      </w:r>
      <w:proofErr w:type="spellEnd"/>
      <w:r w:rsidRPr="00E42702">
        <w:rPr>
          <w:rFonts w:ascii="Arial" w:hAnsi="Arial" w:cs="Arial"/>
          <w:sz w:val="22"/>
        </w:rPr>
        <w:t xml:space="preserve"> emotional and environmental stability during dementia care.</w:t>
      </w:r>
    </w:p>
    <w:p w14:paraId="72AB5D42" w14:textId="77777777" w:rsidR="008078DA" w:rsidRPr="00E42702" w:rsidRDefault="008078DA" w:rsidP="006A41D2">
      <w:pPr>
        <w:pStyle w:val="Heading2"/>
        <w:rPr>
          <w:rFonts w:ascii="Arial" w:hAnsi="Arial" w:cs="Arial"/>
          <w:sz w:val="22"/>
          <w:szCs w:val="22"/>
        </w:rPr>
      </w:pPr>
      <w:bookmarkStart w:id="3" w:name="_Toc212761313"/>
      <w:r w:rsidRPr="00E42702">
        <w:rPr>
          <w:rFonts w:ascii="Arial" w:hAnsi="Arial" w:cs="Arial"/>
          <w:sz w:val="22"/>
          <w:szCs w:val="22"/>
        </w:rPr>
        <w:t>Maslow’s Hierarchy of Needs</w:t>
      </w:r>
      <w:bookmarkEnd w:id="3"/>
    </w:p>
    <w:p w14:paraId="33259654" w14:textId="77777777" w:rsidR="008078DA" w:rsidRPr="00E42702" w:rsidRDefault="00203AE7" w:rsidP="006A41D2">
      <w:pPr>
        <w:rPr>
          <w:rFonts w:ascii="Arial" w:hAnsi="Arial" w:cs="Arial"/>
          <w:sz w:val="22"/>
        </w:rPr>
      </w:pPr>
      <w:r w:rsidRPr="00E42702">
        <w:rPr>
          <w:rFonts w:ascii="Arial" w:hAnsi="Arial" w:cs="Arial"/>
          <w:sz w:val="22"/>
        </w:rPr>
        <w:t xml:space="preserve">The Hierarchy of Needs presents the motivation of human beings as a series of needs or levels: physiological, safety, belonging, esteem, and </w:t>
      </w:r>
      <w:proofErr w:type="spellStart"/>
      <w:r w:rsidRPr="00E42702">
        <w:rPr>
          <w:rFonts w:ascii="Arial" w:hAnsi="Arial" w:cs="Arial"/>
          <w:sz w:val="22"/>
        </w:rPr>
        <w:t>self-actualisation</w:t>
      </w:r>
      <w:proofErr w:type="spellEnd"/>
      <w:r w:rsidRPr="00E42702">
        <w:rPr>
          <w:rFonts w:ascii="Arial" w:hAnsi="Arial" w:cs="Arial"/>
          <w:sz w:val="22"/>
        </w:rPr>
        <w:t xml:space="preserve">. Despite being general, the theory can explain personalities and actions of older adults in care facilities. </w:t>
      </w:r>
      <w:proofErr w:type="spellStart"/>
      <w:r w:rsidRPr="00E42702">
        <w:rPr>
          <w:rFonts w:ascii="Arial" w:hAnsi="Arial" w:cs="Arial"/>
          <w:sz w:val="22"/>
        </w:rPr>
        <w:t>Carmers</w:t>
      </w:r>
      <w:proofErr w:type="spellEnd"/>
      <w:r w:rsidRPr="00E42702">
        <w:rPr>
          <w:rFonts w:ascii="Arial" w:hAnsi="Arial" w:cs="Arial"/>
          <w:sz w:val="22"/>
        </w:rPr>
        <w:t xml:space="preserve"> at the bottom of the hierarchy are required to provide safe nutrition, hygiene, medicine, and protection against injury; these are the physical needs that form the foundation of psychological health. In addition to this, emotional needs such as love and belonging come to the fore. Akhter-Khan et al. (2023) state that the lack of expectations of </w:t>
      </w:r>
      <w:r w:rsidRPr="00E42702">
        <w:rPr>
          <w:rFonts w:ascii="Arial" w:hAnsi="Arial" w:cs="Arial"/>
          <w:sz w:val="22"/>
        </w:rPr>
        <w:lastRenderedPageBreak/>
        <w:t xml:space="preserve">closeness and reciprocity is the cause of the suffering of many older adults. Using the Maslow theory, care teams are able to promote belonging by engaging in-group activities, having meaningful conversation, and valuing individuality. Respect grows when employees learn residents make contributions and choices, hence encouraging pride and belonging. Higher needs may also be fulfilled through technological innovation; according to Carroll, Hopper, Farrelly, Lombard-Vance, </w:t>
      </w:r>
      <w:proofErr w:type="spellStart"/>
      <w:r w:rsidRPr="00E42702">
        <w:rPr>
          <w:rFonts w:ascii="Arial" w:hAnsi="Arial" w:cs="Arial"/>
          <w:sz w:val="22"/>
        </w:rPr>
        <w:t>Bamidis</w:t>
      </w:r>
      <w:proofErr w:type="spellEnd"/>
      <w:r w:rsidRPr="00E42702">
        <w:rPr>
          <w:rFonts w:ascii="Arial" w:hAnsi="Arial" w:cs="Arial"/>
          <w:sz w:val="22"/>
        </w:rPr>
        <w:t xml:space="preserve"> and </w:t>
      </w:r>
      <w:proofErr w:type="spellStart"/>
      <w:r w:rsidRPr="00E42702">
        <w:rPr>
          <w:rFonts w:ascii="Arial" w:hAnsi="Arial" w:cs="Arial"/>
          <w:sz w:val="22"/>
        </w:rPr>
        <w:t>Konstantinidis</w:t>
      </w:r>
      <w:proofErr w:type="spellEnd"/>
      <w:r w:rsidRPr="00E42702">
        <w:rPr>
          <w:rFonts w:ascii="Arial" w:hAnsi="Arial" w:cs="Arial"/>
          <w:sz w:val="22"/>
        </w:rPr>
        <w:t xml:space="preserve"> (2021), the virtual reality activity elicited engagement in older adults and thus cognitive stimulation. According to the report by Schroeder, Dodds, </w:t>
      </w:r>
      <w:proofErr w:type="spellStart"/>
      <w:r w:rsidRPr="00E42702">
        <w:rPr>
          <w:rFonts w:ascii="Arial" w:hAnsi="Arial" w:cs="Arial"/>
          <w:sz w:val="22"/>
        </w:rPr>
        <w:t>Georgiou</w:t>
      </w:r>
      <w:proofErr w:type="spellEnd"/>
      <w:r w:rsidRPr="00E42702">
        <w:rPr>
          <w:rFonts w:ascii="Arial" w:hAnsi="Arial" w:cs="Arial"/>
          <w:sz w:val="22"/>
        </w:rPr>
        <w:t xml:space="preserve">, </w:t>
      </w:r>
      <w:proofErr w:type="spellStart"/>
      <w:r w:rsidRPr="00E42702">
        <w:rPr>
          <w:rFonts w:ascii="Arial" w:hAnsi="Arial" w:cs="Arial"/>
          <w:sz w:val="22"/>
        </w:rPr>
        <w:t>Gewald</w:t>
      </w:r>
      <w:proofErr w:type="spellEnd"/>
      <w:r w:rsidRPr="00E42702">
        <w:rPr>
          <w:rFonts w:ascii="Arial" w:hAnsi="Arial" w:cs="Arial"/>
          <w:sz w:val="22"/>
        </w:rPr>
        <w:t xml:space="preserve"> and </w:t>
      </w:r>
      <w:proofErr w:type="spellStart"/>
      <w:r w:rsidRPr="00E42702">
        <w:rPr>
          <w:rFonts w:ascii="Arial" w:hAnsi="Arial" w:cs="Arial"/>
          <w:sz w:val="22"/>
        </w:rPr>
        <w:t>Siette</w:t>
      </w:r>
      <w:proofErr w:type="spellEnd"/>
      <w:r w:rsidRPr="00E42702">
        <w:rPr>
          <w:rFonts w:ascii="Arial" w:hAnsi="Arial" w:cs="Arial"/>
          <w:sz w:val="22"/>
        </w:rPr>
        <w:t xml:space="preserve"> (2023), adaptive digital tools do support autonomy in case it is modified to meet the needs of older users. These strategies correlate with the higher stages of the Maslow model, where people seek respect and </w:t>
      </w:r>
      <w:proofErr w:type="spellStart"/>
      <w:r w:rsidRPr="00E42702">
        <w:rPr>
          <w:rFonts w:ascii="Arial" w:hAnsi="Arial" w:cs="Arial"/>
          <w:sz w:val="22"/>
        </w:rPr>
        <w:t>self-realisation</w:t>
      </w:r>
      <w:proofErr w:type="spellEnd"/>
      <w:r w:rsidRPr="00E42702">
        <w:rPr>
          <w:rFonts w:ascii="Arial" w:hAnsi="Arial" w:cs="Arial"/>
          <w:sz w:val="22"/>
        </w:rPr>
        <w:t xml:space="preserve"> by experimentation and association. Despite this usefulness, </w:t>
      </w:r>
      <w:proofErr w:type="spellStart"/>
      <w:r w:rsidRPr="00E42702">
        <w:rPr>
          <w:rFonts w:ascii="Arial" w:hAnsi="Arial" w:cs="Arial"/>
          <w:sz w:val="22"/>
        </w:rPr>
        <w:t>Maslows</w:t>
      </w:r>
      <w:proofErr w:type="spellEnd"/>
      <w:r w:rsidRPr="00E42702">
        <w:rPr>
          <w:rFonts w:ascii="Arial" w:hAnsi="Arial" w:cs="Arial"/>
          <w:sz w:val="22"/>
        </w:rPr>
        <w:t xml:space="preserve"> model has been </w:t>
      </w:r>
      <w:proofErr w:type="spellStart"/>
      <w:r w:rsidRPr="00E42702">
        <w:rPr>
          <w:rFonts w:ascii="Arial" w:hAnsi="Arial" w:cs="Arial"/>
          <w:sz w:val="22"/>
        </w:rPr>
        <w:t>criticised</w:t>
      </w:r>
      <w:proofErr w:type="spellEnd"/>
      <w:r w:rsidRPr="00E42702">
        <w:rPr>
          <w:rFonts w:ascii="Arial" w:hAnsi="Arial" w:cs="Arial"/>
          <w:sz w:val="22"/>
        </w:rPr>
        <w:t xml:space="preserve"> by some as an </w:t>
      </w:r>
      <w:proofErr w:type="spellStart"/>
      <w:r w:rsidRPr="00E42702">
        <w:rPr>
          <w:rFonts w:ascii="Arial" w:hAnsi="Arial" w:cs="Arial"/>
          <w:sz w:val="22"/>
        </w:rPr>
        <w:t>oversimplistic</w:t>
      </w:r>
      <w:proofErr w:type="spellEnd"/>
      <w:r w:rsidRPr="00E42702">
        <w:rPr>
          <w:rFonts w:ascii="Arial" w:hAnsi="Arial" w:cs="Arial"/>
          <w:sz w:val="22"/>
        </w:rPr>
        <w:t xml:space="preserve"> approach to human motivation. Shi and Lin, (2021) point out that needs are not necessarily strictly hierarchic; creative and spiritual fulfilment can take place even in the face of physical difficulty. Moments of meaning may be present for residents living with dementia, through either art, music, or faith; </w:t>
      </w:r>
      <w:proofErr w:type="spellStart"/>
      <w:r w:rsidRPr="00E42702">
        <w:rPr>
          <w:rFonts w:ascii="Arial" w:hAnsi="Arial" w:cs="Arial"/>
          <w:sz w:val="22"/>
        </w:rPr>
        <w:t>Rodriguez-Gnos</w:t>
      </w:r>
      <w:proofErr w:type="spellEnd"/>
      <w:r w:rsidRPr="00E42702">
        <w:rPr>
          <w:rFonts w:ascii="Arial" w:hAnsi="Arial" w:cs="Arial"/>
          <w:sz w:val="22"/>
        </w:rPr>
        <w:t xml:space="preserve"> (2024) showed that individuals who went through trauma still could find meaning despite suffering. However, the hierarchical of Maslow guides the carers in their approach to the entire individual </w:t>
      </w:r>
      <w:proofErr w:type="spellStart"/>
      <w:r w:rsidRPr="00E42702">
        <w:rPr>
          <w:rFonts w:ascii="Arial" w:hAnsi="Arial" w:cs="Arial"/>
          <w:sz w:val="22"/>
        </w:rPr>
        <w:t>emphasising</w:t>
      </w:r>
      <w:proofErr w:type="spellEnd"/>
      <w:r w:rsidRPr="00E42702">
        <w:rPr>
          <w:rFonts w:ascii="Arial" w:hAnsi="Arial" w:cs="Arial"/>
          <w:sz w:val="22"/>
        </w:rPr>
        <w:t xml:space="preserve"> the significance of emotional comfort in addition to physical safety. Perez, </w:t>
      </w:r>
      <w:proofErr w:type="spellStart"/>
      <w:r w:rsidRPr="00E42702">
        <w:rPr>
          <w:rFonts w:ascii="Arial" w:hAnsi="Arial" w:cs="Arial"/>
          <w:sz w:val="22"/>
        </w:rPr>
        <w:t>Menendez-Crispin</w:t>
      </w:r>
      <w:proofErr w:type="spellEnd"/>
      <w:r w:rsidRPr="00E42702">
        <w:rPr>
          <w:rFonts w:ascii="Arial" w:hAnsi="Arial" w:cs="Arial"/>
          <w:sz w:val="22"/>
        </w:rPr>
        <w:t xml:space="preserve">, </w:t>
      </w:r>
      <w:proofErr w:type="spellStart"/>
      <w:r w:rsidRPr="00E42702">
        <w:rPr>
          <w:rFonts w:ascii="Arial" w:hAnsi="Arial" w:cs="Arial"/>
          <w:sz w:val="22"/>
        </w:rPr>
        <w:t>Sarabia-Cobo</w:t>
      </w:r>
      <w:proofErr w:type="spellEnd"/>
      <w:r w:rsidRPr="00E42702">
        <w:rPr>
          <w:rFonts w:ascii="Arial" w:hAnsi="Arial" w:cs="Arial"/>
          <w:sz w:val="22"/>
        </w:rPr>
        <w:t xml:space="preserve">, de Lorena, Fernandez-Rodriguez and Gonzalez-Vaca (2022) observed that mindfulness </w:t>
      </w:r>
      <w:proofErr w:type="spellStart"/>
      <w:r w:rsidRPr="00E42702">
        <w:rPr>
          <w:rFonts w:ascii="Arial" w:hAnsi="Arial" w:cs="Arial"/>
          <w:sz w:val="22"/>
        </w:rPr>
        <w:t>programmes</w:t>
      </w:r>
      <w:proofErr w:type="spellEnd"/>
      <w:r w:rsidRPr="00E42702">
        <w:rPr>
          <w:rFonts w:ascii="Arial" w:hAnsi="Arial" w:cs="Arial"/>
          <w:sz w:val="22"/>
        </w:rPr>
        <w:t xml:space="preserve"> led to a more positive presence of caregivers, which ultimately resulted in a better quality of life of residents because caregiver burnout was </w:t>
      </w:r>
      <w:proofErr w:type="spellStart"/>
      <w:r w:rsidRPr="00E42702">
        <w:rPr>
          <w:rFonts w:ascii="Arial" w:hAnsi="Arial" w:cs="Arial"/>
          <w:sz w:val="22"/>
        </w:rPr>
        <w:t>minimised</w:t>
      </w:r>
      <w:proofErr w:type="spellEnd"/>
      <w:r w:rsidRPr="00E42702">
        <w:rPr>
          <w:rFonts w:ascii="Arial" w:hAnsi="Arial" w:cs="Arial"/>
          <w:sz w:val="22"/>
        </w:rPr>
        <w:t xml:space="preserve"> and compassion increased.</w:t>
      </w:r>
    </w:p>
    <w:p w14:paraId="4404D6D4" w14:textId="77777777" w:rsidR="008078DA" w:rsidRPr="00E42702" w:rsidRDefault="008078DA" w:rsidP="006A41D2">
      <w:pPr>
        <w:pStyle w:val="Heading2"/>
        <w:rPr>
          <w:rFonts w:ascii="Arial" w:hAnsi="Arial" w:cs="Arial"/>
          <w:sz w:val="22"/>
          <w:szCs w:val="22"/>
        </w:rPr>
      </w:pPr>
      <w:bookmarkStart w:id="4" w:name="_Toc212761314"/>
      <w:r w:rsidRPr="00E42702">
        <w:rPr>
          <w:rFonts w:ascii="Arial" w:hAnsi="Arial" w:cs="Arial"/>
          <w:sz w:val="22"/>
          <w:szCs w:val="22"/>
        </w:rPr>
        <w:t>Practical Implications and Professional Challenges</w:t>
      </w:r>
      <w:bookmarkEnd w:id="4"/>
    </w:p>
    <w:p w14:paraId="08B25358" w14:textId="77777777" w:rsidR="008078DA" w:rsidRPr="00E42702" w:rsidRDefault="00987EC2" w:rsidP="006A41D2">
      <w:pPr>
        <w:rPr>
          <w:rFonts w:ascii="Arial" w:hAnsi="Arial" w:cs="Arial"/>
          <w:sz w:val="22"/>
        </w:rPr>
      </w:pPr>
      <w:r w:rsidRPr="00E42702">
        <w:rPr>
          <w:rFonts w:ascii="Arial" w:hAnsi="Arial" w:cs="Arial"/>
          <w:sz w:val="22"/>
        </w:rPr>
        <w:t xml:space="preserve">Psychological theory application empowers the carers to make sense out of the </w:t>
      </w:r>
      <w:proofErr w:type="spellStart"/>
      <w:r w:rsidRPr="00E42702">
        <w:rPr>
          <w:rFonts w:ascii="Arial" w:hAnsi="Arial" w:cs="Arial"/>
          <w:sz w:val="22"/>
        </w:rPr>
        <w:t>behaviour</w:t>
      </w:r>
      <w:proofErr w:type="spellEnd"/>
      <w:r w:rsidRPr="00E42702">
        <w:rPr>
          <w:rFonts w:ascii="Arial" w:hAnsi="Arial" w:cs="Arial"/>
          <w:sz w:val="22"/>
        </w:rPr>
        <w:t xml:space="preserve"> instead of reacting to it. The model by Erikson helps to reflect on life and validate emotions, whereas the model by Maslow helps to make sure that every day routine meets the requirements of the physical and psychological processes of the person, all of which support a </w:t>
      </w:r>
      <w:proofErr w:type="spellStart"/>
      <w:r w:rsidRPr="00E42702">
        <w:rPr>
          <w:rFonts w:ascii="Arial" w:hAnsi="Arial" w:cs="Arial"/>
          <w:sz w:val="22"/>
        </w:rPr>
        <w:t>person-centred</w:t>
      </w:r>
      <w:proofErr w:type="spellEnd"/>
      <w:r w:rsidRPr="00E42702">
        <w:rPr>
          <w:rFonts w:ascii="Arial" w:hAnsi="Arial" w:cs="Arial"/>
          <w:sz w:val="22"/>
        </w:rPr>
        <w:t xml:space="preserve"> approach based on the concept of empathy. Practically, reminiscence work, music therapy, and sensory experiences assist the residents to retain self-awareness and continuity, friendly interaction, recognition, and choice bring reverence and inclusion. According to Wiener and </w:t>
      </w:r>
      <w:proofErr w:type="spellStart"/>
      <w:r w:rsidRPr="00E42702">
        <w:rPr>
          <w:rFonts w:ascii="Arial" w:hAnsi="Arial" w:cs="Arial"/>
          <w:sz w:val="22"/>
        </w:rPr>
        <w:t>Pazzaglia</w:t>
      </w:r>
      <w:proofErr w:type="spellEnd"/>
      <w:r w:rsidRPr="00E42702">
        <w:rPr>
          <w:rFonts w:ascii="Arial" w:hAnsi="Arial" w:cs="Arial"/>
          <w:sz w:val="22"/>
        </w:rPr>
        <w:t xml:space="preserve"> (2021), environmental adaptation is discussed as improving orientation and independence. However, there are still real-world issues. Opportunities to engage on an individual basis are limited by time pressures, insufficient </w:t>
      </w:r>
      <w:r w:rsidRPr="00E42702">
        <w:rPr>
          <w:rFonts w:ascii="Arial" w:hAnsi="Arial" w:cs="Arial"/>
          <w:sz w:val="22"/>
        </w:rPr>
        <w:lastRenderedPageBreak/>
        <w:t xml:space="preserve">staffing and inadequate training. </w:t>
      </w:r>
      <w:proofErr w:type="spellStart"/>
      <w:r w:rsidRPr="00E42702">
        <w:rPr>
          <w:rFonts w:ascii="Arial" w:hAnsi="Arial" w:cs="Arial"/>
          <w:sz w:val="22"/>
        </w:rPr>
        <w:t>Kulak</w:t>
      </w:r>
      <w:r w:rsidRPr="00E42702">
        <w:rPr>
          <w:rFonts w:ascii="Cambria Math" w:hAnsi="Cambria Math" w:cs="Cambria Math"/>
          <w:sz w:val="22"/>
        </w:rPr>
        <w:t>‑</w:t>
      </w:r>
      <w:r w:rsidRPr="00E42702">
        <w:rPr>
          <w:rFonts w:ascii="Arial" w:hAnsi="Arial" w:cs="Arial"/>
          <w:sz w:val="22"/>
        </w:rPr>
        <w:t>Bejda</w:t>
      </w:r>
      <w:proofErr w:type="spellEnd"/>
      <w:r w:rsidRPr="00E42702">
        <w:rPr>
          <w:rFonts w:ascii="Arial" w:hAnsi="Arial" w:cs="Arial"/>
          <w:sz w:val="22"/>
        </w:rPr>
        <w:t xml:space="preserve">, </w:t>
      </w:r>
      <w:proofErr w:type="spellStart"/>
      <w:r w:rsidRPr="00E42702">
        <w:rPr>
          <w:rFonts w:ascii="Arial" w:hAnsi="Arial" w:cs="Arial"/>
          <w:sz w:val="22"/>
        </w:rPr>
        <w:t>Bejda</w:t>
      </w:r>
      <w:proofErr w:type="spellEnd"/>
      <w:r w:rsidRPr="00E42702">
        <w:rPr>
          <w:rFonts w:ascii="Arial" w:hAnsi="Arial" w:cs="Arial"/>
          <w:sz w:val="22"/>
        </w:rPr>
        <w:t xml:space="preserve"> and </w:t>
      </w:r>
      <w:proofErr w:type="spellStart"/>
      <w:r w:rsidRPr="00E42702">
        <w:rPr>
          <w:rFonts w:ascii="Arial" w:hAnsi="Arial" w:cs="Arial"/>
          <w:sz w:val="22"/>
        </w:rPr>
        <w:t>Waszkiewicz</w:t>
      </w:r>
      <w:proofErr w:type="spellEnd"/>
      <w:r w:rsidRPr="00E42702">
        <w:rPr>
          <w:rFonts w:ascii="Arial" w:hAnsi="Arial" w:cs="Arial"/>
          <w:sz w:val="22"/>
        </w:rPr>
        <w:t xml:space="preserve"> (2021) cautioned that mental deaths and impaired thinking predispose the elderly to depression and suicidal tendencies, thus the importance of monitoring emotional care. A balance between safety and autonomy is hard to reach in the institutional care environment.</w:t>
      </w:r>
    </w:p>
    <w:p w14:paraId="3C33FFA8" w14:textId="77777777" w:rsidR="008078DA" w:rsidRPr="00E42702" w:rsidRDefault="00BB1C66" w:rsidP="006A41D2">
      <w:pPr>
        <w:rPr>
          <w:rFonts w:ascii="Arial" w:hAnsi="Arial" w:cs="Arial"/>
          <w:sz w:val="22"/>
        </w:rPr>
      </w:pPr>
      <w:r w:rsidRPr="00E42702">
        <w:rPr>
          <w:rFonts w:ascii="Arial" w:hAnsi="Arial" w:cs="Arial"/>
          <w:sz w:val="22"/>
        </w:rPr>
        <w:t xml:space="preserve">The enhancement of the results in the work with older adults requires a complex strategy that incorporates multidisciplinary collaboration, continuous professional development, and reflections. Employees should be encouraged to discuss </w:t>
      </w:r>
      <w:proofErr w:type="spellStart"/>
      <w:r w:rsidRPr="00E42702">
        <w:rPr>
          <w:rFonts w:ascii="Arial" w:hAnsi="Arial" w:cs="Arial"/>
          <w:sz w:val="22"/>
        </w:rPr>
        <w:t>behaviour</w:t>
      </w:r>
      <w:proofErr w:type="spellEnd"/>
      <w:r w:rsidRPr="00E42702">
        <w:rPr>
          <w:rFonts w:ascii="Arial" w:hAnsi="Arial" w:cs="Arial"/>
          <w:sz w:val="22"/>
        </w:rPr>
        <w:t xml:space="preserve"> in the realms of theory, and hence develop an understanding rather than a feeling of frustration. The </w:t>
      </w:r>
      <w:proofErr w:type="spellStart"/>
      <w:r w:rsidRPr="00E42702">
        <w:rPr>
          <w:rFonts w:ascii="Arial" w:hAnsi="Arial" w:cs="Arial"/>
          <w:sz w:val="22"/>
        </w:rPr>
        <w:t>practise</w:t>
      </w:r>
      <w:proofErr w:type="spellEnd"/>
      <w:r w:rsidRPr="00E42702">
        <w:rPr>
          <w:rFonts w:ascii="Arial" w:hAnsi="Arial" w:cs="Arial"/>
          <w:sz w:val="22"/>
        </w:rPr>
        <w:t xml:space="preserve"> of empathy and the alleviation of burnout may be supported by frequent supervision and specific training on dementia psychology. Psychosocial stages theories developed by Erikson and hierarchy of needs theories provided by Maslow remind carers that every interaction can either strengthen or degrade the self-concept of the resident.</w:t>
      </w:r>
    </w:p>
    <w:p w14:paraId="31E39BB6" w14:textId="77777777" w:rsidR="008078DA" w:rsidRPr="00E42702" w:rsidRDefault="008078DA" w:rsidP="006A41D2">
      <w:pPr>
        <w:pStyle w:val="Heading1"/>
        <w:rPr>
          <w:rFonts w:ascii="Arial" w:hAnsi="Arial" w:cs="Arial"/>
          <w:sz w:val="22"/>
          <w:szCs w:val="22"/>
        </w:rPr>
      </w:pPr>
      <w:bookmarkStart w:id="5" w:name="_Toc212761315"/>
      <w:r w:rsidRPr="00E42702">
        <w:rPr>
          <w:rFonts w:ascii="Arial" w:hAnsi="Arial" w:cs="Arial"/>
          <w:sz w:val="22"/>
          <w:szCs w:val="22"/>
        </w:rPr>
        <w:t>Conclusion</w:t>
      </w:r>
      <w:bookmarkEnd w:id="5"/>
    </w:p>
    <w:p w14:paraId="03D95A21" w14:textId="77777777" w:rsidR="00FE5CD1" w:rsidRPr="00E42702" w:rsidRDefault="00A10103" w:rsidP="006A41D2">
      <w:pPr>
        <w:rPr>
          <w:rFonts w:ascii="Arial" w:hAnsi="Arial" w:cs="Arial"/>
          <w:sz w:val="22"/>
        </w:rPr>
      </w:pPr>
      <w:r w:rsidRPr="00E42702">
        <w:rPr>
          <w:rFonts w:ascii="Arial" w:hAnsi="Arial" w:cs="Arial"/>
          <w:sz w:val="22"/>
        </w:rPr>
        <w:t>The psychological theories provide essential direction in the support of elderly people with dementia. Erikson in his Psychosocial Theory explains the insatiable search of meaning and integrity in old age, and Maslow in his hierarchy of needs focuses on the motivational, belonging, and esteem levels without which a human cannot live. Thoughtfully incorporated into the dementia care, these paradigms may promulgate emotional insight and dignity of a human being. Health and social care professionals can foster circumstances whereby older people feel safe, cherished, and connected through reminiscent, purposeful, as well as compassionate environments. A sensitive harmony between the welfare of the resident and the carers means that emotional and practical aspects of the care are balanced. Using psychological theory, everyday care is enhanced into a caring and respectful approach, thus, allowing people with dementia to live comfortably and positively in their later years.</w:t>
      </w:r>
      <w:r w:rsidR="00FE5CD1" w:rsidRPr="00E42702">
        <w:rPr>
          <w:rFonts w:ascii="Arial" w:hAnsi="Arial" w:cs="Arial"/>
          <w:sz w:val="22"/>
        </w:rPr>
        <w:br w:type="page"/>
      </w:r>
    </w:p>
    <w:p w14:paraId="446362A1" w14:textId="77777777" w:rsidR="00FE5CD1" w:rsidRPr="00E42702" w:rsidRDefault="00FE5CD1" w:rsidP="006A41D2">
      <w:pPr>
        <w:pStyle w:val="Heading1"/>
        <w:rPr>
          <w:rFonts w:ascii="Arial" w:hAnsi="Arial" w:cs="Arial"/>
          <w:sz w:val="22"/>
          <w:szCs w:val="22"/>
        </w:rPr>
      </w:pPr>
      <w:bookmarkStart w:id="6" w:name="_Toc212761316"/>
      <w:r w:rsidRPr="00E42702">
        <w:rPr>
          <w:rFonts w:ascii="Arial" w:hAnsi="Arial" w:cs="Arial"/>
          <w:sz w:val="22"/>
          <w:szCs w:val="22"/>
        </w:rPr>
        <w:lastRenderedPageBreak/>
        <w:t>References</w:t>
      </w:r>
      <w:bookmarkEnd w:id="6"/>
    </w:p>
    <w:p w14:paraId="33CB8EA2" w14:textId="77777777" w:rsidR="00FE5CD1" w:rsidRPr="00E42702" w:rsidRDefault="00576F88" w:rsidP="006A41D2">
      <w:pPr>
        <w:ind w:left="1008" w:hanging="720"/>
        <w:rPr>
          <w:rFonts w:ascii="Arial" w:hAnsi="Arial" w:cs="Arial"/>
          <w:sz w:val="22"/>
        </w:rPr>
      </w:pPr>
      <w:proofErr w:type="spellStart"/>
      <w:r w:rsidRPr="00E42702">
        <w:rPr>
          <w:rFonts w:ascii="Arial" w:hAnsi="Arial" w:cs="Arial"/>
          <w:sz w:val="22"/>
        </w:rPr>
        <w:t>Newbould</w:t>
      </w:r>
      <w:proofErr w:type="spellEnd"/>
      <w:r w:rsidRPr="00E42702">
        <w:rPr>
          <w:rFonts w:ascii="Arial" w:hAnsi="Arial" w:cs="Arial"/>
          <w:sz w:val="22"/>
        </w:rPr>
        <w:t>, L., Tucker, S. and Wilberforce, M., 2022. Enabling older people with mental health needs to engage with community social care: A scoping review to inform a theory of change. </w:t>
      </w:r>
      <w:r w:rsidRPr="00E42702">
        <w:rPr>
          <w:rFonts w:ascii="Arial" w:hAnsi="Arial" w:cs="Arial"/>
          <w:i/>
          <w:iCs/>
          <w:sz w:val="22"/>
        </w:rPr>
        <w:t>Health &amp; Social Care in the Community</w:t>
      </w:r>
      <w:r w:rsidRPr="00E42702">
        <w:rPr>
          <w:rFonts w:ascii="Arial" w:hAnsi="Arial" w:cs="Arial"/>
          <w:sz w:val="22"/>
        </w:rPr>
        <w:t>, </w:t>
      </w:r>
      <w:r w:rsidRPr="00E42702">
        <w:rPr>
          <w:rFonts w:ascii="Arial" w:hAnsi="Arial" w:cs="Arial"/>
          <w:i/>
          <w:iCs/>
          <w:sz w:val="22"/>
        </w:rPr>
        <w:t>30</w:t>
      </w:r>
      <w:r w:rsidRPr="00E42702">
        <w:rPr>
          <w:rFonts w:ascii="Arial" w:hAnsi="Arial" w:cs="Arial"/>
          <w:sz w:val="22"/>
        </w:rPr>
        <w:t>(4), pp.1286-1306.</w:t>
      </w:r>
    </w:p>
    <w:p w14:paraId="232BB605" w14:textId="77777777" w:rsidR="00576F88" w:rsidRPr="00E42702" w:rsidRDefault="00576F88" w:rsidP="006A41D2">
      <w:pPr>
        <w:ind w:left="1008" w:hanging="720"/>
        <w:rPr>
          <w:rFonts w:ascii="Arial" w:hAnsi="Arial" w:cs="Arial"/>
          <w:sz w:val="22"/>
        </w:rPr>
      </w:pPr>
      <w:r w:rsidRPr="00E42702">
        <w:rPr>
          <w:rFonts w:ascii="Arial" w:hAnsi="Arial" w:cs="Arial"/>
          <w:sz w:val="22"/>
        </w:rPr>
        <w:t xml:space="preserve">Wiener, J.M. and </w:t>
      </w:r>
      <w:proofErr w:type="spellStart"/>
      <w:r w:rsidRPr="00E42702">
        <w:rPr>
          <w:rFonts w:ascii="Arial" w:hAnsi="Arial" w:cs="Arial"/>
          <w:sz w:val="22"/>
        </w:rPr>
        <w:t>Pazzaglia</w:t>
      </w:r>
      <w:proofErr w:type="spellEnd"/>
      <w:r w:rsidRPr="00E42702">
        <w:rPr>
          <w:rFonts w:ascii="Arial" w:hAnsi="Arial" w:cs="Arial"/>
          <w:sz w:val="22"/>
        </w:rPr>
        <w:t xml:space="preserve">, F., 2021. Ageing-and dementia-friendly design: theory and evidence from cognitive psychology, neuropsychology and environmental psychology can contribute to design guidelines that </w:t>
      </w:r>
      <w:proofErr w:type="spellStart"/>
      <w:r w:rsidRPr="00E42702">
        <w:rPr>
          <w:rFonts w:ascii="Arial" w:hAnsi="Arial" w:cs="Arial"/>
          <w:sz w:val="22"/>
        </w:rPr>
        <w:t>minimise</w:t>
      </w:r>
      <w:proofErr w:type="spellEnd"/>
      <w:r w:rsidRPr="00E42702">
        <w:rPr>
          <w:rFonts w:ascii="Arial" w:hAnsi="Arial" w:cs="Arial"/>
          <w:sz w:val="22"/>
        </w:rPr>
        <w:t xml:space="preserve"> spatial disorientation. </w:t>
      </w:r>
      <w:r w:rsidRPr="00E42702">
        <w:rPr>
          <w:rFonts w:ascii="Arial" w:hAnsi="Arial" w:cs="Arial"/>
          <w:i/>
          <w:iCs/>
          <w:sz w:val="22"/>
        </w:rPr>
        <w:t>Cognitive processing</w:t>
      </w:r>
      <w:r w:rsidRPr="00E42702">
        <w:rPr>
          <w:rFonts w:ascii="Arial" w:hAnsi="Arial" w:cs="Arial"/>
          <w:sz w:val="22"/>
        </w:rPr>
        <w:t>, </w:t>
      </w:r>
      <w:r w:rsidRPr="00E42702">
        <w:rPr>
          <w:rFonts w:ascii="Arial" w:hAnsi="Arial" w:cs="Arial"/>
          <w:i/>
          <w:iCs/>
          <w:sz w:val="22"/>
        </w:rPr>
        <w:t>22</w:t>
      </w:r>
      <w:r w:rsidRPr="00E42702">
        <w:rPr>
          <w:rFonts w:ascii="Arial" w:hAnsi="Arial" w:cs="Arial"/>
          <w:sz w:val="22"/>
        </w:rPr>
        <w:t>(4), pp.715-730.</w:t>
      </w:r>
    </w:p>
    <w:p w14:paraId="5EF29723" w14:textId="77777777" w:rsidR="00576F88" w:rsidRPr="00E42702" w:rsidRDefault="00576F88" w:rsidP="006A41D2">
      <w:pPr>
        <w:ind w:left="1008" w:hanging="720"/>
        <w:rPr>
          <w:rFonts w:ascii="Arial" w:hAnsi="Arial" w:cs="Arial"/>
          <w:sz w:val="22"/>
        </w:rPr>
      </w:pPr>
      <w:r w:rsidRPr="00E42702">
        <w:rPr>
          <w:rFonts w:ascii="Arial" w:hAnsi="Arial" w:cs="Arial"/>
          <w:sz w:val="22"/>
        </w:rPr>
        <w:t xml:space="preserve">Schroeder, T., Dodds, L., Georgiou, A., </w:t>
      </w:r>
      <w:proofErr w:type="spellStart"/>
      <w:r w:rsidRPr="00E42702">
        <w:rPr>
          <w:rFonts w:ascii="Arial" w:hAnsi="Arial" w:cs="Arial"/>
          <w:sz w:val="22"/>
        </w:rPr>
        <w:t>Gewald</w:t>
      </w:r>
      <w:proofErr w:type="spellEnd"/>
      <w:r w:rsidRPr="00E42702">
        <w:rPr>
          <w:rFonts w:ascii="Arial" w:hAnsi="Arial" w:cs="Arial"/>
          <w:sz w:val="22"/>
        </w:rPr>
        <w:t xml:space="preserve">, H. and </w:t>
      </w:r>
      <w:proofErr w:type="spellStart"/>
      <w:r w:rsidRPr="00E42702">
        <w:rPr>
          <w:rFonts w:ascii="Arial" w:hAnsi="Arial" w:cs="Arial"/>
          <w:sz w:val="22"/>
        </w:rPr>
        <w:t>Siette</w:t>
      </w:r>
      <w:proofErr w:type="spellEnd"/>
      <w:r w:rsidRPr="00E42702">
        <w:rPr>
          <w:rFonts w:ascii="Arial" w:hAnsi="Arial" w:cs="Arial"/>
          <w:sz w:val="22"/>
        </w:rPr>
        <w:t>, J., 2023. Older adults and new technology: Mapping review of the factors associated with older adults’ intention to adopt digital technologies. </w:t>
      </w:r>
      <w:r w:rsidRPr="00E42702">
        <w:rPr>
          <w:rFonts w:ascii="Arial" w:hAnsi="Arial" w:cs="Arial"/>
          <w:i/>
          <w:iCs/>
          <w:sz w:val="22"/>
        </w:rPr>
        <w:t>JMIR aging</w:t>
      </w:r>
      <w:r w:rsidRPr="00E42702">
        <w:rPr>
          <w:rFonts w:ascii="Arial" w:hAnsi="Arial" w:cs="Arial"/>
          <w:sz w:val="22"/>
        </w:rPr>
        <w:t>, </w:t>
      </w:r>
      <w:r w:rsidRPr="00E42702">
        <w:rPr>
          <w:rFonts w:ascii="Arial" w:hAnsi="Arial" w:cs="Arial"/>
          <w:i/>
          <w:iCs/>
          <w:sz w:val="22"/>
        </w:rPr>
        <w:t>6</w:t>
      </w:r>
      <w:r w:rsidRPr="00E42702">
        <w:rPr>
          <w:rFonts w:ascii="Arial" w:hAnsi="Arial" w:cs="Arial"/>
          <w:sz w:val="22"/>
        </w:rPr>
        <w:t>(1), p.e44564.</w:t>
      </w:r>
    </w:p>
    <w:p w14:paraId="1B9CF1D5" w14:textId="77777777" w:rsidR="00576F88" w:rsidRPr="00E42702" w:rsidRDefault="00576F88" w:rsidP="006A41D2">
      <w:pPr>
        <w:ind w:left="1008" w:hanging="720"/>
        <w:rPr>
          <w:rFonts w:ascii="Arial" w:hAnsi="Arial" w:cs="Arial"/>
          <w:sz w:val="22"/>
        </w:rPr>
      </w:pPr>
      <w:r w:rsidRPr="00E42702">
        <w:rPr>
          <w:rFonts w:ascii="Arial" w:hAnsi="Arial" w:cs="Arial"/>
          <w:sz w:val="22"/>
        </w:rPr>
        <w:t xml:space="preserve">Carroll, J., Hopper, L., Farrelly, A.M., Lombard-Vance, R., </w:t>
      </w:r>
      <w:proofErr w:type="spellStart"/>
      <w:r w:rsidRPr="00E42702">
        <w:rPr>
          <w:rFonts w:ascii="Arial" w:hAnsi="Arial" w:cs="Arial"/>
          <w:sz w:val="22"/>
        </w:rPr>
        <w:t>Bamidis</w:t>
      </w:r>
      <w:proofErr w:type="spellEnd"/>
      <w:r w:rsidRPr="00E42702">
        <w:rPr>
          <w:rFonts w:ascii="Arial" w:hAnsi="Arial" w:cs="Arial"/>
          <w:sz w:val="22"/>
        </w:rPr>
        <w:t xml:space="preserve">, P.D. and </w:t>
      </w:r>
      <w:proofErr w:type="spellStart"/>
      <w:r w:rsidRPr="00E42702">
        <w:rPr>
          <w:rFonts w:ascii="Arial" w:hAnsi="Arial" w:cs="Arial"/>
          <w:sz w:val="22"/>
        </w:rPr>
        <w:t>Konstantinidis</w:t>
      </w:r>
      <w:proofErr w:type="spellEnd"/>
      <w:r w:rsidRPr="00E42702">
        <w:rPr>
          <w:rFonts w:ascii="Arial" w:hAnsi="Arial" w:cs="Arial"/>
          <w:sz w:val="22"/>
        </w:rPr>
        <w:t>, E.I., 2021. A scoping review of augmented/virtual reality health and wellbeing interventions for older adults: redefining immersive virtual reality. </w:t>
      </w:r>
      <w:r w:rsidRPr="00E42702">
        <w:rPr>
          <w:rFonts w:ascii="Arial" w:hAnsi="Arial" w:cs="Arial"/>
          <w:i/>
          <w:iCs/>
          <w:sz w:val="22"/>
        </w:rPr>
        <w:t>Frontiers in Virtual Reality</w:t>
      </w:r>
      <w:r w:rsidRPr="00E42702">
        <w:rPr>
          <w:rFonts w:ascii="Arial" w:hAnsi="Arial" w:cs="Arial"/>
          <w:sz w:val="22"/>
        </w:rPr>
        <w:t>, </w:t>
      </w:r>
      <w:r w:rsidRPr="00E42702">
        <w:rPr>
          <w:rFonts w:ascii="Arial" w:hAnsi="Arial" w:cs="Arial"/>
          <w:i/>
          <w:iCs/>
          <w:sz w:val="22"/>
        </w:rPr>
        <w:t>2</w:t>
      </w:r>
      <w:r w:rsidRPr="00E42702">
        <w:rPr>
          <w:rFonts w:ascii="Arial" w:hAnsi="Arial" w:cs="Arial"/>
          <w:sz w:val="22"/>
        </w:rPr>
        <w:t>, p.655338.</w:t>
      </w:r>
    </w:p>
    <w:p w14:paraId="6EF6433B" w14:textId="77777777" w:rsidR="00576F88" w:rsidRPr="00E42702" w:rsidRDefault="00576F88" w:rsidP="006A41D2">
      <w:pPr>
        <w:ind w:left="1008" w:hanging="720"/>
        <w:rPr>
          <w:rFonts w:ascii="Arial" w:hAnsi="Arial" w:cs="Arial"/>
          <w:sz w:val="22"/>
        </w:rPr>
      </w:pPr>
      <w:proofErr w:type="spellStart"/>
      <w:r w:rsidRPr="00E42702">
        <w:rPr>
          <w:rFonts w:ascii="Arial" w:hAnsi="Arial" w:cs="Arial"/>
          <w:sz w:val="22"/>
        </w:rPr>
        <w:t>Akhter-Khan</w:t>
      </w:r>
      <w:proofErr w:type="spellEnd"/>
      <w:r w:rsidRPr="00E42702">
        <w:rPr>
          <w:rFonts w:ascii="Arial" w:hAnsi="Arial" w:cs="Arial"/>
          <w:sz w:val="22"/>
        </w:rPr>
        <w:t xml:space="preserve">, S.C., </w:t>
      </w:r>
      <w:proofErr w:type="spellStart"/>
      <w:r w:rsidRPr="00E42702">
        <w:rPr>
          <w:rFonts w:ascii="Arial" w:hAnsi="Arial" w:cs="Arial"/>
          <w:sz w:val="22"/>
        </w:rPr>
        <w:t>Prina</w:t>
      </w:r>
      <w:proofErr w:type="spellEnd"/>
      <w:r w:rsidRPr="00E42702">
        <w:rPr>
          <w:rFonts w:ascii="Arial" w:hAnsi="Arial" w:cs="Arial"/>
          <w:sz w:val="22"/>
        </w:rPr>
        <w:t xml:space="preserve">, M., Wong, G.H.Y., </w:t>
      </w:r>
      <w:proofErr w:type="spellStart"/>
      <w:r w:rsidRPr="00E42702">
        <w:rPr>
          <w:rFonts w:ascii="Arial" w:hAnsi="Arial" w:cs="Arial"/>
          <w:sz w:val="22"/>
        </w:rPr>
        <w:t>Mayston</w:t>
      </w:r>
      <w:proofErr w:type="spellEnd"/>
      <w:r w:rsidRPr="00E42702">
        <w:rPr>
          <w:rFonts w:ascii="Arial" w:hAnsi="Arial" w:cs="Arial"/>
          <w:sz w:val="22"/>
        </w:rPr>
        <w:t>, R. and Li, L., 2023. Understanding and addressing older adults’ loneliness: The social relationship expectations framework. </w:t>
      </w:r>
      <w:r w:rsidRPr="00E42702">
        <w:rPr>
          <w:rFonts w:ascii="Arial" w:hAnsi="Arial" w:cs="Arial"/>
          <w:i/>
          <w:iCs/>
          <w:sz w:val="22"/>
        </w:rPr>
        <w:t>Perspectives on Psychological Science</w:t>
      </w:r>
      <w:r w:rsidRPr="00E42702">
        <w:rPr>
          <w:rFonts w:ascii="Arial" w:hAnsi="Arial" w:cs="Arial"/>
          <w:sz w:val="22"/>
        </w:rPr>
        <w:t>, </w:t>
      </w:r>
      <w:r w:rsidRPr="00E42702">
        <w:rPr>
          <w:rFonts w:ascii="Arial" w:hAnsi="Arial" w:cs="Arial"/>
          <w:i/>
          <w:iCs/>
          <w:sz w:val="22"/>
        </w:rPr>
        <w:t>18</w:t>
      </w:r>
      <w:r w:rsidRPr="00E42702">
        <w:rPr>
          <w:rFonts w:ascii="Arial" w:hAnsi="Arial" w:cs="Arial"/>
          <w:sz w:val="22"/>
        </w:rPr>
        <w:t>(4), pp.762-777.</w:t>
      </w:r>
    </w:p>
    <w:p w14:paraId="787E19E1" w14:textId="77777777" w:rsidR="00576F88" w:rsidRPr="00E42702" w:rsidRDefault="00576F88" w:rsidP="006A41D2">
      <w:pPr>
        <w:ind w:left="1008" w:hanging="720"/>
        <w:rPr>
          <w:rFonts w:ascii="Arial" w:hAnsi="Arial" w:cs="Arial"/>
          <w:sz w:val="22"/>
        </w:rPr>
      </w:pPr>
      <w:r w:rsidRPr="00E42702">
        <w:rPr>
          <w:rFonts w:ascii="Arial" w:hAnsi="Arial" w:cs="Arial"/>
          <w:sz w:val="22"/>
        </w:rPr>
        <w:t xml:space="preserve">Odell-Miller, H., </w:t>
      </w:r>
      <w:proofErr w:type="spellStart"/>
      <w:r w:rsidRPr="00E42702">
        <w:rPr>
          <w:rFonts w:ascii="Arial" w:hAnsi="Arial" w:cs="Arial"/>
          <w:sz w:val="22"/>
        </w:rPr>
        <w:t>Blauth</w:t>
      </w:r>
      <w:proofErr w:type="spellEnd"/>
      <w:r w:rsidRPr="00E42702">
        <w:rPr>
          <w:rFonts w:ascii="Arial" w:hAnsi="Arial" w:cs="Arial"/>
          <w:sz w:val="22"/>
        </w:rPr>
        <w:t xml:space="preserve">, L., </w:t>
      </w:r>
      <w:proofErr w:type="spellStart"/>
      <w:r w:rsidRPr="00E42702">
        <w:rPr>
          <w:rFonts w:ascii="Arial" w:hAnsi="Arial" w:cs="Arial"/>
          <w:sz w:val="22"/>
        </w:rPr>
        <w:t>Bloska</w:t>
      </w:r>
      <w:proofErr w:type="spellEnd"/>
      <w:r w:rsidRPr="00E42702">
        <w:rPr>
          <w:rFonts w:ascii="Arial" w:hAnsi="Arial" w:cs="Arial"/>
          <w:sz w:val="22"/>
        </w:rPr>
        <w:t xml:space="preserve">, J., </w:t>
      </w:r>
      <w:proofErr w:type="spellStart"/>
      <w:r w:rsidRPr="00E42702">
        <w:rPr>
          <w:rFonts w:ascii="Arial" w:hAnsi="Arial" w:cs="Arial"/>
          <w:sz w:val="22"/>
        </w:rPr>
        <w:t>Bukowska</w:t>
      </w:r>
      <w:proofErr w:type="spellEnd"/>
      <w:r w:rsidRPr="00E42702">
        <w:rPr>
          <w:rFonts w:ascii="Arial" w:hAnsi="Arial" w:cs="Arial"/>
          <w:sz w:val="22"/>
        </w:rPr>
        <w:t xml:space="preserve">, A.A., Clark, I.N., Crabtree, S., </w:t>
      </w:r>
      <w:proofErr w:type="spellStart"/>
      <w:r w:rsidRPr="00E42702">
        <w:rPr>
          <w:rFonts w:ascii="Arial" w:hAnsi="Arial" w:cs="Arial"/>
          <w:sz w:val="22"/>
        </w:rPr>
        <w:t>Engen</w:t>
      </w:r>
      <w:proofErr w:type="spellEnd"/>
      <w:r w:rsidRPr="00E42702">
        <w:rPr>
          <w:rFonts w:ascii="Arial" w:hAnsi="Arial" w:cs="Arial"/>
          <w:sz w:val="22"/>
        </w:rPr>
        <w:t xml:space="preserve">, R.B., </w:t>
      </w:r>
      <w:proofErr w:type="spellStart"/>
      <w:r w:rsidRPr="00E42702">
        <w:rPr>
          <w:rFonts w:ascii="Arial" w:hAnsi="Arial" w:cs="Arial"/>
          <w:sz w:val="22"/>
        </w:rPr>
        <w:t>Knardal</w:t>
      </w:r>
      <w:proofErr w:type="spellEnd"/>
      <w:r w:rsidRPr="00E42702">
        <w:rPr>
          <w:rFonts w:ascii="Arial" w:hAnsi="Arial" w:cs="Arial"/>
          <w:sz w:val="22"/>
        </w:rPr>
        <w:t xml:space="preserve">, S., </w:t>
      </w:r>
      <w:proofErr w:type="spellStart"/>
      <w:r w:rsidRPr="00E42702">
        <w:rPr>
          <w:rFonts w:ascii="Arial" w:hAnsi="Arial" w:cs="Arial"/>
          <w:sz w:val="22"/>
        </w:rPr>
        <w:t>Kvamme</w:t>
      </w:r>
      <w:proofErr w:type="spellEnd"/>
      <w:r w:rsidRPr="00E42702">
        <w:rPr>
          <w:rFonts w:ascii="Arial" w:hAnsi="Arial" w:cs="Arial"/>
          <w:sz w:val="22"/>
        </w:rPr>
        <w:t xml:space="preserve">, T.K., McMahon, K. and </w:t>
      </w:r>
      <w:proofErr w:type="spellStart"/>
      <w:r w:rsidRPr="00E42702">
        <w:rPr>
          <w:rFonts w:ascii="Arial" w:hAnsi="Arial" w:cs="Arial"/>
          <w:sz w:val="22"/>
        </w:rPr>
        <w:t>Petrowitz</w:t>
      </w:r>
      <w:proofErr w:type="spellEnd"/>
      <w:r w:rsidRPr="00E42702">
        <w:rPr>
          <w:rFonts w:ascii="Arial" w:hAnsi="Arial" w:cs="Arial"/>
          <w:sz w:val="22"/>
        </w:rPr>
        <w:t>, C., 2022. The HOMESIDE music intervention: A training protocol for family carers of people living with dementia. </w:t>
      </w:r>
      <w:r w:rsidRPr="00E42702">
        <w:rPr>
          <w:rFonts w:ascii="Arial" w:hAnsi="Arial" w:cs="Arial"/>
          <w:i/>
          <w:iCs/>
          <w:sz w:val="22"/>
        </w:rPr>
        <w:t>European journal of investigation in health, psychology and education</w:t>
      </w:r>
      <w:r w:rsidRPr="00E42702">
        <w:rPr>
          <w:rFonts w:ascii="Arial" w:hAnsi="Arial" w:cs="Arial"/>
          <w:sz w:val="22"/>
        </w:rPr>
        <w:t>, </w:t>
      </w:r>
      <w:r w:rsidRPr="00E42702">
        <w:rPr>
          <w:rFonts w:ascii="Arial" w:hAnsi="Arial" w:cs="Arial"/>
          <w:i/>
          <w:iCs/>
          <w:sz w:val="22"/>
        </w:rPr>
        <w:t>12</w:t>
      </w:r>
      <w:r w:rsidRPr="00E42702">
        <w:rPr>
          <w:rFonts w:ascii="Arial" w:hAnsi="Arial" w:cs="Arial"/>
          <w:sz w:val="22"/>
        </w:rPr>
        <w:t>(12), pp.1812-1832.</w:t>
      </w:r>
    </w:p>
    <w:p w14:paraId="18B3B8B6" w14:textId="77777777" w:rsidR="00576F88" w:rsidRPr="00E42702" w:rsidRDefault="00576F88" w:rsidP="006A41D2">
      <w:pPr>
        <w:ind w:left="1008" w:hanging="720"/>
        <w:rPr>
          <w:rFonts w:ascii="Arial" w:hAnsi="Arial" w:cs="Arial"/>
          <w:sz w:val="22"/>
        </w:rPr>
      </w:pPr>
      <w:proofErr w:type="spellStart"/>
      <w:r w:rsidRPr="00E42702">
        <w:rPr>
          <w:rFonts w:ascii="Arial" w:hAnsi="Arial" w:cs="Arial"/>
          <w:sz w:val="22"/>
        </w:rPr>
        <w:t>Kułak-Bejda</w:t>
      </w:r>
      <w:proofErr w:type="spellEnd"/>
      <w:r w:rsidRPr="00E42702">
        <w:rPr>
          <w:rFonts w:ascii="Arial" w:hAnsi="Arial" w:cs="Arial"/>
          <w:sz w:val="22"/>
        </w:rPr>
        <w:t xml:space="preserve">, A., </w:t>
      </w:r>
      <w:proofErr w:type="spellStart"/>
      <w:r w:rsidRPr="00E42702">
        <w:rPr>
          <w:rFonts w:ascii="Arial" w:hAnsi="Arial" w:cs="Arial"/>
          <w:sz w:val="22"/>
        </w:rPr>
        <w:t>Bejda</w:t>
      </w:r>
      <w:proofErr w:type="spellEnd"/>
      <w:r w:rsidRPr="00E42702">
        <w:rPr>
          <w:rFonts w:ascii="Arial" w:hAnsi="Arial" w:cs="Arial"/>
          <w:sz w:val="22"/>
        </w:rPr>
        <w:t xml:space="preserve">, G. and </w:t>
      </w:r>
      <w:proofErr w:type="spellStart"/>
      <w:r w:rsidRPr="00E42702">
        <w:rPr>
          <w:rFonts w:ascii="Arial" w:hAnsi="Arial" w:cs="Arial"/>
          <w:sz w:val="22"/>
        </w:rPr>
        <w:t>Waszkiewicz</w:t>
      </w:r>
      <w:proofErr w:type="spellEnd"/>
      <w:r w:rsidRPr="00E42702">
        <w:rPr>
          <w:rFonts w:ascii="Arial" w:hAnsi="Arial" w:cs="Arial"/>
          <w:sz w:val="22"/>
        </w:rPr>
        <w:t>, N., 2021. Mental disorders, cognitive impairment and the risk of suicide in older adults. </w:t>
      </w:r>
      <w:r w:rsidRPr="00E42702">
        <w:rPr>
          <w:rFonts w:ascii="Arial" w:hAnsi="Arial" w:cs="Arial"/>
          <w:i/>
          <w:iCs/>
          <w:sz w:val="22"/>
        </w:rPr>
        <w:t>Frontiers in psychiatry</w:t>
      </w:r>
      <w:r w:rsidRPr="00E42702">
        <w:rPr>
          <w:rFonts w:ascii="Arial" w:hAnsi="Arial" w:cs="Arial"/>
          <w:sz w:val="22"/>
        </w:rPr>
        <w:t>, </w:t>
      </w:r>
      <w:r w:rsidRPr="00E42702">
        <w:rPr>
          <w:rFonts w:ascii="Arial" w:hAnsi="Arial" w:cs="Arial"/>
          <w:i/>
          <w:iCs/>
          <w:sz w:val="22"/>
        </w:rPr>
        <w:t>12</w:t>
      </w:r>
      <w:r w:rsidRPr="00E42702">
        <w:rPr>
          <w:rFonts w:ascii="Arial" w:hAnsi="Arial" w:cs="Arial"/>
          <w:sz w:val="22"/>
        </w:rPr>
        <w:t>, p.695286.</w:t>
      </w:r>
    </w:p>
    <w:p w14:paraId="41C1EE37" w14:textId="77777777" w:rsidR="00576F88" w:rsidRPr="00E42702" w:rsidRDefault="00576F88" w:rsidP="006A41D2">
      <w:pPr>
        <w:ind w:left="1008" w:hanging="720"/>
        <w:rPr>
          <w:rFonts w:ascii="Arial" w:hAnsi="Arial" w:cs="Arial"/>
          <w:sz w:val="22"/>
        </w:rPr>
      </w:pPr>
      <w:r w:rsidRPr="00E42702">
        <w:rPr>
          <w:rFonts w:ascii="Arial" w:hAnsi="Arial" w:cs="Arial"/>
          <w:sz w:val="22"/>
        </w:rPr>
        <w:t>Chen, P.Y., Ho, W.C., Lo, C. and Yeh, T.P., 2021. Predicting ego integrity using prior ego development stages for older adults in the community. </w:t>
      </w:r>
      <w:r w:rsidRPr="00E42702">
        <w:rPr>
          <w:rFonts w:ascii="Arial" w:hAnsi="Arial" w:cs="Arial"/>
          <w:i/>
          <w:iCs/>
          <w:sz w:val="22"/>
        </w:rPr>
        <w:t>International Journal of Environmental Research and Public Health</w:t>
      </w:r>
      <w:r w:rsidRPr="00E42702">
        <w:rPr>
          <w:rFonts w:ascii="Arial" w:hAnsi="Arial" w:cs="Arial"/>
          <w:sz w:val="22"/>
        </w:rPr>
        <w:t>, </w:t>
      </w:r>
      <w:r w:rsidRPr="00E42702">
        <w:rPr>
          <w:rFonts w:ascii="Arial" w:hAnsi="Arial" w:cs="Arial"/>
          <w:i/>
          <w:iCs/>
          <w:sz w:val="22"/>
        </w:rPr>
        <w:t>18</w:t>
      </w:r>
      <w:r w:rsidRPr="00E42702">
        <w:rPr>
          <w:rFonts w:ascii="Arial" w:hAnsi="Arial" w:cs="Arial"/>
          <w:sz w:val="22"/>
        </w:rPr>
        <w:t>(18), p.9490.</w:t>
      </w:r>
    </w:p>
    <w:p w14:paraId="47DC947D" w14:textId="77777777" w:rsidR="00576F88" w:rsidRPr="00E42702" w:rsidRDefault="000A5D79" w:rsidP="006A41D2">
      <w:pPr>
        <w:ind w:left="1008" w:hanging="720"/>
        <w:rPr>
          <w:rFonts w:ascii="Arial" w:hAnsi="Arial" w:cs="Arial"/>
          <w:sz w:val="22"/>
        </w:rPr>
      </w:pPr>
      <w:proofErr w:type="spellStart"/>
      <w:r w:rsidRPr="00E42702">
        <w:rPr>
          <w:rFonts w:ascii="Arial" w:hAnsi="Arial" w:cs="Arial"/>
          <w:sz w:val="22"/>
        </w:rPr>
        <w:lastRenderedPageBreak/>
        <w:t>Timm</w:t>
      </w:r>
      <w:proofErr w:type="spellEnd"/>
      <w:r w:rsidRPr="00E42702">
        <w:rPr>
          <w:rFonts w:ascii="Arial" w:hAnsi="Arial" w:cs="Arial"/>
          <w:sz w:val="22"/>
        </w:rPr>
        <w:t xml:space="preserve">, J., Block, H., </w:t>
      </w:r>
      <w:proofErr w:type="spellStart"/>
      <w:r w:rsidRPr="00E42702">
        <w:rPr>
          <w:rFonts w:ascii="Arial" w:hAnsi="Arial" w:cs="Arial"/>
          <w:sz w:val="22"/>
        </w:rPr>
        <w:t>Boanca</w:t>
      </w:r>
      <w:proofErr w:type="spellEnd"/>
      <w:r w:rsidRPr="00E42702">
        <w:rPr>
          <w:rFonts w:ascii="Arial" w:hAnsi="Arial" w:cs="Arial"/>
          <w:sz w:val="22"/>
        </w:rPr>
        <w:t xml:space="preserve">, G. and </w:t>
      </w:r>
      <w:proofErr w:type="spellStart"/>
      <w:r w:rsidRPr="00E42702">
        <w:rPr>
          <w:rFonts w:ascii="Arial" w:hAnsi="Arial" w:cs="Arial"/>
          <w:sz w:val="22"/>
        </w:rPr>
        <w:t>Acquaye</w:t>
      </w:r>
      <w:proofErr w:type="spellEnd"/>
      <w:r w:rsidRPr="00E42702">
        <w:rPr>
          <w:rFonts w:ascii="Arial" w:hAnsi="Arial" w:cs="Arial"/>
          <w:sz w:val="22"/>
        </w:rPr>
        <w:t>, H.E., 2022. An exploratory study on the relationship between completion of Erikson’s fourth psychosocial stage and assurance of salvation. </w:t>
      </w:r>
      <w:r w:rsidRPr="00E42702">
        <w:rPr>
          <w:rFonts w:ascii="Arial" w:hAnsi="Arial" w:cs="Arial"/>
          <w:i/>
          <w:iCs/>
          <w:sz w:val="22"/>
        </w:rPr>
        <w:t>Journal of Spirituality in Mental Health</w:t>
      </w:r>
      <w:r w:rsidRPr="00E42702">
        <w:rPr>
          <w:rFonts w:ascii="Arial" w:hAnsi="Arial" w:cs="Arial"/>
          <w:sz w:val="22"/>
        </w:rPr>
        <w:t>, </w:t>
      </w:r>
      <w:r w:rsidRPr="00E42702">
        <w:rPr>
          <w:rFonts w:ascii="Arial" w:hAnsi="Arial" w:cs="Arial"/>
          <w:i/>
          <w:iCs/>
          <w:sz w:val="22"/>
        </w:rPr>
        <w:t>24</w:t>
      </w:r>
      <w:r w:rsidRPr="00E42702">
        <w:rPr>
          <w:rFonts w:ascii="Arial" w:hAnsi="Arial" w:cs="Arial"/>
          <w:sz w:val="22"/>
        </w:rPr>
        <w:t>(1), pp.53-73.</w:t>
      </w:r>
    </w:p>
    <w:p w14:paraId="74395773" w14:textId="77777777" w:rsidR="000872EE" w:rsidRPr="00E42702" w:rsidRDefault="000872EE" w:rsidP="006A41D2">
      <w:pPr>
        <w:ind w:left="1008" w:hanging="720"/>
        <w:rPr>
          <w:rFonts w:ascii="Arial" w:hAnsi="Arial" w:cs="Arial"/>
          <w:sz w:val="22"/>
        </w:rPr>
      </w:pPr>
      <w:proofErr w:type="spellStart"/>
      <w:r w:rsidRPr="00E42702">
        <w:rPr>
          <w:rFonts w:ascii="Arial" w:hAnsi="Arial" w:cs="Arial"/>
          <w:sz w:val="22"/>
        </w:rPr>
        <w:t>Khairani</w:t>
      </w:r>
      <w:proofErr w:type="spellEnd"/>
      <w:r w:rsidRPr="00E42702">
        <w:rPr>
          <w:rFonts w:ascii="Arial" w:hAnsi="Arial" w:cs="Arial"/>
          <w:sz w:val="22"/>
        </w:rPr>
        <w:t xml:space="preserve">, K. and </w:t>
      </w:r>
      <w:proofErr w:type="spellStart"/>
      <w:r w:rsidRPr="00E42702">
        <w:rPr>
          <w:rFonts w:ascii="Arial" w:hAnsi="Arial" w:cs="Arial"/>
          <w:sz w:val="22"/>
        </w:rPr>
        <w:t>Maemonah</w:t>
      </w:r>
      <w:proofErr w:type="spellEnd"/>
      <w:r w:rsidRPr="00E42702">
        <w:rPr>
          <w:rFonts w:ascii="Arial" w:hAnsi="Arial" w:cs="Arial"/>
          <w:sz w:val="22"/>
        </w:rPr>
        <w:t xml:space="preserve">, M., 2021. The nature of psychosocial development in early childhood according to </w:t>
      </w:r>
      <w:proofErr w:type="spellStart"/>
      <w:r w:rsidRPr="00E42702">
        <w:rPr>
          <w:rFonts w:ascii="Arial" w:hAnsi="Arial" w:cs="Arial"/>
          <w:sz w:val="22"/>
        </w:rPr>
        <w:t>erik</w:t>
      </w:r>
      <w:proofErr w:type="spellEnd"/>
      <w:r w:rsidRPr="00E42702">
        <w:rPr>
          <w:rFonts w:ascii="Arial" w:hAnsi="Arial" w:cs="Arial"/>
          <w:sz w:val="22"/>
        </w:rPr>
        <w:t xml:space="preserve"> </w:t>
      </w:r>
      <w:proofErr w:type="spellStart"/>
      <w:r w:rsidRPr="00E42702">
        <w:rPr>
          <w:rFonts w:ascii="Arial" w:hAnsi="Arial" w:cs="Arial"/>
          <w:sz w:val="22"/>
        </w:rPr>
        <w:t>erikson's</w:t>
      </w:r>
      <w:proofErr w:type="spellEnd"/>
      <w:r w:rsidRPr="00E42702">
        <w:rPr>
          <w:rFonts w:ascii="Arial" w:hAnsi="Arial" w:cs="Arial"/>
          <w:sz w:val="22"/>
        </w:rPr>
        <w:t xml:space="preserve"> view. </w:t>
      </w:r>
      <w:proofErr w:type="spellStart"/>
      <w:r w:rsidRPr="00E42702">
        <w:rPr>
          <w:rFonts w:ascii="Arial" w:hAnsi="Arial" w:cs="Arial"/>
          <w:sz w:val="22"/>
        </w:rPr>
        <w:t>Jurnal</w:t>
      </w:r>
      <w:proofErr w:type="spellEnd"/>
      <w:r w:rsidRPr="00E42702">
        <w:rPr>
          <w:rFonts w:ascii="Arial" w:hAnsi="Arial" w:cs="Arial"/>
          <w:sz w:val="22"/>
        </w:rPr>
        <w:t xml:space="preserve"> </w:t>
      </w:r>
      <w:proofErr w:type="spellStart"/>
      <w:r w:rsidRPr="00E42702">
        <w:rPr>
          <w:rFonts w:ascii="Arial" w:hAnsi="Arial" w:cs="Arial"/>
          <w:sz w:val="22"/>
        </w:rPr>
        <w:t>Kajian</w:t>
      </w:r>
      <w:proofErr w:type="spellEnd"/>
      <w:r w:rsidRPr="00E42702">
        <w:rPr>
          <w:rFonts w:ascii="Arial" w:hAnsi="Arial" w:cs="Arial"/>
          <w:sz w:val="22"/>
        </w:rPr>
        <w:t xml:space="preserve"> Gender dan </w:t>
      </w:r>
      <w:proofErr w:type="spellStart"/>
      <w:r w:rsidRPr="00E42702">
        <w:rPr>
          <w:rFonts w:ascii="Arial" w:hAnsi="Arial" w:cs="Arial"/>
          <w:sz w:val="22"/>
        </w:rPr>
        <w:t>Anak</w:t>
      </w:r>
      <w:proofErr w:type="spellEnd"/>
      <w:r w:rsidRPr="00E42702">
        <w:rPr>
          <w:rFonts w:ascii="Arial" w:hAnsi="Arial" w:cs="Arial"/>
          <w:sz w:val="22"/>
        </w:rPr>
        <w:t>, 5(2), pp.151-161.</w:t>
      </w:r>
    </w:p>
    <w:p w14:paraId="56DCC106" w14:textId="77777777" w:rsidR="000872EE" w:rsidRPr="00E42702" w:rsidRDefault="000872EE" w:rsidP="006A41D2">
      <w:pPr>
        <w:ind w:left="1008" w:hanging="720"/>
        <w:rPr>
          <w:rFonts w:ascii="Arial" w:hAnsi="Arial" w:cs="Arial"/>
          <w:sz w:val="22"/>
        </w:rPr>
      </w:pPr>
      <w:proofErr w:type="spellStart"/>
      <w:r w:rsidRPr="00E42702">
        <w:rPr>
          <w:rFonts w:ascii="Arial" w:hAnsi="Arial" w:cs="Arial"/>
          <w:sz w:val="22"/>
        </w:rPr>
        <w:t>Rodriguez-Gnos</w:t>
      </w:r>
      <w:proofErr w:type="spellEnd"/>
      <w:r w:rsidRPr="00E42702">
        <w:rPr>
          <w:rFonts w:ascii="Arial" w:hAnsi="Arial" w:cs="Arial"/>
          <w:sz w:val="22"/>
        </w:rPr>
        <w:t>, M., 2024. </w:t>
      </w:r>
      <w:r w:rsidRPr="00E42702">
        <w:rPr>
          <w:rFonts w:ascii="Arial" w:hAnsi="Arial" w:cs="Arial"/>
          <w:i/>
          <w:iCs/>
          <w:sz w:val="22"/>
        </w:rPr>
        <w:t>The Experiences in Higher Education of Female Student Service Members/Veterans Diagnosed With Post Traumatic Stress Disorder Resulting From Military Sexual Trauma</w:t>
      </w:r>
      <w:r w:rsidRPr="00E42702">
        <w:rPr>
          <w:rFonts w:ascii="Arial" w:hAnsi="Arial" w:cs="Arial"/>
          <w:sz w:val="22"/>
        </w:rPr>
        <w:t> (Doctoral dissertation, Trident University International).</w:t>
      </w:r>
    </w:p>
    <w:p w14:paraId="6DE5F2BF" w14:textId="77777777" w:rsidR="000872EE" w:rsidRPr="00E42702" w:rsidRDefault="000872EE" w:rsidP="006A41D2">
      <w:pPr>
        <w:ind w:left="1008" w:hanging="720"/>
        <w:rPr>
          <w:rFonts w:ascii="Arial" w:hAnsi="Arial" w:cs="Arial"/>
          <w:sz w:val="22"/>
        </w:rPr>
      </w:pPr>
      <w:r w:rsidRPr="00E42702">
        <w:rPr>
          <w:rFonts w:ascii="Arial" w:hAnsi="Arial" w:cs="Arial"/>
          <w:sz w:val="22"/>
        </w:rPr>
        <w:t>Shi, Y. and Lin, X., 2021. A Test of Maslow's Hierarchy of Needs Concept by a Correlational Model among Adult Learners. </w:t>
      </w:r>
      <w:r w:rsidRPr="00E42702">
        <w:rPr>
          <w:rFonts w:ascii="Arial" w:hAnsi="Arial" w:cs="Arial"/>
          <w:i/>
          <w:iCs/>
          <w:sz w:val="22"/>
        </w:rPr>
        <w:t>American Association for Adult and Continuing Education</w:t>
      </w:r>
      <w:r w:rsidRPr="00E42702">
        <w:rPr>
          <w:rFonts w:ascii="Arial" w:hAnsi="Arial" w:cs="Arial"/>
          <w:sz w:val="22"/>
        </w:rPr>
        <w:t>.</w:t>
      </w:r>
    </w:p>
    <w:p w14:paraId="299E74FC" w14:textId="77777777" w:rsidR="005D7506" w:rsidRPr="00D4570D" w:rsidRDefault="005D7506" w:rsidP="006A41D2">
      <w:pPr>
        <w:ind w:left="1008" w:hanging="720"/>
        <w:rPr>
          <w:rFonts w:ascii="Arial" w:hAnsi="Arial" w:cs="Arial"/>
          <w:sz w:val="22"/>
        </w:rPr>
      </w:pPr>
      <w:r w:rsidRPr="00E42702">
        <w:rPr>
          <w:rFonts w:ascii="Arial" w:hAnsi="Arial" w:cs="Arial"/>
          <w:sz w:val="22"/>
        </w:rPr>
        <w:t xml:space="preserve">Pérez, V., </w:t>
      </w:r>
      <w:proofErr w:type="spellStart"/>
      <w:r w:rsidRPr="00E42702">
        <w:rPr>
          <w:rFonts w:ascii="Arial" w:hAnsi="Arial" w:cs="Arial"/>
          <w:sz w:val="22"/>
        </w:rPr>
        <w:t>Menéndez-Crispín</w:t>
      </w:r>
      <w:proofErr w:type="spellEnd"/>
      <w:r w:rsidRPr="00E42702">
        <w:rPr>
          <w:rFonts w:ascii="Arial" w:hAnsi="Arial" w:cs="Arial"/>
          <w:sz w:val="22"/>
        </w:rPr>
        <w:t xml:space="preserve">, E.J., </w:t>
      </w:r>
      <w:proofErr w:type="spellStart"/>
      <w:r w:rsidRPr="00E42702">
        <w:rPr>
          <w:rFonts w:ascii="Arial" w:hAnsi="Arial" w:cs="Arial"/>
          <w:sz w:val="22"/>
        </w:rPr>
        <w:t>Sarabia-Cobo</w:t>
      </w:r>
      <w:proofErr w:type="spellEnd"/>
      <w:r w:rsidRPr="00E42702">
        <w:rPr>
          <w:rFonts w:ascii="Arial" w:hAnsi="Arial" w:cs="Arial"/>
          <w:sz w:val="22"/>
        </w:rPr>
        <w:t>, C., de Lorena, P., Fernández-Rodríguez, A. and González-Vaca, J., 2022. Mindfulness-based intervention for the reduction of compassion fatigue and burnout in nurse caregivers of institutionalized older persons with dementia: a randomized controlled trial. </w:t>
      </w:r>
      <w:r w:rsidRPr="00E42702">
        <w:rPr>
          <w:rFonts w:ascii="Arial" w:hAnsi="Arial" w:cs="Arial"/>
          <w:i/>
          <w:iCs/>
          <w:sz w:val="22"/>
        </w:rPr>
        <w:t>International journal of environmental research and public health</w:t>
      </w:r>
      <w:r w:rsidRPr="00E42702">
        <w:rPr>
          <w:rFonts w:ascii="Arial" w:hAnsi="Arial" w:cs="Arial"/>
          <w:sz w:val="22"/>
        </w:rPr>
        <w:t>, </w:t>
      </w:r>
      <w:r w:rsidRPr="00E42702">
        <w:rPr>
          <w:rFonts w:ascii="Arial" w:hAnsi="Arial" w:cs="Arial"/>
          <w:i/>
          <w:iCs/>
          <w:sz w:val="22"/>
        </w:rPr>
        <w:t>19</w:t>
      </w:r>
      <w:r w:rsidRPr="00E42702">
        <w:rPr>
          <w:rFonts w:ascii="Arial" w:hAnsi="Arial" w:cs="Arial"/>
          <w:sz w:val="22"/>
        </w:rPr>
        <w:t>(18), p.11441.</w:t>
      </w:r>
    </w:p>
    <w:sectPr w:rsidR="005D7506" w:rsidRPr="00D457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61EFB"/>
    <w:multiLevelType w:val="hybridMultilevel"/>
    <w:tmpl w:val="625E29BC"/>
    <w:lvl w:ilvl="0" w:tplc="0409000F">
      <w:start w:val="1"/>
      <w:numFmt w:val="decimal"/>
      <w:lvlText w:val="%1."/>
      <w:lvlJc w:val="left"/>
      <w:pPr>
        <w:ind w:left="1008" w:hanging="360"/>
      </w:pPr>
    </w:lvl>
    <w:lvl w:ilvl="1" w:tplc="04090019" w:tentative="1">
      <w:start w:val="1"/>
      <w:numFmt w:val="lowerLetter"/>
      <w:lvlText w:val="%2."/>
      <w:lvlJc w:val="left"/>
      <w:pPr>
        <w:ind w:left="1728" w:hanging="360"/>
      </w:pPr>
    </w:lvl>
    <w:lvl w:ilvl="2" w:tplc="0409001B" w:tentative="1">
      <w:start w:val="1"/>
      <w:numFmt w:val="lowerRoman"/>
      <w:lvlText w:val="%3."/>
      <w:lvlJc w:val="right"/>
      <w:pPr>
        <w:ind w:left="2448" w:hanging="180"/>
      </w:pPr>
    </w:lvl>
    <w:lvl w:ilvl="3" w:tplc="0409000F" w:tentative="1">
      <w:start w:val="1"/>
      <w:numFmt w:val="decimal"/>
      <w:lvlText w:val="%4."/>
      <w:lvlJc w:val="left"/>
      <w:pPr>
        <w:ind w:left="3168" w:hanging="360"/>
      </w:pPr>
    </w:lvl>
    <w:lvl w:ilvl="4" w:tplc="04090019" w:tentative="1">
      <w:start w:val="1"/>
      <w:numFmt w:val="lowerLetter"/>
      <w:lvlText w:val="%5."/>
      <w:lvlJc w:val="left"/>
      <w:pPr>
        <w:ind w:left="3888" w:hanging="360"/>
      </w:pPr>
    </w:lvl>
    <w:lvl w:ilvl="5" w:tplc="0409001B" w:tentative="1">
      <w:start w:val="1"/>
      <w:numFmt w:val="lowerRoman"/>
      <w:lvlText w:val="%6."/>
      <w:lvlJc w:val="right"/>
      <w:pPr>
        <w:ind w:left="4608" w:hanging="180"/>
      </w:pPr>
    </w:lvl>
    <w:lvl w:ilvl="6" w:tplc="0409000F" w:tentative="1">
      <w:start w:val="1"/>
      <w:numFmt w:val="decimal"/>
      <w:lvlText w:val="%7."/>
      <w:lvlJc w:val="left"/>
      <w:pPr>
        <w:ind w:left="5328" w:hanging="360"/>
      </w:pPr>
    </w:lvl>
    <w:lvl w:ilvl="7" w:tplc="04090019" w:tentative="1">
      <w:start w:val="1"/>
      <w:numFmt w:val="lowerLetter"/>
      <w:lvlText w:val="%8."/>
      <w:lvlJc w:val="left"/>
      <w:pPr>
        <w:ind w:left="6048" w:hanging="360"/>
      </w:pPr>
    </w:lvl>
    <w:lvl w:ilvl="8" w:tplc="0409001B" w:tentative="1">
      <w:start w:val="1"/>
      <w:numFmt w:val="lowerRoman"/>
      <w:lvlText w:val="%9."/>
      <w:lvlJc w:val="right"/>
      <w:pPr>
        <w:ind w:left="6768" w:hanging="180"/>
      </w:pPr>
    </w:lvl>
  </w:abstractNum>
  <w:num w:numId="1" w16cid:durableId="376003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1"/>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CD1"/>
    <w:rsid w:val="000872EE"/>
    <w:rsid w:val="00090E44"/>
    <w:rsid w:val="000A5D79"/>
    <w:rsid w:val="00123FF6"/>
    <w:rsid w:val="0017193E"/>
    <w:rsid w:val="001F089A"/>
    <w:rsid w:val="00203AE7"/>
    <w:rsid w:val="003A1437"/>
    <w:rsid w:val="003E1888"/>
    <w:rsid w:val="00576F88"/>
    <w:rsid w:val="005D7506"/>
    <w:rsid w:val="005E7B22"/>
    <w:rsid w:val="00633A62"/>
    <w:rsid w:val="00652B6D"/>
    <w:rsid w:val="00686D3C"/>
    <w:rsid w:val="006A41D2"/>
    <w:rsid w:val="008078DA"/>
    <w:rsid w:val="00987EC2"/>
    <w:rsid w:val="009B0A73"/>
    <w:rsid w:val="00A10103"/>
    <w:rsid w:val="00B20992"/>
    <w:rsid w:val="00BB1C66"/>
    <w:rsid w:val="00BE2FF6"/>
    <w:rsid w:val="00C45FA9"/>
    <w:rsid w:val="00C97AFC"/>
    <w:rsid w:val="00D07DC6"/>
    <w:rsid w:val="00D4570D"/>
    <w:rsid w:val="00DB4C27"/>
    <w:rsid w:val="00E32072"/>
    <w:rsid w:val="00E42702"/>
    <w:rsid w:val="00EE2765"/>
    <w:rsid w:val="00F26A7B"/>
    <w:rsid w:val="00FE5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45A86"/>
  <w15:chartTrackingRefBased/>
  <w15:docId w15:val="{195E8E7B-C788-4862-99BC-62BF653DB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CD1"/>
    <w:pPr>
      <w:spacing w:before="120" w:after="120" w:line="360" w:lineRule="auto"/>
      <w:ind w:left="288" w:right="288"/>
      <w:jc w:val="both"/>
    </w:pPr>
    <w:rPr>
      <w:rFonts w:ascii="Times New Roman" w:hAnsi="Times New Roman"/>
      <w:sz w:val="24"/>
    </w:rPr>
  </w:style>
  <w:style w:type="paragraph" w:styleId="Heading1">
    <w:name w:val="heading 1"/>
    <w:basedOn w:val="Normal"/>
    <w:next w:val="Normal"/>
    <w:link w:val="Heading1Char"/>
    <w:autoRedefine/>
    <w:uiPriority w:val="9"/>
    <w:qFormat/>
    <w:rsid w:val="00B20992"/>
    <w:pPr>
      <w:keepNext/>
      <w:keepLines/>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B20992"/>
    <w:pPr>
      <w:keepNext/>
      <w:keepLines/>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B20992"/>
    <w:pPr>
      <w:keepNext/>
      <w:keepLines/>
      <w:ind w:firstLine="1440"/>
      <w:outlineLvl w:val="2"/>
    </w:pPr>
    <w:rPr>
      <w:rFonts w:eastAsiaTheme="majorEastAsia" w:cstheme="majorBidi"/>
      <w:b/>
      <w:i/>
      <w:szCs w:val="24"/>
    </w:rPr>
  </w:style>
  <w:style w:type="paragraph" w:styleId="Heading4">
    <w:name w:val="heading 4"/>
    <w:basedOn w:val="Normal"/>
    <w:next w:val="Normal"/>
    <w:link w:val="Heading4Char"/>
    <w:autoRedefine/>
    <w:uiPriority w:val="9"/>
    <w:semiHidden/>
    <w:unhideWhenUsed/>
    <w:qFormat/>
    <w:rsid w:val="00B20992"/>
    <w:pPr>
      <w:keepNext/>
      <w:keepLines/>
      <w:jc w:val="center"/>
      <w:outlineLvl w:val="3"/>
    </w:pPr>
    <w:rPr>
      <w:rFonts w:eastAsiaTheme="majorEastAsia" w:cstheme="majorBidi"/>
      <w:i/>
      <w:iCs/>
    </w:rPr>
  </w:style>
  <w:style w:type="paragraph" w:styleId="Heading5">
    <w:name w:val="heading 5"/>
    <w:basedOn w:val="Normal"/>
    <w:next w:val="Normal"/>
    <w:link w:val="Heading5Char"/>
    <w:autoRedefine/>
    <w:uiPriority w:val="9"/>
    <w:semiHidden/>
    <w:unhideWhenUsed/>
    <w:qFormat/>
    <w:rsid w:val="00B20992"/>
    <w:pPr>
      <w:keepNext/>
      <w:keepLines/>
      <w:jc w:val="center"/>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992"/>
    <w:rPr>
      <w:rFonts w:ascii="Times New Roman" w:eastAsiaTheme="majorEastAsia" w:hAnsi="Times New Roman" w:cstheme="majorBidi"/>
      <w:b/>
      <w:sz w:val="24"/>
      <w:szCs w:val="32"/>
    </w:rPr>
  </w:style>
  <w:style w:type="paragraph" w:customStyle="1" w:styleId="Style1">
    <w:name w:val="Style1"/>
    <w:basedOn w:val="Normal"/>
    <w:link w:val="Style1Char"/>
    <w:qFormat/>
    <w:rsid w:val="00B20992"/>
  </w:style>
  <w:style w:type="character" w:customStyle="1" w:styleId="Style1Char">
    <w:name w:val="Style1 Char"/>
    <w:basedOn w:val="DefaultParagraphFont"/>
    <w:link w:val="Style1"/>
    <w:rsid w:val="00B20992"/>
    <w:rPr>
      <w:rFonts w:ascii="Times New Roman" w:hAnsi="Times New Roman"/>
      <w:sz w:val="24"/>
    </w:rPr>
  </w:style>
  <w:style w:type="character" w:customStyle="1" w:styleId="Heading3Char">
    <w:name w:val="Heading 3 Char"/>
    <w:basedOn w:val="DefaultParagraphFont"/>
    <w:link w:val="Heading3"/>
    <w:uiPriority w:val="9"/>
    <w:rsid w:val="00B20992"/>
    <w:rPr>
      <w:rFonts w:ascii="Times New Roman" w:eastAsiaTheme="majorEastAsia" w:hAnsi="Times New Roman" w:cstheme="majorBidi"/>
      <w:b/>
      <w:i/>
      <w:sz w:val="24"/>
      <w:szCs w:val="24"/>
    </w:rPr>
  </w:style>
  <w:style w:type="character" w:customStyle="1" w:styleId="Heading2Char">
    <w:name w:val="Heading 2 Char"/>
    <w:basedOn w:val="DefaultParagraphFont"/>
    <w:link w:val="Heading2"/>
    <w:uiPriority w:val="9"/>
    <w:rsid w:val="00B20992"/>
    <w:rPr>
      <w:rFonts w:ascii="Times New Roman" w:eastAsiaTheme="majorEastAsia" w:hAnsi="Times New Roman" w:cstheme="majorBidi"/>
      <w:b/>
      <w:i/>
      <w:sz w:val="24"/>
      <w:szCs w:val="26"/>
    </w:rPr>
  </w:style>
  <w:style w:type="character" w:customStyle="1" w:styleId="Heading4Char">
    <w:name w:val="Heading 4 Char"/>
    <w:basedOn w:val="DefaultParagraphFont"/>
    <w:link w:val="Heading4"/>
    <w:uiPriority w:val="9"/>
    <w:semiHidden/>
    <w:rsid w:val="00B20992"/>
    <w:rPr>
      <w:rFonts w:ascii="Times New Roman" w:eastAsiaTheme="majorEastAsia" w:hAnsi="Times New Roman" w:cstheme="majorBidi"/>
      <w:i/>
      <w:iCs/>
      <w:sz w:val="24"/>
    </w:rPr>
  </w:style>
  <w:style w:type="character" w:customStyle="1" w:styleId="Heading5Char">
    <w:name w:val="Heading 5 Char"/>
    <w:basedOn w:val="DefaultParagraphFont"/>
    <w:link w:val="Heading5"/>
    <w:uiPriority w:val="9"/>
    <w:semiHidden/>
    <w:rsid w:val="00B20992"/>
    <w:rPr>
      <w:rFonts w:ascii="Times New Roman" w:eastAsiaTheme="majorEastAsia" w:hAnsi="Times New Roman" w:cstheme="majorBidi"/>
      <w:sz w:val="24"/>
    </w:rPr>
  </w:style>
  <w:style w:type="paragraph" w:styleId="ListParagraph">
    <w:name w:val="List Paragraph"/>
    <w:basedOn w:val="Normal"/>
    <w:uiPriority w:val="34"/>
    <w:qFormat/>
    <w:rsid w:val="00576F88"/>
    <w:pPr>
      <w:ind w:left="720"/>
      <w:contextualSpacing/>
    </w:pPr>
  </w:style>
  <w:style w:type="paragraph" w:styleId="TOCHeading">
    <w:name w:val="TOC Heading"/>
    <w:basedOn w:val="Heading1"/>
    <w:next w:val="Normal"/>
    <w:uiPriority w:val="39"/>
    <w:unhideWhenUsed/>
    <w:qFormat/>
    <w:rsid w:val="0017193E"/>
    <w:pPr>
      <w:spacing w:before="240" w:after="0" w:line="259" w:lineRule="auto"/>
      <w:ind w:left="0" w:right="0"/>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7193E"/>
    <w:pPr>
      <w:spacing w:after="100"/>
      <w:ind w:left="0"/>
    </w:pPr>
  </w:style>
  <w:style w:type="paragraph" w:styleId="TOC2">
    <w:name w:val="toc 2"/>
    <w:basedOn w:val="Normal"/>
    <w:next w:val="Normal"/>
    <w:autoRedefine/>
    <w:uiPriority w:val="39"/>
    <w:unhideWhenUsed/>
    <w:rsid w:val="0017193E"/>
    <w:pPr>
      <w:spacing w:after="100"/>
      <w:ind w:left="240"/>
    </w:pPr>
  </w:style>
  <w:style w:type="character" w:styleId="Hyperlink">
    <w:name w:val="Hyperlink"/>
    <w:basedOn w:val="DefaultParagraphFont"/>
    <w:uiPriority w:val="99"/>
    <w:unhideWhenUsed/>
    <w:rsid w:val="001719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015EF-04FD-42D8-AC5F-146E743532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2191</Words>
  <Characters>12491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HENRY WIREDU</cp:lastModifiedBy>
  <cp:revision>2</cp:revision>
  <dcterms:created xsi:type="dcterms:W3CDTF">2025-12-04T09:34:00Z</dcterms:created>
  <dcterms:modified xsi:type="dcterms:W3CDTF">2025-12-04T09:34:00Z</dcterms:modified>
</cp:coreProperties>
</file>