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0E4B" w:rsidRPr="001D11BD" w:rsidRDefault="003C0E4B" w:rsidP="00EA5DA9">
      <w:pPr>
        <w:pStyle w:val="Normal1"/>
        <w:spacing w:before="0" w:after="0"/>
        <w:jc w:val="center"/>
        <w:rPr>
          <w:b/>
          <w:sz w:val="36"/>
          <w:szCs w:val="36"/>
          <w:lang w:val="en-GB"/>
        </w:rPr>
      </w:pPr>
    </w:p>
    <w:p w:rsidR="003C0E4B" w:rsidRPr="001D11BD" w:rsidRDefault="003C0E4B" w:rsidP="00EA5DA9">
      <w:pPr>
        <w:pStyle w:val="Normal1"/>
        <w:spacing w:before="0" w:after="0"/>
        <w:jc w:val="center"/>
        <w:rPr>
          <w:b/>
          <w:sz w:val="36"/>
          <w:szCs w:val="36"/>
          <w:lang w:val="en-GB"/>
        </w:rPr>
      </w:pPr>
    </w:p>
    <w:p w:rsidR="00EA5DA9" w:rsidRPr="001D11BD" w:rsidRDefault="00EA5DA9" w:rsidP="00EA5DA9">
      <w:pPr>
        <w:pStyle w:val="Normal1"/>
        <w:spacing w:before="0" w:after="0"/>
        <w:jc w:val="center"/>
        <w:rPr>
          <w:b/>
          <w:sz w:val="36"/>
          <w:szCs w:val="36"/>
          <w:lang w:val="en-GB"/>
        </w:rPr>
      </w:pPr>
    </w:p>
    <w:p w:rsidR="00EA5DA9" w:rsidRPr="001D11BD" w:rsidRDefault="00EA5DA9" w:rsidP="00EA5DA9">
      <w:pPr>
        <w:pStyle w:val="Normal1"/>
        <w:spacing w:before="0" w:after="0"/>
        <w:jc w:val="center"/>
        <w:rPr>
          <w:b/>
          <w:sz w:val="36"/>
          <w:szCs w:val="36"/>
          <w:lang w:val="en-GB"/>
        </w:rPr>
      </w:pPr>
    </w:p>
    <w:p w:rsidR="00290B2F" w:rsidRDefault="00C54A19" w:rsidP="00290B2F">
      <w:pPr>
        <w:pStyle w:val="Normal1"/>
        <w:jc w:val="center"/>
        <w:rPr>
          <w:b/>
          <w:color w:val="000000" w:themeColor="text1"/>
          <w:sz w:val="36"/>
          <w:szCs w:val="36"/>
          <w:lang w:val="en-GB"/>
        </w:rPr>
      </w:pPr>
      <w:r>
        <w:rPr>
          <w:b/>
          <w:sz w:val="36"/>
          <w:szCs w:val="36"/>
        </w:rPr>
        <w:t xml:space="preserve">    Report </w:t>
      </w:r>
      <w:r w:rsidR="00290B2F" w:rsidRPr="00F71399">
        <w:rPr>
          <w:b/>
          <w:sz w:val="36"/>
          <w:szCs w:val="36"/>
        </w:rPr>
        <w:t>Case Study: The Seacrest Lodge</w:t>
      </w:r>
    </w:p>
    <w:p w:rsidR="00F71399" w:rsidRPr="00F71399" w:rsidRDefault="00290B2F" w:rsidP="00290B2F">
      <w:pPr>
        <w:pStyle w:val="Normal1"/>
        <w:jc w:val="center"/>
        <w:rPr>
          <w:b/>
          <w:color w:val="000000" w:themeColor="text1"/>
          <w:sz w:val="36"/>
          <w:szCs w:val="36"/>
          <w:lang w:val="en-GB"/>
        </w:rPr>
      </w:pPr>
      <w:r>
        <w:rPr>
          <w:b/>
          <w:color w:val="000000" w:themeColor="text1"/>
          <w:sz w:val="36"/>
          <w:szCs w:val="36"/>
          <w:lang w:val="en-GB"/>
        </w:rPr>
        <w:t xml:space="preserve">     </w:t>
      </w:r>
      <w:r w:rsidR="00F71399" w:rsidRPr="00F71399">
        <w:rPr>
          <w:b/>
          <w:color w:val="000000" w:themeColor="text1"/>
          <w:sz w:val="36"/>
          <w:szCs w:val="36"/>
          <w:lang w:val="en-GB"/>
        </w:rPr>
        <w:t>Financial Management for the Hotel Industry</w:t>
      </w:r>
    </w:p>
    <w:p w:rsidR="00F71399" w:rsidRPr="00F71399" w:rsidRDefault="00F71399" w:rsidP="00C201AB">
      <w:pPr>
        <w:pStyle w:val="Normal1"/>
        <w:jc w:val="center"/>
        <w:rPr>
          <w:b/>
          <w:color w:val="000000" w:themeColor="text1"/>
          <w:sz w:val="36"/>
          <w:szCs w:val="36"/>
          <w:lang w:val="en-GB"/>
        </w:rPr>
      </w:pPr>
      <w:r w:rsidRPr="00F71399">
        <w:rPr>
          <w:b/>
          <w:color w:val="000000" w:themeColor="text1"/>
          <w:sz w:val="36"/>
          <w:szCs w:val="36"/>
          <w:lang w:val="en-GB"/>
        </w:rPr>
        <w:t>Module Code: BMIH5007</w:t>
      </w:r>
    </w:p>
    <w:p w:rsidR="00F71399" w:rsidRPr="00F71399" w:rsidRDefault="00F71399" w:rsidP="00C201AB">
      <w:pPr>
        <w:pBdr>
          <w:top w:val="nil"/>
          <w:left w:val="nil"/>
          <w:bottom w:val="nil"/>
          <w:right w:val="nil"/>
          <w:between w:val="nil"/>
        </w:pBdr>
        <w:jc w:val="center"/>
        <w:rPr>
          <w:b/>
          <w:color w:val="000000" w:themeColor="text1"/>
          <w:sz w:val="36"/>
          <w:szCs w:val="36"/>
        </w:rPr>
      </w:pPr>
      <w:r w:rsidRPr="00F71399">
        <w:rPr>
          <w:b/>
          <w:color w:val="000000" w:themeColor="text1"/>
          <w:sz w:val="36"/>
          <w:szCs w:val="36"/>
        </w:rPr>
        <w:t>Student Name: Zakia shirin Nishai</w:t>
      </w:r>
    </w:p>
    <w:p w:rsidR="00F71399" w:rsidRPr="00F71399" w:rsidRDefault="00F71399" w:rsidP="00C201AB">
      <w:pPr>
        <w:pBdr>
          <w:top w:val="nil"/>
          <w:left w:val="nil"/>
          <w:bottom w:val="nil"/>
          <w:right w:val="nil"/>
          <w:between w:val="nil"/>
        </w:pBdr>
        <w:jc w:val="center"/>
        <w:rPr>
          <w:b/>
          <w:color w:val="000000" w:themeColor="text1"/>
          <w:sz w:val="36"/>
          <w:szCs w:val="36"/>
        </w:rPr>
      </w:pPr>
      <w:r w:rsidRPr="00F71399">
        <w:rPr>
          <w:b/>
          <w:color w:val="000000" w:themeColor="text1"/>
          <w:sz w:val="36"/>
          <w:szCs w:val="36"/>
        </w:rPr>
        <w:t>Student ID: 2208336</w:t>
      </w:r>
    </w:p>
    <w:p w:rsidR="00F71399" w:rsidRPr="00F71399" w:rsidRDefault="00C201AB" w:rsidP="00C201AB">
      <w:pPr>
        <w:pStyle w:val="Normal1"/>
        <w:jc w:val="center"/>
        <w:rPr>
          <w:b/>
          <w:color w:val="000000" w:themeColor="text1"/>
          <w:sz w:val="36"/>
          <w:szCs w:val="36"/>
          <w:lang w:val="en-GB"/>
        </w:rPr>
      </w:pPr>
      <w:r>
        <w:rPr>
          <w:b/>
          <w:color w:val="000000" w:themeColor="text1"/>
          <w:sz w:val="36"/>
          <w:szCs w:val="36"/>
        </w:rPr>
        <w:t xml:space="preserve">  </w:t>
      </w:r>
      <w:r w:rsidR="00F71399" w:rsidRPr="00F71399">
        <w:rPr>
          <w:b/>
          <w:color w:val="000000" w:themeColor="text1"/>
          <w:sz w:val="36"/>
          <w:szCs w:val="36"/>
        </w:rPr>
        <w:t>Lecturer Name: Tristan Hawkins</w:t>
      </w:r>
    </w:p>
    <w:p w:rsidR="00EA5DA9" w:rsidRPr="001D11BD" w:rsidRDefault="00EA5DA9" w:rsidP="00EA5DA9">
      <w:pPr>
        <w:spacing w:before="0" w:after="0"/>
        <w:rPr>
          <w:b/>
          <w:sz w:val="36"/>
          <w:szCs w:val="36"/>
          <w:lang w:val="en-GB"/>
        </w:rPr>
      </w:pPr>
      <w:r w:rsidRPr="001D11BD">
        <w:rPr>
          <w:b/>
          <w:sz w:val="36"/>
          <w:szCs w:val="36"/>
          <w:lang w:val="en-GB"/>
        </w:rPr>
        <w:br w:type="page"/>
      </w:r>
    </w:p>
    <w:sdt>
      <w:sdtPr>
        <w:rPr>
          <w:rFonts w:ascii="Times New Roman" w:eastAsia="Times New Roman" w:hAnsi="Times New Roman" w:cs="Times New Roman"/>
          <w:color w:val="auto"/>
          <w:sz w:val="24"/>
          <w:szCs w:val="24"/>
          <w:lang w:val="en-GB"/>
        </w:rPr>
        <w:id w:val="-228853039"/>
        <w:docPartObj>
          <w:docPartGallery w:val="Table of Contents"/>
          <w:docPartUnique/>
        </w:docPartObj>
      </w:sdtPr>
      <w:sdtEndPr>
        <w:rPr>
          <w:b/>
          <w:bCs/>
          <w:noProof/>
        </w:rPr>
      </w:sdtEndPr>
      <w:sdtContent>
        <w:p w:rsidR="00EA5DA9" w:rsidRPr="001D11BD" w:rsidRDefault="00EA5DA9" w:rsidP="00EA5DA9">
          <w:pPr>
            <w:pStyle w:val="TOCHeading"/>
            <w:spacing w:before="0" w:line="360" w:lineRule="auto"/>
            <w:jc w:val="center"/>
            <w:rPr>
              <w:rFonts w:ascii="Times New Roman" w:hAnsi="Times New Roman" w:cs="Times New Roman"/>
              <w:b/>
              <w:color w:val="0D0D0D" w:themeColor="text1" w:themeTint="F2"/>
              <w:sz w:val="28"/>
              <w:lang w:val="en-GB"/>
            </w:rPr>
          </w:pPr>
          <w:r w:rsidRPr="001D11BD">
            <w:rPr>
              <w:rFonts w:ascii="Times New Roman" w:hAnsi="Times New Roman" w:cs="Times New Roman"/>
              <w:b/>
              <w:color w:val="0D0D0D" w:themeColor="text1" w:themeTint="F2"/>
              <w:sz w:val="28"/>
              <w:lang w:val="en-GB"/>
            </w:rPr>
            <w:t>Table of Contents</w:t>
          </w:r>
        </w:p>
        <w:p w:rsidR="004107A2" w:rsidRDefault="0051583A">
          <w:pPr>
            <w:pStyle w:val="TOC1"/>
            <w:tabs>
              <w:tab w:val="right" w:leader="dot" w:pos="9019"/>
            </w:tabs>
            <w:rPr>
              <w:rFonts w:asciiTheme="minorHAnsi" w:eastAsiaTheme="minorEastAsia" w:hAnsiTheme="minorHAnsi" w:cs="Vrinda"/>
              <w:noProof/>
              <w:kern w:val="2"/>
              <w:szCs w:val="30"/>
              <w:lang w:eastAsia="en-GB" w:bidi="bn-IN"/>
            </w:rPr>
          </w:pPr>
          <w:r w:rsidRPr="0051583A">
            <w:rPr>
              <w:lang w:val="en-GB"/>
            </w:rPr>
            <w:fldChar w:fldCharType="begin"/>
          </w:r>
          <w:r w:rsidR="00EA5DA9" w:rsidRPr="001D11BD">
            <w:rPr>
              <w:lang w:val="en-GB"/>
            </w:rPr>
            <w:instrText xml:space="preserve"> TOC \o "1-3" \h \z \u </w:instrText>
          </w:r>
          <w:r w:rsidRPr="0051583A">
            <w:rPr>
              <w:lang w:val="en-GB"/>
            </w:rPr>
            <w:fldChar w:fldCharType="separate"/>
          </w:r>
          <w:hyperlink w:anchor="_Toc167741260" w:history="1">
            <w:r w:rsidR="004107A2" w:rsidRPr="00F144FF">
              <w:rPr>
                <w:rStyle w:val="Hyperlink"/>
                <w:noProof/>
                <w:lang w:val="en-GB"/>
              </w:rPr>
              <w:t>Introduction</w:t>
            </w:r>
            <w:r w:rsidR="004107A2">
              <w:rPr>
                <w:noProof/>
                <w:webHidden/>
              </w:rPr>
              <w:tab/>
            </w:r>
            <w:r>
              <w:rPr>
                <w:noProof/>
                <w:webHidden/>
              </w:rPr>
              <w:fldChar w:fldCharType="begin"/>
            </w:r>
            <w:r w:rsidR="004107A2">
              <w:rPr>
                <w:noProof/>
                <w:webHidden/>
              </w:rPr>
              <w:instrText xml:space="preserve"> PAGEREF _Toc167741260 \h </w:instrText>
            </w:r>
            <w:r>
              <w:rPr>
                <w:noProof/>
                <w:webHidden/>
              </w:rPr>
            </w:r>
            <w:r>
              <w:rPr>
                <w:noProof/>
                <w:webHidden/>
              </w:rPr>
              <w:fldChar w:fldCharType="separate"/>
            </w:r>
            <w:r w:rsidR="004107A2">
              <w:rPr>
                <w:noProof/>
                <w:webHidden/>
              </w:rPr>
              <w:t>1</w:t>
            </w:r>
            <w:r>
              <w:rPr>
                <w:noProof/>
                <w:webHidden/>
              </w:rPr>
              <w:fldChar w:fldCharType="end"/>
            </w:r>
          </w:hyperlink>
        </w:p>
        <w:p w:rsidR="004107A2" w:rsidRDefault="0051583A">
          <w:pPr>
            <w:pStyle w:val="TOC1"/>
            <w:tabs>
              <w:tab w:val="right" w:leader="dot" w:pos="9019"/>
            </w:tabs>
            <w:rPr>
              <w:rFonts w:asciiTheme="minorHAnsi" w:eastAsiaTheme="minorEastAsia" w:hAnsiTheme="minorHAnsi" w:cs="Vrinda"/>
              <w:noProof/>
              <w:kern w:val="2"/>
              <w:szCs w:val="30"/>
              <w:lang w:eastAsia="en-GB" w:bidi="bn-IN"/>
            </w:rPr>
          </w:pPr>
          <w:hyperlink w:anchor="_Toc167741261" w:history="1">
            <w:r w:rsidR="004107A2" w:rsidRPr="00F144FF">
              <w:rPr>
                <w:rStyle w:val="Hyperlink"/>
                <w:noProof/>
                <w:lang w:val="en-GB"/>
              </w:rPr>
              <w:t>Evaluating Seacrest Lodge’s financial performance over the past 3 years</w:t>
            </w:r>
            <w:r w:rsidR="004107A2">
              <w:rPr>
                <w:noProof/>
                <w:webHidden/>
              </w:rPr>
              <w:tab/>
            </w:r>
            <w:r>
              <w:rPr>
                <w:noProof/>
                <w:webHidden/>
              </w:rPr>
              <w:fldChar w:fldCharType="begin"/>
            </w:r>
            <w:r w:rsidR="004107A2">
              <w:rPr>
                <w:noProof/>
                <w:webHidden/>
              </w:rPr>
              <w:instrText xml:space="preserve"> PAGEREF _Toc167741261 \h </w:instrText>
            </w:r>
            <w:r>
              <w:rPr>
                <w:noProof/>
                <w:webHidden/>
              </w:rPr>
            </w:r>
            <w:r>
              <w:rPr>
                <w:noProof/>
                <w:webHidden/>
              </w:rPr>
              <w:fldChar w:fldCharType="separate"/>
            </w:r>
            <w:r w:rsidR="004107A2">
              <w:rPr>
                <w:noProof/>
                <w:webHidden/>
              </w:rPr>
              <w:t>1</w:t>
            </w:r>
            <w:r>
              <w:rPr>
                <w:noProof/>
                <w:webHidden/>
              </w:rPr>
              <w:fldChar w:fldCharType="end"/>
            </w:r>
          </w:hyperlink>
        </w:p>
        <w:p w:rsidR="004107A2" w:rsidRDefault="0051583A">
          <w:pPr>
            <w:pStyle w:val="TOC1"/>
            <w:tabs>
              <w:tab w:val="right" w:leader="dot" w:pos="9019"/>
            </w:tabs>
            <w:rPr>
              <w:rFonts w:asciiTheme="minorHAnsi" w:eastAsiaTheme="minorEastAsia" w:hAnsiTheme="minorHAnsi" w:cs="Vrinda"/>
              <w:noProof/>
              <w:kern w:val="2"/>
              <w:szCs w:val="30"/>
              <w:lang w:eastAsia="en-GB" w:bidi="bn-IN"/>
            </w:rPr>
          </w:pPr>
          <w:hyperlink w:anchor="_Toc167741262" w:history="1">
            <w:r w:rsidR="004107A2" w:rsidRPr="00F144FF">
              <w:rPr>
                <w:rStyle w:val="Hyperlink"/>
                <w:noProof/>
                <w:lang w:val="en-GB"/>
              </w:rPr>
              <w:t>Analysing the key reasons for the profitability decline of Seacrest Lodge</w:t>
            </w:r>
            <w:r w:rsidR="004107A2">
              <w:rPr>
                <w:noProof/>
                <w:webHidden/>
              </w:rPr>
              <w:tab/>
            </w:r>
            <w:r>
              <w:rPr>
                <w:noProof/>
                <w:webHidden/>
              </w:rPr>
              <w:fldChar w:fldCharType="begin"/>
            </w:r>
            <w:r w:rsidR="004107A2">
              <w:rPr>
                <w:noProof/>
                <w:webHidden/>
              </w:rPr>
              <w:instrText xml:space="preserve"> PAGEREF _Toc167741262 \h </w:instrText>
            </w:r>
            <w:r>
              <w:rPr>
                <w:noProof/>
                <w:webHidden/>
              </w:rPr>
            </w:r>
            <w:r>
              <w:rPr>
                <w:noProof/>
                <w:webHidden/>
              </w:rPr>
              <w:fldChar w:fldCharType="separate"/>
            </w:r>
            <w:r w:rsidR="004107A2">
              <w:rPr>
                <w:noProof/>
                <w:webHidden/>
              </w:rPr>
              <w:t>3</w:t>
            </w:r>
            <w:r>
              <w:rPr>
                <w:noProof/>
                <w:webHidden/>
              </w:rPr>
              <w:fldChar w:fldCharType="end"/>
            </w:r>
          </w:hyperlink>
        </w:p>
        <w:p w:rsidR="004107A2" w:rsidRDefault="0051583A">
          <w:pPr>
            <w:pStyle w:val="TOC1"/>
            <w:tabs>
              <w:tab w:val="right" w:leader="dot" w:pos="9019"/>
            </w:tabs>
            <w:rPr>
              <w:rFonts w:asciiTheme="minorHAnsi" w:eastAsiaTheme="minorEastAsia" w:hAnsiTheme="minorHAnsi" w:cs="Vrinda"/>
              <w:noProof/>
              <w:kern w:val="2"/>
              <w:szCs w:val="30"/>
              <w:lang w:eastAsia="en-GB" w:bidi="bn-IN"/>
            </w:rPr>
          </w:pPr>
          <w:hyperlink w:anchor="_Toc167741263" w:history="1">
            <w:r w:rsidR="004107A2" w:rsidRPr="00F144FF">
              <w:rPr>
                <w:rStyle w:val="Hyperlink"/>
                <w:noProof/>
                <w:lang w:val="en-GB"/>
              </w:rPr>
              <w:t>Determining a comprehensive turnaround strategy</w:t>
            </w:r>
            <w:r w:rsidR="004107A2">
              <w:rPr>
                <w:noProof/>
                <w:webHidden/>
              </w:rPr>
              <w:tab/>
            </w:r>
            <w:r>
              <w:rPr>
                <w:noProof/>
                <w:webHidden/>
              </w:rPr>
              <w:fldChar w:fldCharType="begin"/>
            </w:r>
            <w:r w:rsidR="004107A2">
              <w:rPr>
                <w:noProof/>
                <w:webHidden/>
              </w:rPr>
              <w:instrText xml:space="preserve"> PAGEREF _Toc167741263 \h </w:instrText>
            </w:r>
            <w:r>
              <w:rPr>
                <w:noProof/>
                <w:webHidden/>
              </w:rPr>
            </w:r>
            <w:r>
              <w:rPr>
                <w:noProof/>
                <w:webHidden/>
              </w:rPr>
              <w:fldChar w:fldCharType="separate"/>
            </w:r>
            <w:r w:rsidR="004107A2">
              <w:rPr>
                <w:noProof/>
                <w:webHidden/>
              </w:rPr>
              <w:t>5</w:t>
            </w:r>
            <w:r>
              <w:rPr>
                <w:noProof/>
                <w:webHidden/>
              </w:rPr>
              <w:fldChar w:fldCharType="end"/>
            </w:r>
          </w:hyperlink>
        </w:p>
        <w:p w:rsidR="004107A2" w:rsidRDefault="0051583A">
          <w:pPr>
            <w:pStyle w:val="TOC1"/>
            <w:tabs>
              <w:tab w:val="right" w:leader="dot" w:pos="9019"/>
            </w:tabs>
            <w:rPr>
              <w:rFonts w:asciiTheme="minorHAnsi" w:eastAsiaTheme="minorEastAsia" w:hAnsiTheme="minorHAnsi" w:cs="Vrinda"/>
              <w:noProof/>
              <w:kern w:val="2"/>
              <w:szCs w:val="30"/>
              <w:lang w:eastAsia="en-GB" w:bidi="bn-IN"/>
            </w:rPr>
          </w:pPr>
          <w:hyperlink w:anchor="_Toc167741264" w:history="1">
            <w:r w:rsidR="004107A2" w:rsidRPr="00F144FF">
              <w:rPr>
                <w:rStyle w:val="Hyperlink"/>
                <w:noProof/>
                <w:lang w:val="en-GB"/>
              </w:rPr>
              <w:t>Conclusion</w:t>
            </w:r>
            <w:r w:rsidR="004107A2">
              <w:rPr>
                <w:noProof/>
                <w:webHidden/>
              </w:rPr>
              <w:tab/>
            </w:r>
            <w:r>
              <w:rPr>
                <w:noProof/>
                <w:webHidden/>
              </w:rPr>
              <w:fldChar w:fldCharType="begin"/>
            </w:r>
            <w:r w:rsidR="004107A2">
              <w:rPr>
                <w:noProof/>
                <w:webHidden/>
              </w:rPr>
              <w:instrText xml:space="preserve"> PAGEREF _Toc167741264 \h </w:instrText>
            </w:r>
            <w:r>
              <w:rPr>
                <w:noProof/>
                <w:webHidden/>
              </w:rPr>
            </w:r>
            <w:r>
              <w:rPr>
                <w:noProof/>
                <w:webHidden/>
              </w:rPr>
              <w:fldChar w:fldCharType="separate"/>
            </w:r>
            <w:r w:rsidR="004107A2">
              <w:rPr>
                <w:noProof/>
                <w:webHidden/>
              </w:rPr>
              <w:t>6</w:t>
            </w:r>
            <w:r>
              <w:rPr>
                <w:noProof/>
                <w:webHidden/>
              </w:rPr>
              <w:fldChar w:fldCharType="end"/>
            </w:r>
          </w:hyperlink>
        </w:p>
        <w:p w:rsidR="004107A2" w:rsidRDefault="0051583A">
          <w:pPr>
            <w:pStyle w:val="TOC1"/>
            <w:tabs>
              <w:tab w:val="right" w:leader="dot" w:pos="9019"/>
            </w:tabs>
            <w:rPr>
              <w:rFonts w:asciiTheme="minorHAnsi" w:eastAsiaTheme="minorEastAsia" w:hAnsiTheme="minorHAnsi" w:cs="Vrinda"/>
              <w:noProof/>
              <w:kern w:val="2"/>
              <w:szCs w:val="30"/>
              <w:lang w:eastAsia="en-GB" w:bidi="bn-IN"/>
            </w:rPr>
          </w:pPr>
          <w:hyperlink w:anchor="_Toc167741265" w:history="1">
            <w:r w:rsidR="004107A2" w:rsidRPr="00F144FF">
              <w:rPr>
                <w:rStyle w:val="Hyperlink"/>
                <w:noProof/>
                <w:lang w:val="en-GB"/>
              </w:rPr>
              <w:t>References</w:t>
            </w:r>
            <w:r w:rsidR="004107A2">
              <w:rPr>
                <w:noProof/>
                <w:webHidden/>
              </w:rPr>
              <w:tab/>
            </w:r>
            <w:r>
              <w:rPr>
                <w:noProof/>
                <w:webHidden/>
              </w:rPr>
              <w:fldChar w:fldCharType="begin"/>
            </w:r>
            <w:r w:rsidR="004107A2">
              <w:rPr>
                <w:noProof/>
                <w:webHidden/>
              </w:rPr>
              <w:instrText xml:space="preserve"> PAGEREF _Toc167741265 \h </w:instrText>
            </w:r>
            <w:r>
              <w:rPr>
                <w:noProof/>
                <w:webHidden/>
              </w:rPr>
            </w:r>
            <w:r>
              <w:rPr>
                <w:noProof/>
                <w:webHidden/>
              </w:rPr>
              <w:fldChar w:fldCharType="separate"/>
            </w:r>
            <w:r w:rsidR="004107A2">
              <w:rPr>
                <w:noProof/>
                <w:webHidden/>
              </w:rPr>
              <w:t>7</w:t>
            </w:r>
            <w:r>
              <w:rPr>
                <w:noProof/>
                <w:webHidden/>
              </w:rPr>
              <w:fldChar w:fldCharType="end"/>
            </w:r>
          </w:hyperlink>
        </w:p>
        <w:p w:rsidR="00EA5DA9" w:rsidRPr="001D11BD" w:rsidRDefault="0051583A" w:rsidP="00EA5DA9">
          <w:pPr>
            <w:spacing w:before="0" w:after="0"/>
            <w:rPr>
              <w:lang w:val="en-GB"/>
            </w:rPr>
          </w:pPr>
          <w:r w:rsidRPr="001D11BD">
            <w:rPr>
              <w:b/>
              <w:bCs/>
              <w:noProof/>
              <w:lang w:val="en-GB"/>
            </w:rPr>
            <w:fldChar w:fldCharType="end"/>
          </w:r>
        </w:p>
      </w:sdtContent>
    </w:sdt>
    <w:p w:rsidR="003C0E4B" w:rsidRPr="00B66AC8" w:rsidRDefault="00300F00" w:rsidP="00EA5DA9">
      <w:pPr>
        <w:pStyle w:val="Normal1"/>
        <w:spacing w:before="0" w:after="0"/>
        <w:rPr>
          <w:b/>
          <w:lang w:val="en-GB"/>
        </w:rPr>
      </w:pPr>
      <w:r w:rsidRPr="001D11BD">
        <w:rPr>
          <w:lang w:val="en-GB"/>
        </w:rPr>
        <w:br w:type="page"/>
      </w:r>
    </w:p>
    <w:p w:rsidR="004107A2" w:rsidRDefault="004107A2" w:rsidP="00EA5DA9">
      <w:pPr>
        <w:pStyle w:val="Heading1"/>
        <w:spacing w:before="0" w:after="0"/>
        <w:rPr>
          <w:lang w:val="en-GB"/>
        </w:rPr>
        <w:sectPr w:rsidR="004107A2">
          <w:footerReference w:type="default" r:id="rId7"/>
          <w:pgSz w:w="11909" w:h="16834"/>
          <w:pgMar w:top="1440" w:right="1440" w:bottom="1440" w:left="1440" w:header="720" w:footer="720" w:gutter="0"/>
          <w:pgNumType w:start="1"/>
          <w:cols w:space="708"/>
        </w:sectPr>
      </w:pPr>
      <w:bookmarkStart w:id="0" w:name="_hcrtac29slmk" w:colFirst="0" w:colLast="0"/>
      <w:bookmarkEnd w:id="0"/>
    </w:p>
    <w:p w:rsidR="003C0E4B" w:rsidRPr="00F71399" w:rsidRDefault="00300F00" w:rsidP="00EA5DA9">
      <w:pPr>
        <w:pStyle w:val="Heading1"/>
        <w:spacing w:before="0" w:after="0"/>
        <w:rPr>
          <w:b w:val="0"/>
          <w:lang w:val="en-GB"/>
        </w:rPr>
      </w:pPr>
      <w:bookmarkStart w:id="1" w:name="_Toc167741260"/>
      <w:r w:rsidRPr="00F71399">
        <w:rPr>
          <w:b w:val="0"/>
          <w:lang w:val="en-GB"/>
        </w:rPr>
        <w:lastRenderedPageBreak/>
        <w:t>Introduction</w:t>
      </w:r>
      <w:bookmarkEnd w:id="1"/>
    </w:p>
    <w:p w:rsidR="003C0E4B" w:rsidRPr="00F71399" w:rsidRDefault="00300F00" w:rsidP="00EA5DA9">
      <w:pPr>
        <w:pStyle w:val="Normal1"/>
        <w:spacing w:before="0" w:after="0"/>
        <w:rPr>
          <w:lang w:val="en-GB"/>
        </w:rPr>
      </w:pPr>
      <w:r w:rsidRPr="00F71399">
        <w:rPr>
          <w:lang w:val="en-GB"/>
        </w:rPr>
        <w:t>The Seacrest Lodge is a dormer bungalow, which is located close to South Bay in Scarborough. The accommodation is a 4-star holiday home (</w:t>
      </w:r>
      <w:r w:rsidRPr="00F71399">
        <w:rPr>
          <w:color w:val="222222"/>
          <w:highlight w:val="white"/>
          <w:lang w:val="en-GB"/>
        </w:rPr>
        <w:t>Myfavouriteholidaycottages, 2024)</w:t>
      </w:r>
      <w:r w:rsidRPr="00F71399">
        <w:rPr>
          <w:lang w:val="en-GB"/>
        </w:rPr>
        <w:t xml:space="preserve">. The hotel was once a popular destination for vacationers. However, the organisation recently experienced a decline in revenue and profitability alongside customer satisfaction. Henceforth, the study will elaborately analyse the financial performance of the firm from the past three years. The study will discuss the key reasons, which are responsible for low profit generation for the organisation. Apart from that, the study will present a comprehensive turnaround strategy, which can enhance the reputation of Seacrest Lodge as a premium brand. </w:t>
      </w:r>
    </w:p>
    <w:p w:rsidR="00C201AB" w:rsidRDefault="00C201AB" w:rsidP="00EA5DA9">
      <w:pPr>
        <w:pStyle w:val="Heading1"/>
        <w:spacing w:before="0" w:after="0"/>
        <w:rPr>
          <w:b w:val="0"/>
          <w:lang w:val="en-GB"/>
        </w:rPr>
      </w:pPr>
      <w:bookmarkStart w:id="2" w:name="_yasryqvh2lk6" w:colFirst="0" w:colLast="0"/>
      <w:bookmarkStart w:id="3" w:name="_Toc167741261"/>
      <w:bookmarkEnd w:id="2"/>
    </w:p>
    <w:p w:rsidR="003C0E4B" w:rsidRPr="00F71399" w:rsidRDefault="00300F00" w:rsidP="00EA5DA9">
      <w:pPr>
        <w:pStyle w:val="Heading1"/>
        <w:spacing w:before="0" w:after="0"/>
        <w:rPr>
          <w:b w:val="0"/>
          <w:lang w:val="en-GB"/>
        </w:rPr>
      </w:pPr>
      <w:r w:rsidRPr="00F71399">
        <w:rPr>
          <w:b w:val="0"/>
          <w:lang w:val="en-GB"/>
        </w:rPr>
        <w:t>Evaluating Seacrest Lodge’s financial performance over the past 3 years</w:t>
      </w:r>
      <w:bookmarkEnd w:id="3"/>
    </w:p>
    <w:p w:rsidR="003C0E4B" w:rsidRPr="00F71399" w:rsidRDefault="00300F00" w:rsidP="00EA5DA9">
      <w:pPr>
        <w:pStyle w:val="Normal1"/>
        <w:spacing w:before="0" w:after="0"/>
        <w:rPr>
          <w:lang w:val="en-GB"/>
        </w:rPr>
      </w:pPr>
      <w:r w:rsidRPr="00F71399">
        <w:rPr>
          <w:lang w:val="en-GB"/>
        </w:rPr>
        <w:t xml:space="preserve">An identified position of every individual business related to financial aspects is mainly presented in the financial statement that indicates the recognition of the accounting position. For every individual business, a particular concept under strategic management is defined as benchmarking which is applied to provide a comparative status regarding the business position differentiated from the previous year's position. In other words, the concept of benchmark represents a particular type of initiative under which a general differentiation has been measured concerning the business's financial position to identify the progress or trend analysis (Drury, 2021). According to the present provided details Seacrest Lodge is used to provide hospitality service in the United Kingdom and depending on the general market position in the last few years the revenue and earning position of the business has declined imposing a certain level of challenging approach for the business operating position. </w:t>
      </w:r>
    </w:p>
    <w:p w:rsidR="003C0E4B" w:rsidRPr="00F71399" w:rsidRDefault="00300F00" w:rsidP="00EA5DA9">
      <w:pPr>
        <w:pStyle w:val="Normal1"/>
        <w:spacing w:before="0" w:after="0"/>
        <w:rPr>
          <w:lang w:val="en-GB"/>
        </w:rPr>
      </w:pPr>
      <w:r w:rsidRPr="00F71399">
        <w:rPr>
          <w:lang w:val="en-GB"/>
        </w:rPr>
        <w:t>According to the provided brief, mainly the financial statement of the business related to the income statement and balance sheet for 2021, 2022 and 2023 has been provided that represents the general details of business revenue</w:t>
      </w:r>
      <w:r w:rsidR="006C6C71" w:rsidRPr="00F71399">
        <w:rPr>
          <w:lang w:val="en-GB"/>
        </w:rPr>
        <w:t>, expenditure</w:t>
      </w:r>
      <w:r w:rsidRPr="00F71399">
        <w:rPr>
          <w:lang w:val="en-GB"/>
        </w:rPr>
        <w:t>, net profit, assets and also the liability position. The primary approach of this type of detail is fundamentally initiated to identify the financial growth and health approach in a specified order which is ultimately accountable for recognising the business trending value (Atrill and McLaney, 2021). The present recognitions related to the income statement analysis mainly represent the following details;</w:t>
      </w:r>
    </w:p>
    <w:p w:rsidR="003C0E4B" w:rsidRPr="00F71399" w:rsidRDefault="00300F00" w:rsidP="00EA5DA9">
      <w:pPr>
        <w:pStyle w:val="Normal1"/>
        <w:spacing w:before="0" w:after="0"/>
        <w:rPr>
          <w:lang w:val="en-GB"/>
        </w:rPr>
      </w:pPr>
      <w:r w:rsidRPr="00F71399">
        <w:rPr>
          <w:lang w:val="en-GB"/>
        </w:rPr>
        <w:lastRenderedPageBreak/>
        <w:t xml:space="preserve">Income statement: The revenue position of the business has mainly declined from £1,200,000 (2021) to £1,100,000 (2022) and in the current year of 2023 up to £950,000. According to the basic identification this declining stage mainly represents the overall volume of customer engagement in this business has declined compared to the position in 2021 which ultimately imposes a certain volume of negative approach over the business-generated revenue value. Concerning maintaining the business operation mainly, the management needs to incur this type of expense which indicates a general expanded position of £900,000 (2021) to £950,000 (2022) and in the current year of 2023 up to £1,100,000. The overall volume of inflation and the current expanded pricing structure mainly initiate this type of expanded approach that ultimately imposes a negative impact on the profit-generating capability (Seal, 2019). It mainly represents the ultimate earning position of the business associated with generated revenue and incurred expenditure which represents a declining approach from £30,000 (2021) to £150,000 (2022) and in the current year up to the level of (-£150,000).  </w:t>
      </w:r>
    </w:p>
    <w:p w:rsidR="003C0E4B" w:rsidRPr="00F71399" w:rsidRDefault="00300F00" w:rsidP="00EA5DA9">
      <w:pPr>
        <w:pStyle w:val="Normal1"/>
        <w:spacing w:before="0" w:after="0"/>
        <w:rPr>
          <w:lang w:val="en-GB"/>
        </w:rPr>
      </w:pPr>
      <w:r w:rsidRPr="00F71399">
        <w:rPr>
          <w:lang w:val="en-GB"/>
        </w:rPr>
        <w:t>Overall positions related to the earning potential of the business presently indicate a huge volume of declined approaches and a certain level of uncertainty mainly raised due to such basic market insufficiencies. Along with the pricing position, the general expanded labour charges, supply chain issues, and trade deficits also initiate a certain volume of obstacles for the business to gain a sufficient volume of profitability (</w:t>
      </w:r>
      <w:r w:rsidRPr="00F71399">
        <w:rPr>
          <w:color w:val="222222"/>
          <w:highlight w:val="white"/>
          <w:lang w:val="en-GB"/>
        </w:rPr>
        <w:t>Alzoubi</w:t>
      </w:r>
      <w:r w:rsidRPr="00F71399">
        <w:rPr>
          <w:i/>
          <w:color w:val="222222"/>
          <w:highlight w:val="white"/>
          <w:lang w:val="en-GB"/>
        </w:rPr>
        <w:t xml:space="preserve"> et al., </w:t>
      </w:r>
      <w:r w:rsidRPr="00F71399">
        <w:rPr>
          <w:color w:val="222222"/>
          <w:highlight w:val="white"/>
          <w:lang w:val="en-GB"/>
        </w:rPr>
        <w:t>2022)</w:t>
      </w:r>
      <w:r w:rsidRPr="00F71399">
        <w:rPr>
          <w:lang w:val="en-GB"/>
        </w:rPr>
        <w:t xml:space="preserve">.  </w:t>
      </w:r>
    </w:p>
    <w:p w:rsidR="003C0E4B" w:rsidRPr="00F71399" w:rsidRDefault="00300F00" w:rsidP="00EA5DA9">
      <w:pPr>
        <w:pStyle w:val="Normal1"/>
        <w:spacing w:before="0" w:after="0"/>
        <w:rPr>
          <w:lang w:val="en-GB"/>
        </w:rPr>
      </w:pPr>
      <w:r w:rsidRPr="00F71399">
        <w:rPr>
          <w:lang w:val="en-GB"/>
        </w:rPr>
        <w:t xml:space="preserve">Apart from the income statement, the general evaluation of the business balance sheet for the three accounting periods is evaluated which represents the following accounting engagement. </w:t>
      </w:r>
    </w:p>
    <w:p w:rsidR="003C0E4B" w:rsidRPr="00F71399" w:rsidRDefault="00300F00" w:rsidP="00EA5DA9">
      <w:pPr>
        <w:pStyle w:val="Normal1"/>
        <w:spacing w:before="0" w:after="0"/>
        <w:rPr>
          <w:lang w:val="en-GB"/>
        </w:rPr>
      </w:pPr>
      <w:r w:rsidRPr="00F71399">
        <w:rPr>
          <w:lang w:val="en-GB"/>
        </w:rPr>
        <w:t xml:space="preserve">Balance sheet: According to the basic identification the assets generally represent such business elements which are owned by the business. As per the identification, the total cash balance at the present situation represents a declining approach from the value of £100,000 (2021) to £20,000 (2023) currently. Associated with the same approach the accounting receivable analysis mainly indicates a simultaneous declining approach from £50,000 (2021) to £30,000 (2023) presently. The same declining position is noticed regarding the non-current asset as well which indicates from the level of £2,000,000 (2021) to £1,800,000 (2023) currently. Compared to the previous year's position, the overall generated revenue position mainly declined, imposing a certain volume of challenging approaches regarding the declining position of the total asset in the current year (Walker, 2021). </w:t>
      </w:r>
    </w:p>
    <w:p w:rsidR="003C0E4B" w:rsidRPr="00F71399" w:rsidRDefault="00300F00" w:rsidP="00EA5DA9">
      <w:pPr>
        <w:pStyle w:val="Normal1"/>
        <w:spacing w:before="0" w:after="0"/>
        <w:rPr>
          <w:lang w:val="en-GB"/>
        </w:rPr>
      </w:pPr>
      <w:r w:rsidRPr="00F71399">
        <w:rPr>
          <w:lang w:val="en-GB"/>
        </w:rPr>
        <w:t xml:space="preserve">On the other hand, general expansions related to the accounting payable approach are initiated from the level of £30,000 (2021) to £50,000 (2023) indicating the general insufficiency regarding the credit policy structure due to a certain level of marketing challenges. It can be identified that at the present situation, the long-term debt capital position </w:t>
      </w:r>
      <w:r w:rsidRPr="00F71399">
        <w:rPr>
          <w:lang w:val="en-GB"/>
        </w:rPr>
        <w:lastRenderedPageBreak/>
        <w:t xml:space="preserve">of the business remains in a constant position, while the equity value of the business has also declined from the general standard level of £620,000 (2021) to £300,000 (2023) in the current year. </w:t>
      </w:r>
    </w:p>
    <w:p w:rsidR="003C0E4B" w:rsidRPr="00F71399" w:rsidRDefault="00300F00" w:rsidP="00EA5DA9">
      <w:pPr>
        <w:pStyle w:val="Normal1"/>
        <w:spacing w:before="0" w:after="0"/>
        <w:rPr>
          <w:lang w:val="en-GB"/>
        </w:rPr>
      </w:pPr>
      <w:r w:rsidRPr="00F71399">
        <w:rPr>
          <w:lang w:val="en-GB"/>
        </w:rPr>
        <w:t xml:space="preserve">In association with the present operating position the engagement of the current assets position of the business represents a generally declined approach, while the liabilities level is expanded initiating a certain operating crisis in this business. Therefore, based on the above analysis structure, it can be identified that the overall earning including the financial health positioning approach of the business represents a constant declining approach that needs to be formulated with the proper strategic initiative support basis so that the operating growth including the value maintenance position of the business can be managed in the upcoming period. </w:t>
      </w:r>
    </w:p>
    <w:p w:rsidR="003C0E4B" w:rsidRPr="00F71399" w:rsidRDefault="00300F00" w:rsidP="00EA5DA9">
      <w:pPr>
        <w:pStyle w:val="Heading1"/>
        <w:spacing w:before="0" w:after="0"/>
        <w:rPr>
          <w:b w:val="0"/>
          <w:lang w:val="en-GB"/>
        </w:rPr>
      </w:pPr>
      <w:bookmarkStart w:id="4" w:name="_nw849db3bbx" w:colFirst="0" w:colLast="0"/>
      <w:bookmarkStart w:id="5" w:name="_Toc167741262"/>
      <w:bookmarkEnd w:id="4"/>
      <w:r w:rsidRPr="00F71399">
        <w:rPr>
          <w:b w:val="0"/>
          <w:lang w:val="en-GB"/>
        </w:rPr>
        <w:t>Analysing the key reasons for the profitability decline of Seacrest Lodge</w:t>
      </w:r>
      <w:bookmarkEnd w:id="5"/>
    </w:p>
    <w:p w:rsidR="003C0E4B" w:rsidRPr="00F71399" w:rsidRDefault="00300F00" w:rsidP="00EA5DA9">
      <w:pPr>
        <w:pStyle w:val="Normal1"/>
        <w:spacing w:before="0" w:after="0"/>
        <w:rPr>
          <w:lang w:val="en-GB"/>
        </w:rPr>
      </w:pPr>
      <w:r w:rsidRPr="00F71399">
        <w:rPr>
          <w:lang w:val="en-GB"/>
        </w:rPr>
        <w:t>The Seacrest Lodge is a modern self-catering vacation home, located close to Scarborough in North Yorkshire. It is an enormous possession, with a collection of 8 bedrooms, which can acclimate 20 guests at a time (</w:t>
      </w:r>
      <w:r w:rsidRPr="00F71399">
        <w:rPr>
          <w:color w:val="222222"/>
          <w:highlight w:val="white"/>
          <w:lang w:val="en-GB"/>
        </w:rPr>
        <w:t>Myfavouriteholidaycottages, 2024)</w:t>
      </w:r>
      <w:r w:rsidRPr="00F71399">
        <w:rPr>
          <w:lang w:val="en-GB"/>
        </w:rPr>
        <w:t>. However, the hotel has experienced a decline in its profitability in current years. There are several factors, which can be held responsible regarding the same. Political factors in the UK such as increased corporation taxation rates can be one of them. The corporation tax rate in the UK was 25% in 2023 (</w:t>
      </w:r>
      <w:r w:rsidRPr="00F71399">
        <w:rPr>
          <w:color w:val="222222"/>
          <w:highlight w:val="white"/>
          <w:lang w:val="en-GB"/>
        </w:rPr>
        <w:t>PWC, 2024)</w:t>
      </w:r>
      <w:r w:rsidRPr="00F71399">
        <w:rPr>
          <w:lang w:val="en-GB"/>
        </w:rPr>
        <w:t>. The rate saw an increase of 6%, from 19% in 2022. The tax is generally imposed on the net profits earned by the business firm (</w:t>
      </w:r>
      <w:r w:rsidRPr="00F71399">
        <w:rPr>
          <w:color w:val="222222"/>
          <w:highlight w:val="white"/>
          <w:lang w:val="en-GB"/>
        </w:rPr>
        <w:t>‌Asen, 2020)</w:t>
      </w:r>
      <w:r w:rsidRPr="00F71399">
        <w:rPr>
          <w:lang w:val="en-GB"/>
        </w:rPr>
        <w:t xml:space="preserve">. It reduces an organisation's after-tax profit, which negatively impacts the return towards the organisation's shareholders. </w:t>
      </w:r>
    </w:p>
    <w:p w:rsidR="003C0E4B" w:rsidRPr="00F71399" w:rsidRDefault="00300F00" w:rsidP="00EA5DA9">
      <w:pPr>
        <w:pStyle w:val="Normal1"/>
        <w:spacing w:before="0" w:after="0"/>
        <w:jc w:val="center"/>
        <w:rPr>
          <w:lang w:val="en-GB"/>
        </w:rPr>
      </w:pPr>
      <w:r w:rsidRPr="00F71399">
        <w:rPr>
          <w:noProof/>
        </w:rPr>
        <w:lastRenderedPageBreak/>
        <w:drawing>
          <wp:inline distT="114300" distB="114300" distL="114300" distR="114300">
            <wp:extent cx="4855054" cy="3005510"/>
            <wp:effectExtent l="38100" t="38100" r="38100" b="381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855054" cy="3005510"/>
                    </a:xfrm>
                    <a:prstGeom prst="rect">
                      <a:avLst/>
                    </a:prstGeom>
                    <a:ln w="38100">
                      <a:solidFill>
                        <a:srgbClr val="000000"/>
                      </a:solidFill>
                      <a:prstDash val="solid"/>
                    </a:ln>
                  </pic:spPr>
                </pic:pic>
              </a:graphicData>
            </a:graphic>
          </wp:inline>
        </w:drawing>
      </w:r>
    </w:p>
    <w:p w:rsidR="003C0E4B" w:rsidRPr="00F71399" w:rsidRDefault="00300F00" w:rsidP="00EA5DA9">
      <w:pPr>
        <w:pStyle w:val="Normal1"/>
        <w:spacing w:before="0" w:after="0"/>
        <w:jc w:val="center"/>
        <w:rPr>
          <w:lang w:val="en-GB"/>
        </w:rPr>
      </w:pPr>
      <w:r w:rsidRPr="00F71399">
        <w:rPr>
          <w:lang w:val="en-GB"/>
        </w:rPr>
        <w:t>Figure 1: Graphical representation depicting the rise in CPI rate in the UK since February 2023</w:t>
      </w:r>
    </w:p>
    <w:p w:rsidR="003C0E4B" w:rsidRPr="00F71399" w:rsidRDefault="00300F00" w:rsidP="00EA5DA9">
      <w:pPr>
        <w:pStyle w:val="Normal1"/>
        <w:spacing w:before="0" w:after="0"/>
        <w:jc w:val="center"/>
        <w:rPr>
          <w:lang w:val="en-GB"/>
        </w:rPr>
      </w:pPr>
      <w:r w:rsidRPr="00F71399">
        <w:rPr>
          <w:lang w:val="en-GB"/>
        </w:rPr>
        <w:t xml:space="preserve">(Source: </w:t>
      </w:r>
      <w:r w:rsidRPr="00F71399">
        <w:rPr>
          <w:color w:val="222222"/>
          <w:highlight w:val="white"/>
          <w:lang w:val="en-GB"/>
        </w:rPr>
        <w:t>ons.gov.uk. 2024</w:t>
      </w:r>
      <w:r w:rsidRPr="00F71399">
        <w:rPr>
          <w:lang w:val="en-GB"/>
        </w:rPr>
        <w:t>)</w:t>
      </w:r>
    </w:p>
    <w:p w:rsidR="003C0E4B" w:rsidRPr="00F71399" w:rsidRDefault="00300F00" w:rsidP="00EA5DA9">
      <w:pPr>
        <w:pStyle w:val="Normal1"/>
        <w:spacing w:before="0" w:after="0"/>
        <w:rPr>
          <w:lang w:val="en-GB"/>
        </w:rPr>
      </w:pPr>
      <w:r w:rsidRPr="00F71399">
        <w:rPr>
          <w:lang w:val="en-GB"/>
        </w:rPr>
        <w:t>The hospitality industry in the UK has encountered frequent economic downturns. The CPIH annual inflation rate was 5.2% in December 2023 (</w:t>
      </w:r>
      <w:r w:rsidRPr="00F71399">
        <w:rPr>
          <w:color w:val="222222"/>
          <w:highlight w:val="white"/>
          <w:lang w:val="en-GB"/>
        </w:rPr>
        <w:t>ons.gov.uk. 2024)</w:t>
      </w:r>
      <w:r w:rsidRPr="00F71399">
        <w:rPr>
          <w:lang w:val="en-GB"/>
        </w:rPr>
        <w:t>. The rate experienced was recorded as a joint-lowest rate since June 2022. A high inflation rate usually increases the overall costs of goods, such as supplies and foods, on which the hotel operations are heavily dependent. As the overall operational expense rises, it declines the overall profitability. Apart from that, a high inflation rate can negatively affect the purchasing behaviour of customers (</w:t>
      </w:r>
      <w:r w:rsidRPr="00F71399">
        <w:rPr>
          <w:color w:val="222222"/>
          <w:highlight w:val="white"/>
          <w:lang w:val="en-GB"/>
        </w:rPr>
        <w:t>Carstens, 2022)</w:t>
      </w:r>
      <w:r w:rsidRPr="00F71399">
        <w:rPr>
          <w:lang w:val="en-GB"/>
        </w:rPr>
        <w:t xml:space="preserve">. Henceforth, customers tend to cut back their expenses on travelling and transportation. It leads to a decrease in the occupancy rates of the hotel, which negatively impacts the overall revenue generated by Seacrest Lodge. Changes in the travel patterns of customers, and the rise of alternate accommodation options hamper the profitability of Seacrest Lodge. </w:t>
      </w:r>
    </w:p>
    <w:p w:rsidR="003C0E4B" w:rsidRPr="00F71399" w:rsidRDefault="00300F00" w:rsidP="00EA5DA9">
      <w:pPr>
        <w:pStyle w:val="Normal1"/>
        <w:spacing w:before="0" w:after="0"/>
        <w:rPr>
          <w:lang w:val="en-GB"/>
        </w:rPr>
      </w:pPr>
      <w:r w:rsidRPr="00F71399">
        <w:rPr>
          <w:lang w:val="en-GB"/>
        </w:rPr>
        <w:t>Accommodation alternatives such as Airbnb are highly popular across the UK. In 2022, around 7 million guest arrivals were experienced in communities that had their properties listed on Airbnb (</w:t>
      </w:r>
      <w:r w:rsidRPr="00F71399">
        <w:rPr>
          <w:color w:val="222222"/>
          <w:highlight w:val="white"/>
          <w:lang w:val="en-GB"/>
        </w:rPr>
        <w:t>‌Shabrina</w:t>
      </w:r>
      <w:r w:rsidRPr="00F71399">
        <w:rPr>
          <w:i/>
          <w:color w:val="222222"/>
          <w:highlight w:val="white"/>
          <w:lang w:val="en-GB"/>
        </w:rPr>
        <w:t xml:space="preserve">et al., </w:t>
      </w:r>
      <w:r w:rsidRPr="00F71399">
        <w:rPr>
          <w:color w:val="222222"/>
          <w:highlight w:val="white"/>
          <w:lang w:val="en-GB"/>
        </w:rPr>
        <w:t>2022)</w:t>
      </w:r>
      <w:r w:rsidRPr="00F71399">
        <w:rPr>
          <w:lang w:val="en-GB"/>
        </w:rPr>
        <w:t xml:space="preserve">. Apart from that, numerous popular hotels are available near Scarborough. These hotels are Premier Inn, Park Manor and Crown Spa Hotel. The direct competition from the hotels reduces the overall market share of Seacrest Lodge in the UK. Another factor which can be mentioned here is high staffing costs. Complying with a popular regulation in the UK is responsible for increasing the overall operational costs of a </w:t>
      </w:r>
      <w:r w:rsidRPr="00F71399">
        <w:rPr>
          <w:lang w:val="en-GB"/>
        </w:rPr>
        <w:lastRenderedPageBreak/>
        <w:t>business firm. “The National Minimum Wage Act of 1998” in the UK ensures that workers should be paid a minimum amount of wages, per hour of work completed (</w:t>
      </w:r>
      <w:r w:rsidRPr="00F71399">
        <w:rPr>
          <w:color w:val="222222"/>
          <w:highlight w:val="white"/>
          <w:lang w:val="en-GB"/>
        </w:rPr>
        <w:t>Rubery, 2024)</w:t>
      </w:r>
      <w:r w:rsidRPr="00F71399">
        <w:rPr>
          <w:lang w:val="en-GB"/>
        </w:rPr>
        <w:t xml:space="preserve">. If the hotel fails to pass the increase in costs to the customers through price hikes, the revenue generation decreases. It ultimately leads to a decline in profitability. </w:t>
      </w:r>
    </w:p>
    <w:p w:rsidR="003C0E4B" w:rsidRPr="00F71399" w:rsidRDefault="00300F00" w:rsidP="00EA5DA9">
      <w:pPr>
        <w:pStyle w:val="Normal1"/>
        <w:spacing w:before="0" w:after="0"/>
        <w:jc w:val="center"/>
        <w:rPr>
          <w:lang w:val="en-GB"/>
        </w:rPr>
      </w:pPr>
      <w:r w:rsidRPr="00F71399">
        <w:rPr>
          <w:noProof/>
        </w:rPr>
        <w:drawing>
          <wp:inline distT="114300" distB="114300" distL="114300" distR="114300">
            <wp:extent cx="4619625" cy="2886075"/>
            <wp:effectExtent l="38100" t="38100" r="38100" b="381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4619625" cy="2886075"/>
                    </a:xfrm>
                    <a:prstGeom prst="rect">
                      <a:avLst/>
                    </a:prstGeom>
                    <a:ln w="38100">
                      <a:solidFill>
                        <a:srgbClr val="000000"/>
                      </a:solidFill>
                      <a:prstDash val="solid"/>
                    </a:ln>
                  </pic:spPr>
                </pic:pic>
              </a:graphicData>
            </a:graphic>
          </wp:inline>
        </w:drawing>
      </w:r>
    </w:p>
    <w:p w:rsidR="003C0E4B" w:rsidRPr="00F71399" w:rsidRDefault="00300F00" w:rsidP="00EA5DA9">
      <w:pPr>
        <w:pStyle w:val="Normal1"/>
        <w:spacing w:before="0" w:after="0"/>
        <w:jc w:val="center"/>
        <w:rPr>
          <w:lang w:val="en-GB"/>
        </w:rPr>
      </w:pPr>
      <w:r w:rsidRPr="00F71399">
        <w:rPr>
          <w:lang w:val="en-GB"/>
        </w:rPr>
        <w:t>Figure 2: The number of Individuals using the Internet in the UK</w:t>
      </w:r>
    </w:p>
    <w:p w:rsidR="003C0E4B" w:rsidRPr="00F71399" w:rsidRDefault="00300F00" w:rsidP="00EA5DA9">
      <w:pPr>
        <w:pStyle w:val="Normal1"/>
        <w:spacing w:before="0" w:after="0"/>
        <w:jc w:val="center"/>
        <w:rPr>
          <w:lang w:val="en-GB"/>
        </w:rPr>
      </w:pPr>
      <w:r w:rsidRPr="00F71399">
        <w:rPr>
          <w:lang w:val="en-GB"/>
        </w:rPr>
        <w:t>(Source: Statista, 2024)</w:t>
      </w:r>
    </w:p>
    <w:p w:rsidR="003C0E4B" w:rsidRPr="00F71399" w:rsidRDefault="00300F00" w:rsidP="00EA5DA9">
      <w:pPr>
        <w:pStyle w:val="Normal1"/>
        <w:spacing w:before="0" w:after="0"/>
        <w:rPr>
          <w:lang w:val="en-GB"/>
        </w:rPr>
      </w:pPr>
      <w:r w:rsidRPr="00F71399">
        <w:rPr>
          <w:lang w:val="en-GB"/>
        </w:rPr>
        <w:t>Seacrest Lodge does not have an organisational official website. It typically relies on third-party websites to maintain its online presence. Seacrest Lodge cannot attract customers, who rely on e-commerce platforms to book accommodation services. It reduces the online visibility of the brand (</w:t>
      </w:r>
      <w:r w:rsidRPr="00F71399">
        <w:rPr>
          <w:color w:val="222222"/>
          <w:highlight w:val="white"/>
          <w:lang w:val="en-GB"/>
        </w:rPr>
        <w:t xml:space="preserve">Almeida </w:t>
      </w:r>
      <w:r w:rsidRPr="00F71399">
        <w:rPr>
          <w:i/>
          <w:color w:val="222222"/>
          <w:highlight w:val="white"/>
          <w:lang w:val="en-GB"/>
        </w:rPr>
        <w:t>et al.,</w:t>
      </w:r>
      <w:r w:rsidRPr="00F71399">
        <w:rPr>
          <w:color w:val="222222"/>
          <w:highlight w:val="white"/>
          <w:lang w:val="en-GB"/>
        </w:rPr>
        <w:t xml:space="preserve"> 2021)</w:t>
      </w:r>
      <w:r w:rsidRPr="00F71399">
        <w:rPr>
          <w:lang w:val="en-GB"/>
        </w:rPr>
        <w:t>. Not possessing a website compels Seacrest Lodge to pay commission fees to online platforms for online bookings. The UK experiences an Internet Penetration Rate of 98% (</w:t>
      </w:r>
      <w:r w:rsidRPr="00F71399">
        <w:rPr>
          <w:color w:val="222222"/>
          <w:highlight w:val="white"/>
          <w:lang w:val="en-GB"/>
        </w:rPr>
        <w:t>Statista, 2024)</w:t>
      </w:r>
      <w:r w:rsidRPr="00F71399">
        <w:rPr>
          <w:lang w:val="en-GB"/>
        </w:rPr>
        <w:t xml:space="preserve">. Today, accommodation service providers are promoting their websites, to develop a brand identity. The lack of a website for Seacrest Lodge is also responsible for declining the profitability of the business firm. Apart from these, shifts in the choices and preferences of the customers can be responsible for the profit decline of Seacrest Lodge. Tourists today want to avail the accommodation services of an </w:t>
      </w:r>
      <w:r w:rsidR="00D22BC7" w:rsidRPr="00F71399">
        <w:rPr>
          <w:lang w:val="en-GB"/>
        </w:rPr>
        <w:t>organisation, which</w:t>
      </w:r>
      <w:r w:rsidRPr="00F71399">
        <w:rPr>
          <w:lang w:val="en-GB"/>
        </w:rPr>
        <w:t xml:space="preserve"> practises sustainability (</w:t>
      </w:r>
      <w:r w:rsidRPr="00F71399">
        <w:rPr>
          <w:rFonts w:ascii="Calibri" w:eastAsia="Calibri" w:hAnsi="Calibri" w:cs="Calibri"/>
          <w:color w:val="222222"/>
          <w:highlight w:val="white"/>
          <w:lang w:val="en-GB"/>
        </w:rPr>
        <w:t>‌</w:t>
      </w:r>
      <w:r w:rsidRPr="00F71399">
        <w:rPr>
          <w:color w:val="222222"/>
          <w:highlight w:val="white"/>
          <w:lang w:val="en-GB"/>
        </w:rPr>
        <w:t>Sharpley, 2020)</w:t>
      </w:r>
      <w:r w:rsidRPr="00F71399">
        <w:rPr>
          <w:lang w:val="en-GB"/>
        </w:rPr>
        <w:t xml:space="preserve">. The behaviour has received momentum post-COVID-19. The citizens want to live in an environmentally friendly lodging property. As of 2021, approximately 465 hotels in the UK, received their certifications on sustainability, under the Green Tourism Business Schemes. Seacrest Lodge lacks such certification, which negatively impacts its brand identity as a sustainable accommodation service provider. </w:t>
      </w:r>
    </w:p>
    <w:p w:rsidR="003C0E4B" w:rsidRPr="00F71399" w:rsidRDefault="00300F00" w:rsidP="00EA5DA9">
      <w:pPr>
        <w:pStyle w:val="Heading1"/>
        <w:spacing w:before="0" w:after="0"/>
        <w:rPr>
          <w:b w:val="0"/>
          <w:lang w:val="en-GB"/>
        </w:rPr>
      </w:pPr>
      <w:bookmarkStart w:id="6" w:name="_hmmkh8wxj8tk" w:colFirst="0" w:colLast="0"/>
      <w:bookmarkStart w:id="7" w:name="_Toc167741263"/>
      <w:bookmarkEnd w:id="6"/>
      <w:r w:rsidRPr="00F71399">
        <w:rPr>
          <w:b w:val="0"/>
          <w:lang w:val="en-GB"/>
        </w:rPr>
        <w:lastRenderedPageBreak/>
        <w:t>Determining a comprehensive turnaround strategy</w:t>
      </w:r>
      <w:bookmarkEnd w:id="7"/>
    </w:p>
    <w:p w:rsidR="003C0E4B" w:rsidRPr="00F71399" w:rsidRDefault="00300F00" w:rsidP="00EA5DA9">
      <w:pPr>
        <w:pStyle w:val="Normal1"/>
        <w:spacing w:before="0" w:after="0"/>
        <w:rPr>
          <w:lang w:val="en-GB"/>
        </w:rPr>
      </w:pPr>
      <w:r w:rsidRPr="00F71399">
        <w:rPr>
          <w:lang w:val="en-GB"/>
        </w:rPr>
        <w:t>The functionality of Seacrest Lodge depends upon its improved financial health. The organisation should conduct regular financial assessments to identify cash flow issues and revenue decline. Based on that, Seacrest Lodge can review its pricing strategies. The organisation should focus on enhancing the guest experience. Improved guest satisfaction is directly linked with increased revenue generation (</w:t>
      </w:r>
      <w:r w:rsidRPr="00F71399">
        <w:rPr>
          <w:color w:val="222222"/>
          <w:highlight w:val="white"/>
          <w:lang w:val="en-GB"/>
        </w:rPr>
        <w:t>Sharma and Bhat, 2022)</w:t>
      </w:r>
      <w:r w:rsidRPr="00F71399">
        <w:rPr>
          <w:lang w:val="en-GB"/>
        </w:rPr>
        <w:t>. It can be achieved by providing personalised services to the guests, as per their preferences. Every staff member may not exhibit the same hospitality skills. Therefore, Seacrest Lodge can invest in staff training and development programs. The organisation should develop its website, for direct tourist bookings. It can help the organisation reduce its dependencies on third-party websites such as TripAdvisor (</w:t>
      </w:r>
      <w:r w:rsidRPr="00F71399">
        <w:rPr>
          <w:color w:val="222222"/>
          <w:highlight w:val="white"/>
          <w:lang w:val="en-GB"/>
        </w:rPr>
        <w:t>Filieri</w:t>
      </w:r>
      <w:r w:rsidRPr="00F71399">
        <w:rPr>
          <w:i/>
          <w:color w:val="222222"/>
          <w:highlight w:val="white"/>
          <w:lang w:val="en-GB"/>
        </w:rPr>
        <w:t>et al.,</w:t>
      </w:r>
      <w:r w:rsidRPr="00F71399">
        <w:rPr>
          <w:color w:val="222222"/>
          <w:highlight w:val="white"/>
          <w:lang w:val="en-GB"/>
        </w:rPr>
        <w:t xml:space="preserve"> 2021)</w:t>
      </w:r>
      <w:r w:rsidRPr="00F71399">
        <w:rPr>
          <w:lang w:val="en-GB"/>
        </w:rPr>
        <w:t xml:space="preserve">. Consequently, it can prevent Seacrest Lodge from paying a huge commission fee. The website can help the firm to directly communicate with the tourists, which can allow them to establish a strong brand identity. </w:t>
      </w:r>
    </w:p>
    <w:p w:rsidR="003C0E4B" w:rsidRPr="00F71399" w:rsidRDefault="00300F00" w:rsidP="00EA5DA9">
      <w:pPr>
        <w:pStyle w:val="Normal1"/>
        <w:spacing w:before="0" w:after="0"/>
        <w:rPr>
          <w:lang w:val="en-GB"/>
        </w:rPr>
      </w:pPr>
      <w:r w:rsidRPr="00F71399">
        <w:rPr>
          <w:lang w:val="en-GB"/>
        </w:rPr>
        <w:t>The organisation should invest in marketing initiatives. Marketing campaigns can allow a business firm to retain existing customers, and attract new ones. Both traditional and digital marketing channels can be utilised in this context. Social media platforms such as Instagram, Facebook and Twitter can help in performing target advertising campaigns (</w:t>
      </w:r>
      <w:r w:rsidRPr="00F71399">
        <w:rPr>
          <w:color w:val="222222"/>
          <w:highlight w:val="white"/>
          <w:lang w:val="en-GB"/>
        </w:rPr>
        <w:t>Chu</w:t>
      </w:r>
      <w:r w:rsidRPr="00F71399">
        <w:rPr>
          <w:i/>
          <w:color w:val="222222"/>
          <w:highlight w:val="white"/>
          <w:lang w:val="en-GB"/>
        </w:rPr>
        <w:t xml:space="preserve"> et al., </w:t>
      </w:r>
      <w:r w:rsidRPr="00F71399">
        <w:rPr>
          <w:color w:val="222222"/>
          <w:highlight w:val="white"/>
          <w:lang w:val="en-GB"/>
        </w:rPr>
        <w:t>2020)</w:t>
      </w:r>
      <w:r w:rsidRPr="00F71399">
        <w:rPr>
          <w:lang w:val="en-GB"/>
        </w:rPr>
        <w:t>. Additionally, Seacrest Lodge should invest in new technologies, to improve its existing operations. The introduction of IoT software can help to control different room functions, such as entertainment systems and lights. These sensors can control energy usage and track guest movements and locations within the resort (</w:t>
      </w:r>
      <w:r w:rsidRPr="00F71399">
        <w:rPr>
          <w:color w:val="222222"/>
          <w:highlight w:val="white"/>
          <w:lang w:val="en-GB"/>
        </w:rPr>
        <w:t>Sharma and Gupta, 2021)</w:t>
      </w:r>
      <w:r w:rsidRPr="00F71399">
        <w:rPr>
          <w:lang w:val="en-GB"/>
        </w:rPr>
        <w:t xml:space="preserve">. It can ensure sustainability and security within the resort. The introduction of VR technology can facilitate virtual tours for hotel properties. It gives the guests a complete overview of the amenities and facilities provided, which allows guests to make informed decisions. </w:t>
      </w:r>
    </w:p>
    <w:p w:rsidR="003C0E4B" w:rsidRPr="00F71399" w:rsidRDefault="00300F00" w:rsidP="00EA5DA9">
      <w:pPr>
        <w:pStyle w:val="Normal1"/>
        <w:spacing w:before="0" w:after="0"/>
        <w:rPr>
          <w:lang w:val="en-GB"/>
        </w:rPr>
      </w:pPr>
      <w:r w:rsidRPr="00F71399">
        <w:rPr>
          <w:lang w:val="en-GB"/>
        </w:rPr>
        <w:t>Seacrest Lodge should acquire certifications in sustainable practices from Green Tourism Business Schemes. Visit Britain validates the above Scheme, and it is accredited by the International Centre for Responsible Tourism (</w:t>
      </w:r>
      <w:r w:rsidRPr="00F71399">
        <w:rPr>
          <w:color w:val="222222"/>
          <w:highlight w:val="white"/>
          <w:lang w:val="en-GB"/>
        </w:rPr>
        <w:t>Mzembe</w:t>
      </w:r>
      <w:r w:rsidRPr="00F71399">
        <w:rPr>
          <w:i/>
          <w:color w:val="222222"/>
          <w:highlight w:val="white"/>
          <w:lang w:val="en-GB"/>
        </w:rPr>
        <w:t xml:space="preserve">et al., </w:t>
      </w:r>
      <w:r w:rsidRPr="00F71399">
        <w:rPr>
          <w:color w:val="222222"/>
          <w:highlight w:val="white"/>
          <w:lang w:val="en-GB"/>
        </w:rPr>
        <w:t>2020)</w:t>
      </w:r>
      <w:r w:rsidRPr="00F71399">
        <w:rPr>
          <w:lang w:val="en-GB"/>
        </w:rPr>
        <w:t xml:space="preserve">. Seacrest Lodge should invest in renewable sources of energy for powering its operations, and effective waste management. Such sustainable practices can enhance brand reputation, which can improve the brand visibility of the firm within the sector. </w:t>
      </w:r>
    </w:p>
    <w:p w:rsidR="003C0E4B" w:rsidRPr="00F71399" w:rsidRDefault="00300F00" w:rsidP="00EA5DA9">
      <w:pPr>
        <w:pStyle w:val="Heading1"/>
        <w:spacing w:before="0" w:after="0"/>
        <w:rPr>
          <w:b w:val="0"/>
          <w:lang w:val="en-GB"/>
        </w:rPr>
      </w:pPr>
      <w:bookmarkStart w:id="8" w:name="_qy9il4sooj0n" w:colFirst="0" w:colLast="0"/>
      <w:bookmarkStart w:id="9" w:name="_Toc167741264"/>
      <w:bookmarkEnd w:id="8"/>
      <w:r w:rsidRPr="00F71399">
        <w:rPr>
          <w:b w:val="0"/>
          <w:lang w:val="en-GB"/>
        </w:rPr>
        <w:t>Conclusion</w:t>
      </w:r>
      <w:bookmarkEnd w:id="9"/>
    </w:p>
    <w:p w:rsidR="003C0E4B" w:rsidRPr="00F71399" w:rsidRDefault="00300F00" w:rsidP="00EA5DA9">
      <w:pPr>
        <w:pStyle w:val="Normal1"/>
        <w:spacing w:before="0" w:after="0"/>
        <w:rPr>
          <w:lang w:val="en-GB"/>
        </w:rPr>
      </w:pPr>
      <w:r w:rsidRPr="00F71399">
        <w:rPr>
          <w:lang w:val="en-GB"/>
        </w:rPr>
        <w:t xml:space="preserve">As per the income statement, the loss of revenue from the year 2021 to 2023 is evident. Consequently, the net income of the business firm has reduced. Factors which are responsible </w:t>
      </w:r>
      <w:r w:rsidRPr="00F71399">
        <w:rPr>
          <w:lang w:val="en-GB"/>
        </w:rPr>
        <w:lastRenderedPageBreak/>
        <w:t xml:space="preserve">for profit decline are an increase in the corporation tax rates and high inflation rates. For example, the purchasing behaviour of the customers becomes low, due to higher inflation rates. Regulations such as the “National Minimum Wage Act of 1998” are responsible for increasing the overall operational expenses. However, implementing staff training programs can help to enhance customer satisfaction. The introduction of IoT software and VR can help to enhance guest convenience. </w:t>
      </w:r>
      <w:r w:rsidRPr="00F71399">
        <w:rPr>
          <w:lang w:val="en-GB"/>
        </w:rPr>
        <w:br w:type="page"/>
      </w:r>
    </w:p>
    <w:p w:rsidR="003C0E4B" w:rsidRPr="00F71399" w:rsidRDefault="00300F00" w:rsidP="00EA5DA9">
      <w:pPr>
        <w:pStyle w:val="Heading1"/>
        <w:spacing w:before="0" w:after="0"/>
        <w:rPr>
          <w:b w:val="0"/>
          <w:lang w:val="en-GB"/>
        </w:rPr>
      </w:pPr>
      <w:bookmarkStart w:id="10" w:name="_wj556wa82jce" w:colFirst="0" w:colLast="0"/>
      <w:bookmarkStart w:id="11" w:name="_Toc167741265"/>
      <w:bookmarkEnd w:id="10"/>
      <w:r w:rsidRPr="00F71399">
        <w:rPr>
          <w:b w:val="0"/>
          <w:lang w:val="en-GB"/>
        </w:rPr>
        <w:lastRenderedPageBreak/>
        <w:t>References</w:t>
      </w:r>
      <w:bookmarkEnd w:id="11"/>
    </w:p>
    <w:p w:rsidR="004107A2" w:rsidRPr="00A63590" w:rsidRDefault="004107A2" w:rsidP="004107A2">
      <w:pPr>
        <w:pStyle w:val="Normal1"/>
        <w:spacing w:after="0"/>
        <w:rPr>
          <w:color w:val="222222"/>
          <w:highlight w:val="white"/>
          <w:lang w:val="en-GB"/>
        </w:rPr>
      </w:pPr>
      <w:r w:rsidRPr="00A63590">
        <w:rPr>
          <w:color w:val="222222"/>
          <w:highlight w:val="white"/>
          <w:lang w:val="en-GB"/>
        </w:rPr>
        <w:t xml:space="preserve">Almeida, S., Ivanescu, Y. and Campos, A.C., 2021. Creating an online brand identity: The case of the hotel. In </w:t>
      </w:r>
      <w:r w:rsidRPr="00A63590">
        <w:rPr>
          <w:i/>
          <w:color w:val="222222"/>
          <w:highlight w:val="white"/>
          <w:lang w:val="en-GB"/>
        </w:rPr>
        <w:t>Impact of New Media in Tourism</w:t>
      </w:r>
      <w:r w:rsidRPr="00A63590">
        <w:rPr>
          <w:color w:val="222222"/>
          <w:highlight w:val="white"/>
          <w:lang w:val="en-GB"/>
        </w:rPr>
        <w:t xml:space="preserve"> (pp. 57-74). IGI Global.</w:t>
      </w:r>
    </w:p>
    <w:p w:rsidR="004107A2" w:rsidRPr="00A63590" w:rsidRDefault="004107A2" w:rsidP="004107A2">
      <w:pPr>
        <w:pStyle w:val="Normal1"/>
        <w:spacing w:after="0"/>
        <w:rPr>
          <w:color w:val="222222"/>
          <w:highlight w:val="white"/>
          <w:lang w:val="en-GB"/>
        </w:rPr>
      </w:pPr>
      <w:r w:rsidRPr="00A63590">
        <w:rPr>
          <w:color w:val="222222"/>
          <w:highlight w:val="white"/>
          <w:lang w:val="en-GB"/>
        </w:rPr>
        <w:t xml:space="preserve">Alzoubi, H.M., Ghazal, T.M., Sahawneh, N. and Al-Kassem, A.H., 2022. Fuzzy assisted human resource management for supply chain management issues. </w:t>
      </w:r>
      <w:r w:rsidRPr="00A63590">
        <w:rPr>
          <w:i/>
          <w:color w:val="222222"/>
          <w:highlight w:val="white"/>
          <w:lang w:val="en-GB"/>
        </w:rPr>
        <w:t>Annals of Operations Research</w:t>
      </w:r>
      <w:r w:rsidRPr="00A63590">
        <w:rPr>
          <w:color w:val="222222"/>
          <w:highlight w:val="white"/>
          <w:lang w:val="en-GB"/>
        </w:rPr>
        <w:t>.</w:t>
      </w:r>
    </w:p>
    <w:p w:rsidR="004107A2" w:rsidRPr="00A63590" w:rsidRDefault="004107A2" w:rsidP="004107A2">
      <w:pPr>
        <w:pStyle w:val="Normal1"/>
        <w:spacing w:after="0" w:line="480" w:lineRule="auto"/>
        <w:rPr>
          <w:color w:val="222222"/>
          <w:highlight w:val="white"/>
          <w:lang w:val="en-GB"/>
        </w:rPr>
      </w:pPr>
      <w:r w:rsidRPr="00A63590">
        <w:rPr>
          <w:color w:val="222222"/>
          <w:highlight w:val="white"/>
          <w:lang w:val="en-GB"/>
        </w:rPr>
        <w:t xml:space="preserve">‌Asen, E., 2020. Corporate tax rates around the world, 2020. </w:t>
      </w:r>
      <w:r w:rsidRPr="00A63590">
        <w:rPr>
          <w:i/>
          <w:color w:val="222222"/>
          <w:highlight w:val="white"/>
          <w:lang w:val="en-GB"/>
        </w:rPr>
        <w:t>The Tax Foundation</w:t>
      </w:r>
      <w:r w:rsidRPr="00A63590">
        <w:rPr>
          <w:color w:val="222222"/>
          <w:highlight w:val="white"/>
          <w:lang w:val="en-GB"/>
        </w:rPr>
        <w:t>.</w:t>
      </w:r>
    </w:p>
    <w:p w:rsidR="004107A2" w:rsidRPr="00A63590" w:rsidRDefault="004107A2" w:rsidP="004107A2">
      <w:pPr>
        <w:pStyle w:val="Normal1"/>
        <w:spacing w:after="0"/>
        <w:rPr>
          <w:color w:val="222222"/>
          <w:highlight w:val="white"/>
          <w:lang w:val="en-GB"/>
        </w:rPr>
      </w:pPr>
      <w:r w:rsidRPr="00A63590">
        <w:rPr>
          <w:color w:val="222222"/>
          <w:highlight w:val="white"/>
          <w:lang w:val="en-GB"/>
        </w:rPr>
        <w:t>Atrill P, McLaney E 2021 Management Accounting for Decision Makers, FT Prentice Hall</w:t>
      </w:r>
    </w:p>
    <w:p w:rsidR="004107A2" w:rsidRPr="00A63590" w:rsidRDefault="004107A2" w:rsidP="004107A2">
      <w:pPr>
        <w:pStyle w:val="Normal1"/>
        <w:spacing w:after="0"/>
        <w:rPr>
          <w:color w:val="222222"/>
          <w:highlight w:val="white"/>
          <w:lang w:val="en-GB"/>
        </w:rPr>
      </w:pPr>
      <w:r w:rsidRPr="00A63590">
        <w:rPr>
          <w:color w:val="222222"/>
          <w:highlight w:val="white"/>
          <w:lang w:val="en-GB"/>
        </w:rPr>
        <w:t xml:space="preserve">Carstens, A., 2022. The return of inflation. </w:t>
      </w:r>
      <w:r w:rsidRPr="00A63590">
        <w:rPr>
          <w:i/>
          <w:color w:val="222222"/>
          <w:highlight w:val="white"/>
          <w:lang w:val="en-GB"/>
        </w:rPr>
        <w:t>speech at the International Center for Monetary and Banking Studies, Geneva</w:t>
      </w:r>
      <w:r w:rsidRPr="00A63590">
        <w:rPr>
          <w:color w:val="222222"/>
          <w:highlight w:val="white"/>
          <w:lang w:val="en-GB"/>
        </w:rPr>
        <w:t xml:space="preserve">, </w:t>
      </w:r>
      <w:r w:rsidRPr="00A63590">
        <w:rPr>
          <w:i/>
          <w:color w:val="222222"/>
          <w:highlight w:val="white"/>
          <w:lang w:val="en-GB"/>
        </w:rPr>
        <w:t>5</w:t>
      </w:r>
      <w:r w:rsidRPr="00A63590">
        <w:rPr>
          <w:color w:val="222222"/>
          <w:highlight w:val="white"/>
          <w:lang w:val="en-GB"/>
        </w:rPr>
        <w:t>.</w:t>
      </w:r>
    </w:p>
    <w:p w:rsidR="004107A2" w:rsidRPr="00A63590" w:rsidRDefault="004107A2" w:rsidP="004107A2">
      <w:pPr>
        <w:pStyle w:val="Normal1"/>
        <w:spacing w:after="0"/>
        <w:rPr>
          <w:color w:val="222222"/>
          <w:highlight w:val="white"/>
          <w:lang w:val="en-GB"/>
        </w:rPr>
      </w:pPr>
      <w:r w:rsidRPr="00A63590">
        <w:rPr>
          <w:color w:val="222222"/>
          <w:highlight w:val="white"/>
          <w:lang w:val="en-GB"/>
        </w:rPr>
        <w:t xml:space="preserve">Chu, S.C., Deng, T. and Cheng, H., 2020. The role of social media advertising in hospitality, tourism and travel: a literature review and research agenda. </w:t>
      </w:r>
      <w:r w:rsidRPr="00A63590">
        <w:rPr>
          <w:i/>
          <w:color w:val="222222"/>
          <w:highlight w:val="white"/>
          <w:lang w:val="en-GB"/>
        </w:rPr>
        <w:t>International Journal of Contemporary Hospitality Management</w:t>
      </w:r>
      <w:r w:rsidRPr="00A63590">
        <w:rPr>
          <w:color w:val="222222"/>
          <w:highlight w:val="white"/>
          <w:lang w:val="en-GB"/>
        </w:rPr>
        <w:t xml:space="preserve">, </w:t>
      </w:r>
      <w:r w:rsidRPr="00A63590">
        <w:rPr>
          <w:i/>
          <w:color w:val="222222"/>
          <w:highlight w:val="white"/>
          <w:lang w:val="en-GB"/>
        </w:rPr>
        <w:t>32</w:t>
      </w:r>
      <w:r w:rsidRPr="00A63590">
        <w:rPr>
          <w:color w:val="222222"/>
          <w:highlight w:val="white"/>
          <w:lang w:val="en-GB"/>
        </w:rPr>
        <w:t>(11), pp.3419-3438.</w:t>
      </w:r>
    </w:p>
    <w:p w:rsidR="004107A2" w:rsidRPr="00A63590" w:rsidRDefault="004107A2" w:rsidP="004107A2">
      <w:pPr>
        <w:pStyle w:val="Normal1"/>
        <w:spacing w:after="0"/>
        <w:rPr>
          <w:color w:val="222222"/>
          <w:highlight w:val="white"/>
          <w:lang w:val="en-GB"/>
        </w:rPr>
      </w:pPr>
      <w:r w:rsidRPr="00A63590">
        <w:rPr>
          <w:color w:val="222222"/>
          <w:highlight w:val="white"/>
          <w:lang w:val="en-GB"/>
        </w:rPr>
        <w:t>Drury C 2021 (11th Ed) Management and Cost Accounting, London, Prentice Hall</w:t>
      </w:r>
    </w:p>
    <w:p w:rsidR="004107A2" w:rsidRPr="00A63590" w:rsidRDefault="004107A2" w:rsidP="004107A2">
      <w:pPr>
        <w:pStyle w:val="Normal1"/>
        <w:spacing w:after="0"/>
        <w:rPr>
          <w:color w:val="222222"/>
          <w:highlight w:val="white"/>
          <w:lang w:val="en-GB"/>
        </w:rPr>
      </w:pPr>
      <w:r w:rsidRPr="00A63590">
        <w:rPr>
          <w:color w:val="222222"/>
          <w:highlight w:val="white"/>
          <w:lang w:val="en-GB"/>
        </w:rPr>
        <w:t xml:space="preserve">Filieri, R., Acikgoz, F., Ndou, V. and Dwivedi, Y., 2021. Is TripAdvisor still relevant? The influence of review credibility, review usefulness, and ease of use on consumers’ continuance intention. </w:t>
      </w:r>
      <w:r w:rsidRPr="00A63590">
        <w:rPr>
          <w:i/>
          <w:color w:val="222222"/>
          <w:highlight w:val="white"/>
          <w:lang w:val="en-GB"/>
        </w:rPr>
        <w:t>International Journal of Contemporary Hospitality Management</w:t>
      </w:r>
      <w:r w:rsidRPr="00A63590">
        <w:rPr>
          <w:color w:val="222222"/>
          <w:highlight w:val="white"/>
          <w:lang w:val="en-GB"/>
        </w:rPr>
        <w:t xml:space="preserve">, </w:t>
      </w:r>
      <w:r w:rsidRPr="00A63590">
        <w:rPr>
          <w:i/>
          <w:color w:val="222222"/>
          <w:highlight w:val="white"/>
          <w:lang w:val="en-GB"/>
        </w:rPr>
        <w:t>33</w:t>
      </w:r>
      <w:r w:rsidRPr="00A63590">
        <w:rPr>
          <w:color w:val="222222"/>
          <w:highlight w:val="white"/>
          <w:lang w:val="en-GB"/>
        </w:rPr>
        <w:t>(1), pp.199-223.</w:t>
      </w:r>
    </w:p>
    <w:p w:rsidR="004107A2" w:rsidRPr="00A63590" w:rsidRDefault="004107A2" w:rsidP="004107A2">
      <w:pPr>
        <w:pStyle w:val="Normal1"/>
        <w:spacing w:after="0"/>
        <w:rPr>
          <w:color w:val="222222"/>
          <w:highlight w:val="white"/>
          <w:lang w:val="en-GB"/>
        </w:rPr>
      </w:pPr>
      <w:r w:rsidRPr="00A63590">
        <w:rPr>
          <w:color w:val="222222"/>
          <w:highlight w:val="white"/>
          <w:lang w:val="en-GB"/>
        </w:rPr>
        <w:t xml:space="preserve">Myfavouriteholidaycottages, 2024. </w:t>
      </w:r>
      <w:r w:rsidRPr="00A63590">
        <w:rPr>
          <w:i/>
          <w:color w:val="222222"/>
          <w:highlight w:val="white"/>
          <w:lang w:val="en-GB"/>
        </w:rPr>
        <w:t>Large Scarborough holiday bungalow sleeps 20. Seacrest Lodge</w:t>
      </w:r>
      <w:r w:rsidRPr="00A63590">
        <w:rPr>
          <w:color w:val="222222"/>
          <w:highlight w:val="white"/>
          <w:lang w:val="en-GB"/>
        </w:rPr>
        <w:t>. [Online] Available at: &lt;https://www.myfavouriteholidaycottages.co.uk/north-yorkshire/scarborough/seacrest-lodge</w:t>
      </w:r>
    </w:p>
    <w:p w:rsidR="004107A2" w:rsidRPr="00A63590" w:rsidRDefault="004107A2" w:rsidP="004107A2">
      <w:pPr>
        <w:pStyle w:val="Normal1"/>
        <w:spacing w:after="0"/>
        <w:rPr>
          <w:color w:val="222222"/>
          <w:highlight w:val="white"/>
          <w:lang w:val="en-GB"/>
        </w:rPr>
      </w:pPr>
      <w:r w:rsidRPr="00A63590">
        <w:rPr>
          <w:color w:val="222222"/>
          <w:highlight w:val="white"/>
          <w:lang w:val="en-GB"/>
        </w:rPr>
        <w:lastRenderedPageBreak/>
        <w:t xml:space="preserve">Mzembe, A.N., Lindgreen, A., Idemudia, U. and Melissen, F., 2020. A club perspective of sustainability certification schemes in the tourism and hospitality industry. </w:t>
      </w:r>
      <w:r w:rsidRPr="00A63590">
        <w:rPr>
          <w:i/>
          <w:color w:val="222222"/>
          <w:highlight w:val="white"/>
          <w:lang w:val="en-GB"/>
        </w:rPr>
        <w:t>Journal of Sustainable Tourism</w:t>
      </w:r>
      <w:r w:rsidRPr="00A63590">
        <w:rPr>
          <w:color w:val="222222"/>
          <w:highlight w:val="white"/>
          <w:lang w:val="en-GB"/>
        </w:rPr>
        <w:t xml:space="preserve">, </w:t>
      </w:r>
      <w:r w:rsidRPr="00A63590">
        <w:rPr>
          <w:i/>
          <w:color w:val="222222"/>
          <w:highlight w:val="white"/>
          <w:lang w:val="en-GB"/>
        </w:rPr>
        <w:t>28</w:t>
      </w:r>
      <w:r w:rsidRPr="00A63590">
        <w:rPr>
          <w:color w:val="222222"/>
          <w:highlight w:val="white"/>
          <w:lang w:val="en-GB"/>
        </w:rPr>
        <w:t>(9), pp.1332-1350.</w:t>
      </w:r>
    </w:p>
    <w:p w:rsidR="004107A2" w:rsidRPr="00A63590" w:rsidRDefault="004107A2" w:rsidP="004107A2">
      <w:pPr>
        <w:pStyle w:val="Normal1"/>
        <w:spacing w:after="0"/>
        <w:rPr>
          <w:color w:val="222222"/>
          <w:highlight w:val="white"/>
          <w:lang w:val="en-GB"/>
        </w:rPr>
      </w:pPr>
      <w:r w:rsidRPr="00A63590">
        <w:rPr>
          <w:color w:val="222222"/>
          <w:highlight w:val="white"/>
          <w:lang w:val="en-GB"/>
        </w:rPr>
        <w:t xml:space="preserve">ons.gov.uk. 2024. </w:t>
      </w:r>
      <w:r w:rsidRPr="00A63590">
        <w:rPr>
          <w:i/>
          <w:color w:val="222222"/>
          <w:highlight w:val="white"/>
          <w:lang w:val="en-GB"/>
        </w:rPr>
        <w:t>Consumer price inflation, UK - Office for National Statistics</w:t>
      </w:r>
      <w:r w:rsidRPr="00A63590">
        <w:rPr>
          <w:color w:val="222222"/>
          <w:highlight w:val="white"/>
          <w:lang w:val="en-GB"/>
        </w:rPr>
        <w:t>. [Online] Available at: &lt;https://www.ons.gov.uk/economy/inflationandpriceindices/bulletins/consumerpriceinflation/december2023#:~:text=The%20core%20CPIH%20annual%20inflation.&gt;</w:t>
      </w:r>
    </w:p>
    <w:p w:rsidR="004107A2" w:rsidRPr="00A63590" w:rsidRDefault="004107A2" w:rsidP="004107A2">
      <w:pPr>
        <w:pStyle w:val="Normal1"/>
        <w:spacing w:after="0"/>
        <w:rPr>
          <w:color w:val="222222"/>
          <w:highlight w:val="white"/>
          <w:lang w:val="en-GB"/>
        </w:rPr>
      </w:pPr>
      <w:r w:rsidRPr="00A63590">
        <w:rPr>
          <w:color w:val="222222"/>
          <w:highlight w:val="white"/>
          <w:lang w:val="en-GB"/>
        </w:rPr>
        <w:t xml:space="preserve">PWC, 2024. </w:t>
      </w:r>
      <w:r w:rsidRPr="00A63590">
        <w:rPr>
          <w:i/>
          <w:color w:val="222222"/>
          <w:highlight w:val="white"/>
          <w:lang w:val="en-GB"/>
        </w:rPr>
        <w:t>United Kingdom - Corporate - Taxes on corporate income</w:t>
      </w:r>
      <w:r w:rsidRPr="00A63590">
        <w:rPr>
          <w:color w:val="222222"/>
          <w:highlight w:val="white"/>
          <w:lang w:val="en-GB"/>
        </w:rPr>
        <w:t>. [Online]. Available at: &lt;https://taxsummaries.pwc.com/united-kingdom/corporate/taxes-on-corporate-income.&gt;</w:t>
      </w:r>
    </w:p>
    <w:p w:rsidR="004107A2" w:rsidRPr="00A63590" w:rsidRDefault="004107A2" w:rsidP="004107A2">
      <w:pPr>
        <w:pStyle w:val="Normal1"/>
        <w:spacing w:after="0"/>
        <w:rPr>
          <w:color w:val="222222"/>
          <w:highlight w:val="white"/>
          <w:lang w:val="en-GB"/>
        </w:rPr>
      </w:pPr>
      <w:r w:rsidRPr="00A63590">
        <w:rPr>
          <w:color w:val="222222"/>
          <w:highlight w:val="white"/>
          <w:lang w:val="en-GB"/>
        </w:rPr>
        <w:t xml:space="preserve">Rubery, J., 2024. Labour Markets. In </w:t>
      </w:r>
      <w:r w:rsidRPr="00A63590">
        <w:rPr>
          <w:i/>
          <w:color w:val="222222"/>
          <w:highlight w:val="white"/>
          <w:lang w:val="en-GB"/>
        </w:rPr>
        <w:t>The Value of Industrial Relations</w:t>
      </w:r>
      <w:r w:rsidRPr="00A63590">
        <w:rPr>
          <w:color w:val="222222"/>
          <w:highlight w:val="white"/>
          <w:lang w:val="en-GB"/>
        </w:rPr>
        <w:t xml:space="preserve"> (pp. 89-102). Bristol University Press.</w:t>
      </w:r>
    </w:p>
    <w:p w:rsidR="004107A2" w:rsidRPr="00A63590" w:rsidRDefault="004107A2" w:rsidP="004107A2">
      <w:pPr>
        <w:pStyle w:val="Normal1"/>
        <w:spacing w:after="0"/>
        <w:rPr>
          <w:color w:val="222222"/>
          <w:highlight w:val="white"/>
          <w:lang w:val="en-GB"/>
        </w:rPr>
      </w:pPr>
      <w:r w:rsidRPr="00A63590">
        <w:rPr>
          <w:color w:val="222222"/>
          <w:highlight w:val="white"/>
          <w:lang w:val="en-GB"/>
        </w:rPr>
        <w:t xml:space="preserve">Seal W 2019 (6th Ed) </w:t>
      </w:r>
      <w:r w:rsidRPr="004107A2">
        <w:rPr>
          <w:i/>
          <w:iCs/>
          <w:color w:val="222222"/>
          <w:highlight w:val="white"/>
          <w:lang w:val="en-GB"/>
        </w:rPr>
        <w:t>Management Accounting</w:t>
      </w:r>
      <w:r w:rsidRPr="00A63590">
        <w:rPr>
          <w:color w:val="222222"/>
          <w:highlight w:val="white"/>
          <w:lang w:val="en-GB"/>
        </w:rPr>
        <w:t>, London, McGraw Hill</w:t>
      </w:r>
    </w:p>
    <w:p w:rsidR="004107A2" w:rsidRPr="00A63590" w:rsidRDefault="004107A2" w:rsidP="004107A2">
      <w:pPr>
        <w:pStyle w:val="Normal1"/>
        <w:spacing w:after="0"/>
        <w:rPr>
          <w:color w:val="222222"/>
          <w:highlight w:val="white"/>
          <w:lang w:val="en-GB"/>
        </w:rPr>
      </w:pPr>
      <w:r w:rsidRPr="00A63590">
        <w:rPr>
          <w:color w:val="222222"/>
          <w:highlight w:val="white"/>
          <w:lang w:val="en-GB"/>
        </w:rPr>
        <w:t xml:space="preserve">‌Shabrina, Z., Arcaute, E. and Batty, M., 2022. Airbnb and its potential impact on the London housing market. </w:t>
      </w:r>
      <w:r w:rsidRPr="00A63590">
        <w:rPr>
          <w:i/>
          <w:color w:val="222222"/>
          <w:highlight w:val="white"/>
          <w:lang w:val="en-GB"/>
        </w:rPr>
        <w:t>Urban Studies</w:t>
      </w:r>
      <w:r w:rsidRPr="00A63590">
        <w:rPr>
          <w:color w:val="222222"/>
          <w:highlight w:val="white"/>
          <w:lang w:val="en-GB"/>
        </w:rPr>
        <w:t xml:space="preserve">, </w:t>
      </w:r>
      <w:r w:rsidRPr="00A63590">
        <w:rPr>
          <w:i/>
          <w:color w:val="222222"/>
          <w:highlight w:val="white"/>
          <w:lang w:val="en-GB"/>
        </w:rPr>
        <w:t>59</w:t>
      </w:r>
      <w:r w:rsidRPr="00A63590">
        <w:rPr>
          <w:color w:val="222222"/>
          <w:highlight w:val="white"/>
          <w:lang w:val="en-GB"/>
        </w:rPr>
        <w:t>(1), pp.197-221.</w:t>
      </w:r>
    </w:p>
    <w:p w:rsidR="004107A2" w:rsidRPr="00A63590" w:rsidRDefault="004107A2" w:rsidP="004107A2">
      <w:pPr>
        <w:pStyle w:val="Normal1"/>
        <w:spacing w:after="0"/>
        <w:rPr>
          <w:color w:val="222222"/>
          <w:highlight w:val="white"/>
          <w:lang w:val="en-GB"/>
        </w:rPr>
      </w:pPr>
      <w:r w:rsidRPr="00A63590">
        <w:rPr>
          <w:color w:val="222222"/>
          <w:highlight w:val="white"/>
          <w:lang w:val="en-GB"/>
        </w:rPr>
        <w:t xml:space="preserve">Sharma, U. and Gupta, D., 2021, July. Analyzing the applications of the internet of things in the hotel industry. In </w:t>
      </w:r>
      <w:r w:rsidRPr="00A63590">
        <w:rPr>
          <w:i/>
          <w:color w:val="222222"/>
          <w:highlight w:val="white"/>
          <w:lang w:val="en-GB"/>
        </w:rPr>
        <w:t>Journal of Physics: Conference Series</w:t>
      </w:r>
      <w:r w:rsidRPr="00A63590">
        <w:rPr>
          <w:color w:val="222222"/>
          <w:highlight w:val="white"/>
          <w:lang w:val="en-GB"/>
        </w:rPr>
        <w:t xml:space="preserve"> (Vol. 1969, No. 1, p. 012041). IOP Publishing.</w:t>
      </w:r>
    </w:p>
    <w:p w:rsidR="004107A2" w:rsidRPr="00A63590" w:rsidRDefault="004107A2" w:rsidP="004107A2">
      <w:pPr>
        <w:pStyle w:val="Normal1"/>
        <w:spacing w:after="0"/>
        <w:rPr>
          <w:color w:val="222222"/>
          <w:highlight w:val="white"/>
          <w:lang w:val="en-GB"/>
        </w:rPr>
      </w:pPr>
      <w:r w:rsidRPr="00A63590">
        <w:rPr>
          <w:color w:val="222222"/>
          <w:highlight w:val="white"/>
          <w:lang w:val="en-GB"/>
        </w:rPr>
        <w:t xml:space="preserve">Sharma, V. and Bhat, D.A.R., 2022. Co-creation and technological innovation: The predictors of guest satisfaction and revisit intention in the hospitality industry. </w:t>
      </w:r>
      <w:r w:rsidRPr="00A63590">
        <w:rPr>
          <w:i/>
          <w:color w:val="222222"/>
          <w:highlight w:val="white"/>
          <w:lang w:val="en-GB"/>
        </w:rPr>
        <w:t>International Journal of Hospitality &amp; Tourism Systems</w:t>
      </w:r>
      <w:r w:rsidRPr="00A63590">
        <w:rPr>
          <w:color w:val="222222"/>
          <w:highlight w:val="white"/>
          <w:lang w:val="en-GB"/>
        </w:rPr>
        <w:t xml:space="preserve">, </w:t>
      </w:r>
      <w:r w:rsidRPr="00A63590">
        <w:rPr>
          <w:i/>
          <w:color w:val="222222"/>
          <w:highlight w:val="white"/>
          <w:lang w:val="en-GB"/>
        </w:rPr>
        <w:t>15</w:t>
      </w:r>
      <w:r w:rsidRPr="00A63590">
        <w:rPr>
          <w:color w:val="222222"/>
          <w:highlight w:val="white"/>
          <w:lang w:val="en-GB"/>
        </w:rPr>
        <w:t>(1).</w:t>
      </w:r>
    </w:p>
    <w:p w:rsidR="004107A2" w:rsidRPr="00A63590" w:rsidRDefault="004107A2" w:rsidP="004107A2">
      <w:pPr>
        <w:pStyle w:val="Normal1"/>
        <w:spacing w:after="0"/>
        <w:rPr>
          <w:color w:val="222222"/>
          <w:highlight w:val="white"/>
          <w:lang w:val="en-GB"/>
        </w:rPr>
      </w:pPr>
      <w:r w:rsidRPr="00A63590">
        <w:rPr>
          <w:rFonts w:eastAsia="Calibri"/>
          <w:color w:val="222222"/>
          <w:highlight w:val="white"/>
          <w:lang w:val="en-GB"/>
        </w:rPr>
        <w:t>‌</w:t>
      </w:r>
      <w:r w:rsidRPr="00A63590">
        <w:rPr>
          <w:color w:val="222222"/>
          <w:highlight w:val="white"/>
          <w:lang w:val="en-GB"/>
        </w:rPr>
        <w:t xml:space="preserve">Sharpley, R., 2020. Tourism, sustainable development and the theoretical divide: 20 years on. </w:t>
      </w:r>
      <w:r w:rsidRPr="00A63590">
        <w:rPr>
          <w:i/>
          <w:color w:val="222222"/>
          <w:highlight w:val="white"/>
          <w:lang w:val="en-GB"/>
        </w:rPr>
        <w:t>Journal of sustainable tourism</w:t>
      </w:r>
      <w:r w:rsidRPr="00A63590">
        <w:rPr>
          <w:color w:val="222222"/>
          <w:highlight w:val="white"/>
          <w:lang w:val="en-GB"/>
        </w:rPr>
        <w:t xml:space="preserve">, </w:t>
      </w:r>
      <w:r w:rsidRPr="00A63590">
        <w:rPr>
          <w:i/>
          <w:color w:val="222222"/>
          <w:highlight w:val="white"/>
          <w:lang w:val="en-GB"/>
        </w:rPr>
        <w:t>28</w:t>
      </w:r>
      <w:r w:rsidRPr="00A63590">
        <w:rPr>
          <w:color w:val="222222"/>
          <w:highlight w:val="white"/>
          <w:lang w:val="en-GB"/>
        </w:rPr>
        <w:t>(11), pp.1932-1946.</w:t>
      </w:r>
    </w:p>
    <w:p w:rsidR="004107A2" w:rsidRPr="00A63590" w:rsidRDefault="004107A2" w:rsidP="004107A2">
      <w:pPr>
        <w:pStyle w:val="Normal1"/>
        <w:spacing w:after="0" w:line="480" w:lineRule="auto"/>
        <w:rPr>
          <w:color w:val="222222"/>
          <w:highlight w:val="white"/>
          <w:lang w:val="en-GB"/>
        </w:rPr>
      </w:pPr>
      <w:r w:rsidRPr="00A63590">
        <w:rPr>
          <w:color w:val="222222"/>
          <w:highlight w:val="white"/>
          <w:lang w:val="en-GB"/>
        </w:rPr>
        <w:t xml:space="preserve">‌Statista, 2024. </w:t>
      </w:r>
      <w:r w:rsidRPr="00A63590">
        <w:rPr>
          <w:i/>
          <w:color w:val="222222"/>
          <w:highlight w:val="white"/>
          <w:lang w:val="en-GB"/>
        </w:rPr>
        <w:t>Internet penetration in the UK 1990-2018</w:t>
      </w:r>
      <w:r w:rsidRPr="00A63590">
        <w:rPr>
          <w:color w:val="222222"/>
          <w:highlight w:val="white"/>
          <w:lang w:val="en-GB"/>
        </w:rPr>
        <w:t>. [Online] Statista. Available at: &lt;https://www.statista.com/statistics/1124328/internet-penetration-uk/.&gt;</w:t>
      </w:r>
    </w:p>
    <w:p w:rsidR="004107A2" w:rsidRPr="00A63590" w:rsidRDefault="004107A2" w:rsidP="004107A2">
      <w:pPr>
        <w:pStyle w:val="Normal1"/>
        <w:spacing w:after="0"/>
        <w:rPr>
          <w:color w:val="222222"/>
          <w:highlight w:val="white"/>
          <w:lang w:val="en-GB"/>
        </w:rPr>
      </w:pPr>
      <w:r w:rsidRPr="00A63590">
        <w:rPr>
          <w:color w:val="222222"/>
          <w:highlight w:val="white"/>
          <w:lang w:val="en-GB"/>
        </w:rPr>
        <w:lastRenderedPageBreak/>
        <w:t xml:space="preserve">Walker J 2021 </w:t>
      </w:r>
      <w:r w:rsidRPr="004107A2">
        <w:rPr>
          <w:i/>
          <w:iCs/>
          <w:color w:val="222222"/>
          <w:highlight w:val="white"/>
          <w:lang w:val="en-GB"/>
        </w:rPr>
        <w:t>Introduction to Hospitality</w:t>
      </w:r>
      <w:r w:rsidRPr="00A63590">
        <w:rPr>
          <w:color w:val="222222"/>
          <w:highlight w:val="white"/>
          <w:lang w:val="en-GB"/>
        </w:rPr>
        <w:t>, Harlow, Pearson</w:t>
      </w:r>
    </w:p>
    <w:sectPr w:rsidR="004107A2" w:rsidRPr="00A63590" w:rsidSect="00BD6CCD">
      <w:footerReference w:type="default" r:id="rId10"/>
      <w:pgSz w:w="11909" w:h="16834"/>
      <w:pgMar w:top="1440" w:right="1440" w:bottom="1440" w:left="1440" w:header="720" w:footer="720" w:gutter="0"/>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96A8F" w:rsidRDefault="00696A8F" w:rsidP="00EA5DA9">
      <w:pPr>
        <w:spacing w:before="0" w:after="0" w:line="240" w:lineRule="auto"/>
      </w:pPr>
      <w:r>
        <w:separator/>
      </w:r>
    </w:p>
  </w:endnote>
  <w:endnote w:type="continuationSeparator" w:id="1">
    <w:p w:rsidR="00696A8F" w:rsidRDefault="00696A8F" w:rsidP="00EA5DA9">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1"/>
    <w:family w:val="roman"/>
    <w:notTrueType/>
    <w:pitch w:val="variable"/>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5DA9" w:rsidRDefault="00EA5DA9" w:rsidP="004107A2">
    <w:pPr>
      <w:pStyle w:val="Footer"/>
      <w:jc w:val="cen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61023548"/>
      <w:docPartObj>
        <w:docPartGallery w:val="Page Numbers (Bottom of Page)"/>
        <w:docPartUnique/>
      </w:docPartObj>
    </w:sdtPr>
    <w:sdtEndPr>
      <w:rPr>
        <w:noProof/>
      </w:rPr>
    </w:sdtEndPr>
    <w:sdtContent>
      <w:p w:rsidR="004107A2" w:rsidRDefault="0051583A">
        <w:pPr>
          <w:pStyle w:val="Footer"/>
          <w:jc w:val="right"/>
        </w:pPr>
        <w:r>
          <w:fldChar w:fldCharType="begin"/>
        </w:r>
        <w:r w:rsidR="004107A2">
          <w:instrText xml:space="preserve"> PAGE   \* MERGEFORMAT </w:instrText>
        </w:r>
        <w:r>
          <w:fldChar w:fldCharType="separate"/>
        </w:r>
        <w:r w:rsidR="00290B2F">
          <w:rPr>
            <w:noProof/>
          </w:rPr>
          <w:t>10</w:t>
        </w:r>
        <w:r>
          <w:rPr>
            <w:noProof/>
          </w:rPr>
          <w:fldChar w:fldCharType="end"/>
        </w:r>
      </w:p>
    </w:sdtContent>
  </w:sdt>
  <w:p w:rsidR="004107A2" w:rsidRDefault="004107A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96A8F" w:rsidRDefault="00696A8F" w:rsidP="00EA5DA9">
      <w:pPr>
        <w:spacing w:before="0" w:after="0" w:line="240" w:lineRule="auto"/>
      </w:pPr>
      <w:r>
        <w:separator/>
      </w:r>
    </w:p>
  </w:footnote>
  <w:footnote w:type="continuationSeparator" w:id="1">
    <w:p w:rsidR="00696A8F" w:rsidRDefault="00696A8F" w:rsidP="00EA5DA9">
      <w:pPr>
        <w:spacing w:before="0"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3"/>
  <w:defaultTabStop w:val="720"/>
  <w:characterSpacingControl w:val="doNotCompress"/>
  <w:footnotePr>
    <w:footnote w:id="0"/>
    <w:footnote w:id="1"/>
  </w:footnotePr>
  <w:endnotePr>
    <w:endnote w:id="0"/>
    <w:endnote w:id="1"/>
  </w:endnotePr>
  <w:compat/>
  <w:rsids>
    <w:rsidRoot w:val="003C0E4B"/>
    <w:rsid w:val="00126CB4"/>
    <w:rsid w:val="0015067F"/>
    <w:rsid w:val="001D11BD"/>
    <w:rsid w:val="00290B2F"/>
    <w:rsid w:val="00300F00"/>
    <w:rsid w:val="00307DEB"/>
    <w:rsid w:val="003C0E4B"/>
    <w:rsid w:val="004107A2"/>
    <w:rsid w:val="004A5C56"/>
    <w:rsid w:val="004E6AB1"/>
    <w:rsid w:val="0051583A"/>
    <w:rsid w:val="00696A8F"/>
    <w:rsid w:val="006C6C71"/>
    <w:rsid w:val="007E69F6"/>
    <w:rsid w:val="00822DB1"/>
    <w:rsid w:val="00A63590"/>
    <w:rsid w:val="00AF44EE"/>
    <w:rsid w:val="00B66AC8"/>
    <w:rsid w:val="00BD6CCD"/>
    <w:rsid w:val="00C201AB"/>
    <w:rsid w:val="00C54A19"/>
    <w:rsid w:val="00D01AA8"/>
    <w:rsid w:val="00D22BC7"/>
    <w:rsid w:val="00EA5DA9"/>
    <w:rsid w:val="00F71399"/>
    <w:rsid w:val="00F80FD3"/>
    <w:rsid w:val="00FE5E6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before="40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BD6CCD"/>
    <w:pPr>
      <w:keepNext/>
      <w:keepLines/>
      <w:outlineLvl w:val="0"/>
    </w:pPr>
    <w:rPr>
      <w:b/>
      <w:sz w:val="32"/>
      <w:szCs w:val="32"/>
    </w:rPr>
  </w:style>
  <w:style w:type="paragraph" w:styleId="Heading2">
    <w:name w:val="heading 2"/>
    <w:basedOn w:val="Normal1"/>
    <w:next w:val="Normal1"/>
    <w:rsid w:val="00BD6CCD"/>
    <w:pPr>
      <w:keepNext/>
      <w:keepLines/>
      <w:spacing w:before="360"/>
      <w:outlineLvl w:val="1"/>
    </w:pPr>
    <w:rPr>
      <w:sz w:val="32"/>
      <w:szCs w:val="32"/>
    </w:rPr>
  </w:style>
  <w:style w:type="paragraph" w:styleId="Heading3">
    <w:name w:val="heading 3"/>
    <w:basedOn w:val="Normal1"/>
    <w:next w:val="Normal1"/>
    <w:rsid w:val="00BD6CCD"/>
    <w:pPr>
      <w:keepNext/>
      <w:keepLines/>
      <w:spacing w:before="320" w:after="80"/>
      <w:outlineLvl w:val="2"/>
    </w:pPr>
    <w:rPr>
      <w:color w:val="434343"/>
      <w:sz w:val="28"/>
      <w:szCs w:val="28"/>
    </w:rPr>
  </w:style>
  <w:style w:type="paragraph" w:styleId="Heading4">
    <w:name w:val="heading 4"/>
    <w:basedOn w:val="Normal1"/>
    <w:next w:val="Normal1"/>
    <w:rsid w:val="00BD6CCD"/>
    <w:pPr>
      <w:keepNext/>
      <w:keepLines/>
      <w:spacing w:before="280" w:after="80"/>
      <w:outlineLvl w:val="3"/>
    </w:pPr>
    <w:rPr>
      <w:color w:val="666666"/>
    </w:rPr>
  </w:style>
  <w:style w:type="paragraph" w:styleId="Heading5">
    <w:name w:val="heading 5"/>
    <w:basedOn w:val="Normal1"/>
    <w:next w:val="Normal1"/>
    <w:rsid w:val="00BD6CCD"/>
    <w:pPr>
      <w:keepNext/>
      <w:keepLines/>
      <w:spacing w:before="240" w:after="80"/>
      <w:outlineLvl w:val="4"/>
    </w:pPr>
    <w:rPr>
      <w:color w:val="666666"/>
      <w:sz w:val="22"/>
      <w:szCs w:val="22"/>
    </w:rPr>
  </w:style>
  <w:style w:type="paragraph" w:styleId="Heading6">
    <w:name w:val="heading 6"/>
    <w:basedOn w:val="Normal1"/>
    <w:next w:val="Normal1"/>
    <w:rsid w:val="00BD6CC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D6CCD"/>
  </w:style>
  <w:style w:type="table" w:customStyle="1" w:styleId="TableNormal1">
    <w:name w:val="Table Normal1"/>
    <w:rsid w:val="00BD6CCD"/>
    <w:tblPr>
      <w:tblCellMar>
        <w:top w:w="0" w:type="dxa"/>
        <w:left w:w="0" w:type="dxa"/>
        <w:bottom w:w="0" w:type="dxa"/>
        <w:right w:w="0" w:type="dxa"/>
      </w:tblCellMar>
    </w:tblPr>
  </w:style>
  <w:style w:type="paragraph" w:styleId="Title">
    <w:name w:val="Title"/>
    <w:basedOn w:val="Normal1"/>
    <w:next w:val="Normal1"/>
    <w:rsid w:val="00BD6CCD"/>
    <w:pPr>
      <w:keepNext/>
      <w:keepLines/>
      <w:spacing w:before="0" w:after="60"/>
    </w:pPr>
    <w:rPr>
      <w:sz w:val="52"/>
      <w:szCs w:val="52"/>
    </w:rPr>
  </w:style>
  <w:style w:type="paragraph" w:styleId="Subtitle">
    <w:name w:val="Subtitle"/>
    <w:basedOn w:val="Normal1"/>
    <w:next w:val="Normal1"/>
    <w:rsid w:val="00BD6CCD"/>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EA5DA9"/>
    <w:pPr>
      <w:spacing w:before="240" w:after="0"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EA5DA9"/>
    <w:pPr>
      <w:spacing w:after="100"/>
    </w:pPr>
  </w:style>
  <w:style w:type="character" w:styleId="Hyperlink">
    <w:name w:val="Hyperlink"/>
    <w:basedOn w:val="DefaultParagraphFont"/>
    <w:uiPriority w:val="99"/>
    <w:unhideWhenUsed/>
    <w:rsid w:val="00EA5DA9"/>
    <w:rPr>
      <w:color w:val="0000FF" w:themeColor="hyperlink"/>
      <w:u w:val="single"/>
    </w:rPr>
  </w:style>
  <w:style w:type="paragraph" w:styleId="Header">
    <w:name w:val="header"/>
    <w:basedOn w:val="Normal"/>
    <w:link w:val="HeaderChar"/>
    <w:uiPriority w:val="99"/>
    <w:unhideWhenUsed/>
    <w:rsid w:val="00EA5DA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A5DA9"/>
  </w:style>
  <w:style w:type="paragraph" w:styleId="Footer">
    <w:name w:val="footer"/>
    <w:basedOn w:val="Normal"/>
    <w:link w:val="FooterChar"/>
    <w:uiPriority w:val="99"/>
    <w:unhideWhenUsed/>
    <w:rsid w:val="00EA5DA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A5DA9"/>
  </w:style>
  <w:style w:type="paragraph" w:styleId="BalloonText">
    <w:name w:val="Balloon Text"/>
    <w:basedOn w:val="Normal"/>
    <w:link w:val="BalloonTextChar"/>
    <w:uiPriority w:val="99"/>
    <w:semiHidden/>
    <w:unhideWhenUsed/>
    <w:rsid w:val="00F7139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139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6A0E4-26AE-4CAC-990D-9EFD853A6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2707</Words>
  <Characters>15432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Mamun</dc:creator>
  <cp:lastModifiedBy>Mamun</cp:lastModifiedBy>
  <cp:revision>5</cp:revision>
  <dcterms:created xsi:type="dcterms:W3CDTF">2024-05-30T10:59:00Z</dcterms:created>
  <dcterms:modified xsi:type="dcterms:W3CDTF">2024-05-30T21:42:00Z</dcterms:modified>
</cp:coreProperties>
</file>