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10F7A" w:rsidRDefault="00F10F7A" w14:paraId="26B8576E" w14:textId="77777777">
      <w:pPr>
        <w:spacing w:line="278" w:lineRule="auto"/>
        <w:jc w:val="left"/>
      </w:pPr>
      <w:r>
        <w:rPr>
          <w:noProof/>
        </w:rPr>
        <w:drawing>
          <wp:inline distT="0" distB="0" distL="0" distR="0" wp14:anchorId="3032BD26" wp14:editId="20550229">
            <wp:extent cx="5885622" cy="1990725"/>
            <wp:effectExtent l="0" t="0" r="1270" b="0"/>
            <wp:docPr id="898409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409935" name="Picture 898409935"/>
                    <pic:cNvPicPr/>
                  </pic:nvPicPr>
                  <pic:blipFill>
                    <a:blip r:embed="rId7">
                      <a:extLst>
                        <a:ext uri="{28A0092B-C50C-407E-A947-70E740481C1C}">
                          <a14:useLocalDpi xmlns:a14="http://schemas.microsoft.com/office/drawing/2010/main" val="0"/>
                        </a:ext>
                      </a:extLst>
                    </a:blip>
                    <a:stretch>
                      <a:fillRect/>
                    </a:stretch>
                  </pic:blipFill>
                  <pic:spPr>
                    <a:xfrm>
                      <a:off x="0" y="0"/>
                      <a:ext cx="5885622" cy="1990725"/>
                    </a:xfrm>
                    <a:prstGeom prst="rect">
                      <a:avLst/>
                    </a:prstGeom>
                  </pic:spPr>
                </pic:pic>
              </a:graphicData>
            </a:graphic>
          </wp:inline>
        </w:drawing>
      </w:r>
    </w:p>
    <w:p w:rsidR="00A10FFB" w:rsidRDefault="00A10FFB" w14:paraId="2D30B943" w14:textId="77777777">
      <w:pPr>
        <w:spacing w:line="278" w:lineRule="auto"/>
        <w:jc w:val="left"/>
      </w:pPr>
    </w:p>
    <w:p w:rsidR="00A33127" w:rsidRDefault="008808A0" w14:paraId="7A516227" w14:textId="5AE5B226">
      <w:pPr>
        <w:spacing w:line="278" w:lineRule="auto"/>
        <w:jc w:val="left"/>
      </w:pPr>
      <w:r>
        <w:rPr>
          <w:noProof/>
        </w:rPr>
        <mc:AlternateContent>
          <mc:Choice Requires="wps">
            <w:drawing>
              <wp:anchor distT="0" distB="0" distL="114300" distR="114300" simplePos="0" relativeHeight="251659264" behindDoc="0" locked="0" layoutInCell="1" allowOverlap="1" wp14:anchorId="38F031E6" wp14:editId="1FD343CF">
                <wp:simplePos x="0" y="0"/>
                <wp:positionH relativeFrom="column">
                  <wp:posOffset>-144780</wp:posOffset>
                </wp:positionH>
                <wp:positionV relativeFrom="paragraph">
                  <wp:posOffset>326390</wp:posOffset>
                </wp:positionV>
                <wp:extent cx="6019800" cy="2887980"/>
                <wp:effectExtent l="0" t="0" r="19050" b="26670"/>
                <wp:wrapNone/>
                <wp:docPr id="612436399" name="Text Box 1"/>
                <wp:cNvGraphicFramePr/>
                <a:graphic xmlns:a="http://schemas.openxmlformats.org/drawingml/2006/main">
                  <a:graphicData uri="http://schemas.microsoft.com/office/word/2010/wordprocessingShape">
                    <wps:wsp>
                      <wps:cNvSpPr txBox="1"/>
                      <wps:spPr>
                        <a:xfrm>
                          <a:off x="0" y="0"/>
                          <a:ext cx="6019800" cy="2887980"/>
                        </a:xfrm>
                        <a:prstGeom prst="rect">
                          <a:avLst/>
                        </a:prstGeom>
                        <a:solidFill>
                          <a:schemeClr val="lt1"/>
                        </a:solidFill>
                        <a:ln w="6350">
                          <a:solidFill>
                            <a:prstClr val="black"/>
                          </a:solidFill>
                        </a:ln>
                      </wps:spPr>
                      <wps:txbx>
                        <w:txbxContent>
                          <w:p w:rsidRPr="008F4B88" w:rsidR="008808A0" w:rsidRDefault="008F4B88" w14:paraId="75BE4CD3" w14:textId="33324C75">
                            <w:pPr>
                              <w:rPr>
                                <w:sz w:val="72"/>
                                <w:szCs w:val="72"/>
                                <w:lang w:val="en-GB"/>
                              </w:rPr>
                            </w:pPr>
                            <w:r w:rsidRPr="008F4B88">
                              <w:rPr>
                                <w:sz w:val="72"/>
                                <w:szCs w:val="72"/>
                              </w:rPr>
                              <w:t>STEELFORM MANUFACTURING LTD. (SFM)</w:t>
                            </w:r>
                            <w:r w:rsidR="00466CE0">
                              <w:rPr>
                                <w:sz w:val="72"/>
                                <w:szCs w:val="72"/>
                              </w:rPr>
                              <w:t xml:space="preserve"> </w:t>
                            </w:r>
                            <w:r w:rsidR="00C21D2D">
                              <w:rPr>
                                <w:sz w:val="72"/>
                                <w:szCs w:val="72"/>
                              </w:rPr>
                              <w:t>CY</w:t>
                            </w:r>
                            <w:r w:rsidR="00466CE0">
                              <w:rPr>
                                <w:sz w:val="72"/>
                                <w:szCs w:val="72"/>
                              </w:rPr>
                              <w:t>BER SECURITY 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76239493">
              <v:shapetype id="_x0000_t202" coordsize="21600,21600" o:spt="202" path="m,l,21600r21600,l21600,xe" w14:anchorId="38F031E6">
                <v:stroke joinstyle="miter"/>
                <v:path gradientshapeok="t" o:connecttype="rect"/>
              </v:shapetype>
              <v:shape id="Text Box 1" style="position:absolute;margin-left:-11.4pt;margin-top:25.7pt;width:474pt;height:227.4pt;z-index:251659264;visibility:visible;mso-wrap-style:square;mso-wrap-distance-left:9pt;mso-wrap-distance-top:0;mso-wrap-distance-right:9pt;mso-wrap-distance-bottom:0;mso-position-horizontal:absolute;mso-position-horizontal-relative:text;mso-position-vertical:absolute;mso-position-vertical-relative:text;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">
                <v:textbox>
                  <w:txbxContent>
                    <w:p w:rsidRPr="008F4B88" w:rsidR="008808A0" w:rsidRDefault="008F4B88" w14:paraId="12F60963" w14:textId="33324C75">
                      <w:pPr>
                        <w:rPr>
                          <w:sz w:val="72"/>
                          <w:szCs w:val="72"/>
                          <w:lang w:val="en-GB"/>
                        </w:rPr>
                      </w:pPr>
                      <w:r w:rsidRPr="008F4B88">
                        <w:rPr>
                          <w:sz w:val="72"/>
                          <w:szCs w:val="72"/>
                        </w:rPr>
                        <w:t>STEELFORM MANUFACTURING LTD. (SFM)</w:t>
                      </w:r>
                      <w:r w:rsidR="00466CE0">
                        <w:rPr>
                          <w:sz w:val="72"/>
                          <w:szCs w:val="72"/>
                        </w:rPr>
                        <w:t xml:space="preserve"> </w:t>
                      </w:r>
                      <w:r w:rsidR="00C21D2D">
                        <w:rPr>
                          <w:sz w:val="72"/>
                          <w:szCs w:val="72"/>
                        </w:rPr>
                        <w:t>CY</w:t>
                      </w:r>
                      <w:r w:rsidR="00466CE0">
                        <w:rPr>
                          <w:sz w:val="72"/>
                          <w:szCs w:val="72"/>
                        </w:rPr>
                        <w:t>BER SECURITY FRAMEWORK</w:t>
                      </w:r>
                    </w:p>
                  </w:txbxContent>
                </v:textbox>
              </v:shape>
            </w:pict>
          </mc:Fallback>
        </mc:AlternateContent>
      </w:r>
    </w:p>
    <w:p w:rsidR="00A33127" w:rsidRDefault="00A33127" w14:paraId="77805812" w14:textId="77777777">
      <w:pPr>
        <w:spacing w:line="278" w:lineRule="auto"/>
        <w:jc w:val="left"/>
      </w:pPr>
    </w:p>
    <w:p w:rsidR="00A33127" w:rsidRDefault="00A33127" w14:paraId="7EB30776" w14:textId="77777777">
      <w:pPr>
        <w:spacing w:line="278" w:lineRule="auto"/>
        <w:jc w:val="left"/>
      </w:pPr>
    </w:p>
    <w:p w:rsidR="00A33127" w:rsidRDefault="00A33127" w14:paraId="2A31490E" w14:textId="77777777">
      <w:pPr>
        <w:spacing w:line="278" w:lineRule="auto"/>
        <w:jc w:val="left"/>
      </w:pPr>
    </w:p>
    <w:p w:rsidR="00A33127" w:rsidRDefault="00A33127" w14:paraId="502EAD59" w14:textId="77777777">
      <w:pPr>
        <w:spacing w:line="278" w:lineRule="auto"/>
        <w:jc w:val="left"/>
      </w:pPr>
    </w:p>
    <w:p w:rsidR="00A33127" w:rsidRDefault="00A33127" w14:paraId="54DC05BB" w14:textId="77777777">
      <w:pPr>
        <w:spacing w:line="278" w:lineRule="auto"/>
        <w:jc w:val="left"/>
      </w:pPr>
    </w:p>
    <w:p w:rsidR="00A33127" w:rsidRDefault="00A33127" w14:paraId="58DE6773" w14:textId="77777777">
      <w:pPr>
        <w:spacing w:line="278" w:lineRule="auto"/>
        <w:jc w:val="left"/>
      </w:pPr>
    </w:p>
    <w:p w:rsidR="00A33127" w:rsidRDefault="00A33127" w14:paraId="3F91CB49" w14:textId="77777777">
      <w:pPr>
        <w:spacing w:line="278" w:lineRule="auto"/>
        <w:jc w:val="left"/>
      </w:pPr>
    </w:p>
    <w:p w:rsidR="00A33127" w:rsidRDefault="00A33127" w14:paraId="79801DB5" w14:textId="77777777">
      <w:pPr>
        <w:spacing w:line="278" w:lineRule="auto"/>
        <w:jc w:val="left"/>
      </w:pPr>
    </w:p>
    <w:p w:rsidR="00A33127" w:rsidRDefault="00A33127" w14:paraId="2F38D59A" w14:textId="77777777">
      <w:pPr>
        <w:spacing w:line="278" w:lineRule="auto"/>
        <w:jc w:val="left"/>
      </w:pPr>
    </w:p>
    <w:p w:rsidR="00A10FFB" w:rsidRDefault="00A10FFB" w14:paraId="517D7D9E" w14:textId="77777777">
      <w:pPr>
        <w:spacing w:line="278" w:lineRule="auto"/>
        <w:jc w:val="left"/>
      </w:pPr>
    </w:p>
    <w:p w:rsidR="00A10FFB" w:rsidRDefault="00A10FFB" w14:paraId="47FB7CE9" w14:textId="77777777">
      <w:pPr>
        <w:spacing w:line="278" w:lineRule="auto"/>
        <w:jc w:val="left"/>
      </w:pPr>
    </w:p>
    <w:p w:rsidR="00A10FFB" w:rsidRDefault="00A10FFB" w14:paraId="432232C8" w14:textId="77777777">
      <w:pPr>
        <w:spacing w:line="278" w:lineRule="auto"/>
        <w:jc w:val="left"/>
      </w:pPr>
    </w:p>
    <w:p w:rsidR="00A10FFB" w:rsidRDefault="00A10FFB" w14:paraId="0EC8511B" w14:textId="77777777">
      <w:pPr>
        <w:spacing w:line="278" w:lineRule="auto"/>
        <w:jc w:val="left"/>
      </w:pPr>
    </w:p>
    <w:p w:rsidR="004C085D" w:rsidP="004C085D" w:rsidRDefault="004C085D" w14:paraId="04A16EFB" w14:textId="0939B3C5">
      <w:pPr>
        <w:pStyle w:val="NoSpacing"/>
        <w:ind w:left="2694"/>
        <w:rPr>
          <w:rFonts w:eastAsiaTheme="minorHAnsi"/>
          <w:sz w:val="24"/>
          <w:szCs w:val="24"/>
          <w:lang w:val="en-GB"/>
        </w:rPr>
      </w:pPr>
      <w:r w:rsidRPr="00554D44">
        <w:rPr>
          <w:rFonts w:eastAsiaTheme="minorHAnsi"/>
          <w:sz w:val="24"/>
          <w:szCs w:val="24"/>
          <w:lang w:val="en-GB"/>
        </w:rPr>
        <w:t xml:space="preserve">Module Name: </w:t>
      </w:r>
      <w:r>
        <w:rPr>
          <w:rFonts w:eastAsiaTheme="minorHAnsi"/>
          <w:sz w:val="24"/>
          <w:szCs w:val="24"/>
          <w:lang w:val="en-GB"/>
        </w:rPr>
        <w:t xml:space="preserve">NETWORKS AND CYBER SECURITY </w:t>
      </w:r>
      <w:r w:rsidR="00A33127">
        <w:rPr>
          <w:rFonts w:eastAsiaTheme="minorHAnsi"/>
          <w:sz w:val="24"/>
          <w:szCs w:val="24"/>
          <w:lang w:val="en-GB"/>
        </w:rPr>
        <w:t xml:space="preserve">     </w:t>
      </w:r>
      <w:r>
        <w:rPr>
          <w:rFonts w:eastAsiaTheme="minorHAnsi"/>
          <w:sz w:val="24"/>
          <w:szCs w:val="24"/>
          <w:lang w:val="en-GB"/>
        </w:rPr>
        <w:t>ESSENTIALS</w:t>
      </w:r>
      <w:r w:rsidRPr="00554D44">
        <w:rPr>
          <w:rFonts w:eastAsiaTheme="minorHAnsi"/>
          <w:sz w:val="24"/>
          <w:szCs w:val="24"/>
          <w:lang w:val="en-GB"/>
        </w:rPr>
        <w:br/>
      </w:r>
      <w:r w:rsidRPr="00554D44">
        <w:rPr>
          <w:rFonts w:eastAsiaTheme="minorHAnsi"/>
          <w:sz w:val="24"/>
          <w:szCs w:val="24"/>
          <w:lang w:val="en-GB"/>
        </w:rPr>
        <w:t>Module C</w:t>
      </w:r>
      <w:r>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24</w:t>
      </w:r>
      <w:r w:rsidRPr="00554D44">
        <w:rPr>
          <w:rFonts w:eastAsiaTheme="minorHAnsi"/>
          <w:sz w:val="24"/>
          <w:szCs w:val="24"/>
          <w:lang w:val="en-GB"/>
        </w:rPr>
        <w:br/>
      </w:r>
      <w:r w:rsidRPr="00554D44">
        <w:rPr>
          <w:rFonts w:eastAsiaTheme="minorHAnsi"/>
          <w:sz w:val="24"/>
          <w:szCs w:val="24"/>
          <w:lang w:val="en-GB"/>
        </w:rPr>
        <w:t xml:space="preserve">Student Name: </w:t>
      </w:r>
      <w:r>
        <w:rPr>
          <w:rFonts w:eastAsiaTheme="minorHAnsi"/>
          <w:sz w:val="24"/>
          <w:szCs w:val="24"/>
          <w:lang w:val="en-GB"/>
        </w:rPr>
        <w:t>A</w:t>
      </w:r>
      <w:r w:rsidR="00E77D9B">
        <w:rPr>
          <w:rFonts w:eastAsiaTheme="minorHAnsi"/>
          <w:sz w:val="24"/>
          <w:szCs w:val="24"/>
          <w:lang w:val="en-GB"/>
        </w:rPr>
        <w:t xml:space="preserve">RCHANA </w:t>
      </w:r>
      <w:r w:rsidR="008B11E6">
        <w:rPr>
          <w:rFonts w:eastAsiaTheme="minorHAnsi"/>
          <w:sz w:val="24"/>
          <w:szCs w:val="24"/>
          <w:lang w:val="en-GB"/>
        </w:rPr>
        <w:t>GURUDAS SALGAOCAR</w:t>
      </w:r>
      <w:r w:rsidRPr="00554D44">
        <w:rPr>
          <w:rFonts w:eastAsiaTheme="minorHAnsi"/>
          <w:sz w:val="24"/>
          <w:szCs w:val="24"/>
          <w:lang w:val="en-GB"/>
        </w:rPr>
        <w:br/>
      </w:r>
      <w:r w:rsidRPr="00554D44">
        <w:rPr>
          <w:rFonts w:eastAsiaTheme="minorHAnsi"/>
          <w:sz w:val="24"/>
          <w:szCs w:val="24"/>
          <w:lang w:val="en-GB"/>
        </w:rPr>
        <w:t xml:space="preserve">Student ID: </w:t>
      </w:r>
      <w:r>
        <w:rPr>
          <w:rFonts w:eastAsiaTheme="minorHAnsi"/>
          <w:sz w:val="24"/>
          <w:szCs w:val="24"/>
          <w:lang w:val="en-GB"/>
        </w:rPr>
        <w:t>25</w:t>
      </w:r>
      <w:r w:rsidR="008B11E6">
        <w:rPr>
          <w:rFonts w:eastAsiaTheme="minorHAnsi"/>
          <w:sz w:val="24"/>
          <w:szCs w:val="24"/>
          <w:lang w:val="en-GB"/>
        </w:rPr>
        <w:t>14522</w:t>
      </w:r>
      <w:r w:rsidRPr="00554D44">
        <w:rPr>
          <w:rFonts w:eastAsiaTheme="minorHAnsi"/>
          <w:sz w:val="24"/>
          <w:szCs w:val="24"/>
          <w:lang w:val="en-GB"/>
        </w:rPr>
        <w:br/>
      </w:r>
      <w:r w:rsidRPr="00554D44">
        <w:rPr>
          <w:rFonts w:eastAsiaTheme="minorHAnsi"/>
          <w:sz w:val="24"/>
          <w:szCs w:val="24"/>
          <w:lang w:val="en-GB"/>
        </w:rPr>
        <w:t>Group:</w:t>
      </w:r>
      <w:r w:rsidR="008B11E6">
        <w:rPr>
          <w:rFonts w:eastAsiaTheme="minorHAnsi"/>
          <w:sz w:val="24"/>
          <w:szCs w:val="24"/>
          <w:lang w:val="en-GB"/>
        </w:rPr>
        <w:t>2</w:t>
      </w:r>
    </w:p>
    <w:p w:rsidRPr="00EF4A42" w:rsidR="004C085D" w:rsidP="004C085D" w:rsidRDefault="004C085D" w14:paraId="402B54BF" w14:textId="77777777">
      <w:pPr>
        <w:pStyle w:val="NoSpacing"/>
        <w:ind w:left="1986" w:firstLine="708"/>
        <w:rPr>
          <w:color w:val="595959" w:themeColor="text1" w:themeTint="A6"/>
          <w:sz w:val="20"/>
          <w:szCs w:val="20"/>
          <w:lang w:val="en-GB"/>
        </w:rPr>
      </w:pPr>
      <w:r>
        <w:rPr>
          <w:rFonts w:eastAsiaTheme="minorHAnsi"/>
          <w:sz w:val="24"/>
          <w:szCs w:val="24"/>
          <w:lang w:val="en-GB"/>
        </w:rPr>
        <w:t>Lecturer’s Name: AMIT NAIK</w:t>
      </w:r>
    </w:p>
    <w:sdt>
      <w:sdtPr>
        <w:id w:val="1679239103"/>
        <w:docPartObj>
          <w:docPartGallery w:val="Table of Contents"/>
          <w:docPartUnique/>
        </w:docPartObj>
        <w:rPr>
          <w:rFonts w:ascii="Times New Roman" w:hAnsi="Times New Roman" w:eastAsia="Aptos" w:cs="" w:eastAsiaTheme="minorAscii" w:cstheme="minorBidi"/>
          <w:color w:val="auto"/>
          <w:kern w:val="2"/>
          <w:sz w:val="24"/>
          <w:szCs w:val="24"/>
          <w14:ligatures w14:val="standardContextual"/>
        </w:rPr>
      </w:sdtPr>
      <w:sdtEndPr>
        <w:rPr>
          <w:rFonts w:ascii="Times New Roman" w:hAnsi="Times New Roman" w:eastAsia="Aptos" w:cs="" w:eastAsiaTheme="minorAscii" w:cstheme="minorBidi"/>
          <w:b w:val="1"/>
          <w:bCs w:val="1"/>
          <w:noProof/>
          <w:color w:val="auto"/>
          <w:sz w:val="24"/>
          <w:szCs w:val="24"/>
        </w:rPr>
      </w:sdtEndPr>
      <w:sdtContent>
        <w:p w:rsidRPr="00A04B8A" w:rsidR="00A04B8A" w:rsidP="00D76125" w:rsidRDefault="00A04B8A" w14:paraId="2BD88C90" w14:textId="01DECF40">
          <w:pPr>
            <w:pStyle w:val="TOCHeading"/>
            <w:rPr>
              <w:rFonts w:ascii="Times New Roman" w:hAnsi="Times New Roman" w:cs="Times New Roman"/>
            </w:rPr>
          </w:pPr>
          <w:r>
            <w:t xml:space="preserve">Table of </w:t>
          </w:r>
          <w:r w:rsidRPr="00A04B8A">
            <w:rPr>
              <w:rFonts w:ascii="Times New Roman" w:hAnsi="Times New Roman" w:cs="Times New Roman"/>
            </w:rPr>
            <w:t>Contents</w:t>
          </w:r>
        </w:p>
        <w:p w:rsidR="00C35B8A" w:rsidP="38E46FC7" w:rsidRDefault="00A04B8A" w14:paraId="46C6534E" w14:textId="63FEC63D">
          <w:pPr>
            <w:pStyle w:val="TOC1"/>
            <w:tabs>
              <w:tab w:val="right" w:leader="dot" w:pos="9345"/>
            </w:tabs>
          </w:pPr>
          <w:r>
            <w:fldChar w:fldCharType="begin"/>
          </w:r>
          <w:r>
            <w:instrText xml:space="preserve">TOC \o "1-3" \z \u \h</w:instrText>
          </w:r>
          <w:r>
            <w:fldChar w:fldCharType="separate"/>
          </w:r>
          <w:hyperlink w:anchor="_Toc700970162">
            <w:r w:rsidRPr="38E46FC7" w:rsidR="38E46FC7">
              <w:rPr>
                <w:rStyle w:val="Hyperlink"/>
              </w:rPr>
              <w:t>Executive Summary</w:t>
            </w:r>
            <w:r>
              <w:tab/>
            </w:r>
            <w:r>
              <w:fldChar w:fldCharType="begin"/>
            </w:r>
            <w:r>
              <w:instrText xml:space="preserve">PAGEREF _Toc700970162 \h</w:instrText>
            </w:r>
            <w:r>
              <w:fldChar w:fldCharType="separate"/>
            </w:r>
            <w:r w:rsidRPr="38E46FC7" w:rsidR="38E46FC7">
              <w:rPr>
                <w:rStyle w:val="Hyperlink"/>
              </w:rPr>
              <w:t>2</w:t>
            </w:r>
            <w:r>
              <w:fldChar w:fldCharType="end"/>
            </w:r>
          </w:hyperlink>
        </w:p>
        <w:p w:rsidR="00C35B8A" w:rsidP="38E46FC7" w:rsidRDefault="00C35B8A" w14:paraId="4176B24D" w14:textId="54A148B0">
          <w:pPr>
            <w:pStyle w:val="TOC1"/>
            <w:tabs>
              <w:tab w:val="right" w:leader="dot" w:pos="9345"/>
            </w:tabs>
          </w:pPr>
          <w:hyperlink w:anchor="_Toc312600151">
            <w:r w:rsidRPr="38E46FC7" w:rsidR="38E46FC7">
              <w:rPr>
                <w:rStyle w:val="Hyperlink"/>
              </w:rPr>
              <w:t>1. Introduction</w:t>
            </w:r>
            <w:r>
              <w:tab/>
            </w:r>
            <w:r>
              <w:fldChar w:fldCharType="begin"/>
            </w:r>
            <w:r>
              <w:instrText xml:space="preserve">PAGEREF _Toc312600151 \h</w:instrText>
            </w:r>
            <w:r>
              <w:fldChar w:fldCharType="separate"/>
            </w:r>
            <w:r w:rsidRPr="38E46FC7" w:rsidR="38E46FC7">
              <w:rPr>
                <w:rStyle w:val="Hyperlink"/>
              </w:rPr>
              <w:t>4</w:t>
            </w:r>
            <w:r>
              <w:fldChar w:fldCharType="end"/>
            </w:r>
          </w:hyperlink>
        </w:p>
        <w:p w:rsidR="00C35B8A" w:rsidP="38E46FC7" w:rsidRDefault="00C35B8A" w14:paraId="01A2FB15" w14:textId="42912A85">
          <w:pPr>
            <w:pStyle w:val="TOC1"/>
            <w:tabs>
              <w:tab w:val="right" w:leader="dot" w:pos="9345"/>
            </w:tabs>
          </w:pPr>
          <w:hyperlink w:anchor="_Toc1349657009">
            <w:r w:rsidRPr="38E46FC7" w:rsidR="38E46FC7">
              <w:rPr>
                <w:rStyle w:val="Hyperlink"/>
              </w:rPr>
              <w:t>2. Company Background</w:t>
            </w:r>
            <w:r>
              <w:tab/>
            </w:r>
            <w:r>
              <w:fldChar w:fldCharType="begin"/>
            </w:r>
            <w:r>
              <w:instrText xml:space="preserve">PAGEREF _Toc1349657009 \h</w:instrText>
            </w:r>
            <w:r>
              <w:fldChar w:fldCharType="separate"/>
            </w:r>
            <w:r w:rsidRPr="38E46FC7" w:rsidR="38E46FC7">
              <w:rPr>
                <w:rStyle w:val="Hyperlink"/>
              </w:rPr>
              <w:t>5</w:t>
            </w:r>
            <w:r>
              <w:fldChar w:fldCharType="end"/>
            </w:r>
          </w:hyperlink>
        </w:p>
        <w:p w:rsidR="00C35B8A" w:rsidP="38E46FC7" w:rsidRDefault="00C35B8A" w14:paraId="64871690" w14:textId="7BEAB156">
          <w:pPr>
            <w:pStyle w:val="TOC1"/>
            <w:tabs>
              <w:tab w:val="right" w:leader="dot" w:pos="9345"/>
            </w:tabs>
          </w:pPr>
          <w:hyperlink w:anchor="_Toc2051047450">
            <w:r w:rsidRPr="38E46FC7" w:rsidR="38E46FC7">
              <w:rPr>
                <w:rStyle w:val="Hyperlink"/>
              </w:rPr>
              <w:t>3. Identification of Internal &amp; External Threats</w:t>
            </w:r>
            <w:r>
              <w:tab/>
            </w:r>
            <w:r>
              <w:fldChar w:fldCharType="begin"/>
            </w:r>
            <w:r>
              <w:instrText xml:space="preserve">PAGEREF _Toc2051047450 \h</w:instrText>
            </w:r>
            <w:r>
              <w:fldChar w:fldCharType="separate"/>
            </w:r>
            <w:r w:rsidRPr="38E46FC7" w:rsidR="38E46FC7">
              <w:rPr>
                <w:rStyle w:val="Hyperlink"/>
              </w:rPr>
              <w:t>6</w:t>
            </w:r>
            <w:r>
              <w:fldChar w:fldCharType="end"/>
            </w:r>
          </w:hyperlink>
        </w:p>
        <w:p w:rsidR="00C35B8A" w:rsidP="38E46FC7" w:rsidRDefault="00C35B8A" w14:paraId="2D798C86" w14:textId="6593C133">
          <w:pPr>
            <w:pStyle w:val="TOC2"/>
            <w:tabs>
              <w:tab w:val="right" w:leader="dot" w:pos="9345"/>
            </w:tabs>
          </w:pPr>
          <w:hyperlink w:anchor="_Toc21818430">
            <w:r w:rsidRPr="38E46FC7" w:rsidR="38E46FC7">
              <w:rPr>
                <w:rStyle w:val="Hyperlink"/>
              </w:rPr>
              <w:t>3.1 Internal Threats</w:t>
            </w:r>
            <w:r>
              <w:tab/>
            </w:r>
            <w:r>
              <w:fldChar w:fldCharType="begin"/>
            </w:r>
            <w:r>
              <w:instrText xml:space="preserve">PAGEREF _Toc21818430 \h</w:instrText>
            </w:r>
            <w:r>
              <w:fldChar w:fldCharType="separate"/>
            </w:r>
            <w:r w:rsidRPr="38E46FC7" w:rsidR="38E46FC7">
              <w:rPr>
                <w:rStyle w:val="Hyperlink"/>
              </w:rPr>
              <w:t>6</w:t>
            </w:r>
            <w:r>
              <w:fldChar w:fldCharType="end"/>
            </w:r>
          </w:hyperlink>
        </w:p>
        <w:p w:rsidR="00C35B8A" w:rsidP="38E46FC7" w:rsidRDefault="00C35B8A" w14:paraId="2B10B970" w14:textId="19F37A05">
          <w:pPr>
            <w:pStyle w:val="TOC2"/>
            <w:tabs>
              <w:tab w:val="right" w:leader="dot" w:pos="9345"/>
            </w:tabs>
          </w:pPr>
          <w:hyperlink w:anchor="_Toc168551701">
            <w:r w:rsidRPr="38E46FC7" w:rsidR="38E46FC7">
              <w:rPr>
                <w:rStyle w:val="Hyperlink"/>
              </w:rPr>
              <w:t>3.2 External Threats</w:t>
            </w:r>
            <w:r>
              <w:tab/>
            </w:r>
            <w:r>
              <w:fldChar w:fldCharType="begin"/>
            </w:r>
            <w:r>
              <w:instrText xml:space="preserve">PAGEREF _Toc168551701 \h</w:instrText>
            </w:r>
            <w:r>
              <w:fldChar w:fldCharType="separate"/>
            </w:r>
            <w:r w:rsidRPr="38E46FC7" w:rsidR="38E46FC7">
              <w:rPr>
                <w:rStyle w:val="Hyperlink"/>
              </w:rPr>
              <w:t>7</w:t>
            </w:r>
            <w:r>
              <w:fldChar w:fldCharType="end"/>
            </w:r>
          </w:hyperlink>
        </w:p>
        <w:p w:rsidR="00C35B8A" w:rsidP="38E46FC7" w:rsidRDefault="00C35B8A" w14:paraId="3BA6BF7A" w14:textId="2843316F">
          <w:pPr>
            <w:pStyle w:val="TOC2"/>
            <w:tabs>
              <w:tab w:val="right" w:leader="dot" w:pos="9345"/>
            </w:tabs>
          </w:pPr>
          <w:hyperlink w:anchor="_Toc246262887">
            <w:r w:rsidRPr="38E46FC7" w:rsidR="38E46FC7">
              <w:rPr>
                <w:rStyle w:val="Hyperlink"/>
              </w:rPr>
              <w:t>3.3 Supply Chain and IoT Risks</w:t>
            </w:r>
            <w:r>
              <w:tab/>
            </w:r>
            <w:r>
              <w:fldChar w:fldCharType="begin"/>
            </w:r>
            <w:r>
              <w:instrText xml:space="preserve">PAGEREF _Toc246262887 \h</w:instrText>
            </w:r>
            <w:r>
              <w:fldChar w:fldCharType="separate"/>
            </w:r>
            <w:r w:rsidRPr="38E46FC7" w:rsidR="38E46FC7">
              <w:rPr>
                <w:rStyle w:val="Hyperlink"/>
              </w:rPr>
              <w:t>8</w:t>
            </w:r>
            <w:r>
              <w:fldChar w:fldCharType="end"/>
            </w:r>
          </w:hyperlink>
        </w:p>
        <w:p w:rsidR="00C35B8A" w:rsidP="38E46FC7" w:rsidRDefault="00C35B8A" w14:paraId="070C713B" w14:textId="4A97CF1D">
          <w:pPr>
            <w:pStyle w:val="TOC1"/>
            <w:tabs>
              <w:tab w:val="right" w:leader="dot" w:pos="9345"/>
            </w:tabs>
          </w:pPr>
          <w:hyperlink w:anchor="_Toc565867562">
            <w:r w:rsidRPr="38E46FC7" w:rsidR="38E46FC7">
              <w:rPr>
                <w:rStyle w:val="Hyperlink"/>
              </w:rPr>
              <w:t>4. Cybersecurity &amp; Data Governance Policies</w:t>
            </w:r>
            <w:r>
              <w:tab/>
            </w:r>
            <w:r>
              <w:fldChar w:fldCharType="begin"/>
            </w:r>
            <w:r>
              <w:instrText xml:space="preserve">PAGEREF _Toc565867562 \h</w:instrText>
            </w:r>
            <w:r>
              <w:fldChar w:fldCharType="separate"/>
            </w:r>
            <w:r w:rsidRPr="38E46FC7" w:rsidR="38E46FC7">
              <w:rPr>
                <w:rStyle w:val="Hyperlink"/>
              </w:rPr>
              <w:t>8</w:t>
            </w:r>
            <w:r>
              <w:fldChar w:fldCharType="end"/>
            </w:r>
          </w:hyperlink>
        </w:p>
        <w:p w:rsidR="00C35B8A" w:rsidP="38E46FC7" w:rsidRDefault="00C35B8A" w14:paraId="0360A9F9" w14:textId="5AD8E793">
          <w:pPr>
            <w:pStyle w:val="TOC2"/>
            <w:tabs>
              <w:tab w:val="right" w:leader="dot" w:pos="9345"/>
            </w:tabs>
          </w:pPr>
          <w:hyperlink w:anchor="_Toc487305172">
            <w:r w:rsidRPr="38E46FC7" w:rsidR="38E46FC7">
              <w:rPr>
                <w:rStyle w:val="Hyperlink"/>
              </w:rPr>
              <w:t>4.1 Information Security Policy</w:t>
            </w:r>
            <w:r>
              <w:tab/>
            </w:r>
            <w:r>
              <w:fldChar w:fldCharType="begin"/>
            </w:r>
            <w:r>
              <w:instrText xml:space="preserve">PAGEREF _Toc487305172 \h</w:instrText>
            </w:r>
            <w:r>
              <w:fldChar w:fldCharType="separate"/>
            </w:r>
            <w:r w:rsidRPr="38E46FC7" w:rsidR="38E46FC7">
              <w:rPr>
                <w:rStyle w:val="Hyperlink"/>
              </w:rPr>
              <w:t>9</w:t>
            </w:r>
            <w:r>
              <w:fldChar w:fldCharType="end"/>
            </w:r>
          </w:hyperlink>
        </w:p>
        <w:p w:rsidR="00C35B8A" w:rsidP="38E46FC7" w:rsidRDefault="00C35B8A" w14:paraId="2E655826" w14:textId="60CC3063">
          <w:pPr>
            <w:pStyle w:val="TOC2"/>
            <w:tabs>
              <w:tab w:val="right" w:leader="dot" w:pos="9345"/>
            </w:tabs>
          </w:pPr>
          <w:hyperlink w:anchor="_Toc1183588063">
            <w:r w:rsidRPr="38E46FC7" w:rsidR="38E46FC7">
              <w:rPr>
                <w:rStyle w:val="Hyperlink"/>
              </w:rPr>
              <w:t>4.2 Access Control Policy</w:t>
            </w:r>
            <w:r>
              <w:tab/>
            </w:r>
            <w:r>
              <w:fldChar w:fldCharType="begin"/>
            </w:r>
            <w:r>
              <w:instrText xml:space="preserve">PAGEREF _Toc1183588063 \h</w:instrText>
            </w:r>
            <w:r>
              <w:fldChar w:fldCharType="separate"/>
            </w:r>
            <w:r w:rsidRPr="38E46FC7" w:rsidR="38E46FC7">
              <w:rPr>
                <w:rStyle w:val="Hyperlink"/>
              </w:rPr>
              <w:t>9</w:t>
            </w:r>
            <w:r>
              <w:fldChar w:fldCharType="end"/>
            </w:r>
          </w:hyperlink>
        </w:p>
        <w:p w:rsidR="00C35B8A" w:rsidP="38E46FC7" w:rsidRDefault="00C35B8A" w14:paraId="00F38778" w14:textId="54216A03">
          <w:pPr>
            <w:pStyle w:val="TOC2"/>
            <w:tabs>
              <w:tab w:val="right" w:leader="dot" w:pos="9345"/>
            </w:tabs>
          </w:pPr>
          <w:hyperlink w:anchor="_Toc1882670954">
            <w:r w:rsidRPr="38E46FC7" w:rsidR="38E46FC7">
              <w:rPr>
                <w:rStyle w:val="Hyperlink"/>
              </w:rPr>
              <w:t>4.3 Data Governance and Classification Policy</w:t>
            </w:r>
            <w:r>
              <w:tab/>
            </w:r>
            <w:r>
              <w:fldChar w:fldCharType="begin"/>
            </w:r>
            <w:r>
              <w:instrText xml:space="preserve">PAGEREF _Toc1882670954 \h</w:instrText>
            </w:r>
            <w:r>
              <w:fldChar w:fldCharType="separate"/>
            </w:r>
            <w:r w:rsidRPr="38E46FC7" w:rsidR="38E46FC7">
              <w:rPr>
                <w:rStyle w:val="Hyperlink"/>
              </w:rPr>
              <w:t>10</w:t>
            </w:r>
            <w:r>
              <w:fldChar w:fldCharType="end"/>
            </w:r>
          </w:hyperlink>
        </w:p>
        <w:p w:rsidR="00C35B8A" w:rsidP="38E46FC7" w:rsidRDefault="00C35B8A" w14:paraId="19A0BC05" w14:textId="79507948">
          <w:pPr>
            <w:pStyle w:val="TOC2"/>
            <w:tabs>
              <w:tab w:val="right" w:leader="dot" w:pos="9345"/>
            </w:tabs>
          </w:pPr>
          <w:hyperlink w:anchor="_Toc1809518131">
            <w:r w:rsidRPr="38E46FC7" w:rsidR="38E46FC7">
              <w:rPr>
                <w:rStyle w:val="Hyperlink"/>
              </w:rPr>
              <w:t>4.4 Network Security Policy</w:t>
            </w:r>
            <w:r>
              <w:tab/>
            </w:r>
            <w:r>
              <w:fldChar w:fldCharType="begin"/>
            </w:r>
            <w:r>
              <w:instrText xml:space="preserve">PAGEREF _Toc1809518131 \h</w:instrText>
            </w:r>
            <w:r>
              <w:fldChar w:fldCharType="separate"/>
            </w:r>
            <w:r w:rsidRPr="38E46FC7" w:rsidR="38E46FC7">
              <w:rPr>
                <w:rStyle w:val="Hyperlink"/>
              </w:rPr>
              <w:t>10</w:t>
            </w:r>
            <w:r>
              <w:fldChar w:fldCharType="end"/>
            </w:r>
          </w:hyperlink>
        </w:p>
        <w:p w:rsidR="00C35B8A" w:rsidP="38E46FC7" w:rsidRDefault="00C35B8A" w14:paraId="4659D2D9" w14:textId="0EFBECDB">
          <w:pPr>
            <w:pStyle w:val="TOC2"/>
            <w:tabs>
              <w:tab w:val="right" w:leader="dot" w:pos="9345"/>
            </w:tabs>
          </w:pPr>
          <w:hyperlink w:anchor="_Toc2138757005">
            <w:r w:rsidRPr="38E46FC7" w:rsidR="38E46FC7">
              <w:rPr>
                <w:rStyle w:val="Hyperlink"/>
              </w:rPr>
              <w:t>4.5 Incident Response and Business Continuity Policy</w:t>
            </w:r>
            <w:r>
              <w:tab/>
            </w:r>
            <w:r>
              <w:fldChar w:fldCharType="begin"/>
            </w:r>
            <w:r>
              <w:instrText xml:space="preserve">PAGEREF _Toc2138757005 \h</w:instrText>
            </w:r>
            <w:r>
              <w:fldChar w:fldCharType="separate"/>
            </w:r>
            <w:r w:rsidRPr="38E46FC7" w:rsidR="38E46FC7">
              <w:rPr>
                <w:rStyle w:val="Hyperlink"/>
              </w:rPr>
              <w:t>11</w:t>
            </w:r>
            <w:r>
              <w:fldChar w:fldCharType="end"/>
            </w:r>
          </w:hyperlink>
        </w:p>
        <w:p w:rsidR="00C35B8A" w:rsidP="38E46FC7" w:rsidRDefault="00C35B8A" w14:paraId="7EFABBA9" w14:textId="5EF11842">
          <w:pPr>
            <w:pStyle w:val="TOC2"/>
            <w:tabs>
              <w:tab w:val="right" w:leader="dot" w:pos="9345"/>
            </w:tabs>
          </w:pPr>
          <w:hyperlink w:anchor="_Toc1764506903">
            <w:r w:rsidRPr="38E46FC7" w:rsidR="38E46FC7">
              <w:rPr>
                <w:rStyle w:val="Hyperlink"/>
              </w:rPr>
              <w:t>4.6 Third-Party and Supplier Security Policy</w:t>
            </w:r>
            <w:r>
              <w:tab/>
            </w:r>
            <w:r>
              <w:fldChar w:fldCharType="begin"/>
            </w:r>
            <w:r>
              <w:instrText xml:space="preserve">PAGEREF _Toc1764506903 \h</w:instrText>
            </w:r>
            <w:r>
              <w:fldChar w:fldCharType="separate"/>
            </w:r>
            <w:r w:rsidRPr="38E46FC7" w:rsidR="38E46FC7">
              <w:rPr>
                <w:rStyle w:val="Hyperlink"/>
              </w:rPr>
              <w:t>11</w:t>
            </w:r>
            <w:r>
              <w:fldChar w:fldCharType="end"/>
            </w:r>
          </w:hyperlink>
        </w:p>
        <w:p w:rsidR="00C35B8A" w:rsidP="38E46FC7" w:rsidRDefault="00C35B8A" w14:paraId="73FE4F68" w14:textId="25338700">
          <w:pPr>
            <w:pStyle w:val="TOC1"/>
            <w:tabs>
              <w:tab w:val="right" w:leader="dot" w:pos="9345"/>
            </w:tabs>
          </w:pPr>
          <w:hyperlink w:anchor="_Toc900256634">
            <w:r w:rsidRPr="38E46FC7" w:rsidR="38E46FC7">
              <w:rPr>
                <w:rStyle w:val="Hyperlink"/>
              </w:rPr>
              <w:t>5. Mitigation Measures</w:t>
            </w:r>
            <w:r>
              <w:tab/>
            </w:r>
            <w:r>
              <w:fldChar w:fldCharType="begin"/>
            </w:r>
            <w:r>
              <w:instrText xml:space="preserve">PAGEREF _Toc900256634 \h</w:instrText>
            </w:r>
            <w:r>
              <w:fldChar w:fldCharType="separate"/>
            </w:r>
            <w:r w:rsidRPr="38E46FC7" w:rsidR="38E46FC7">
              <w:rPr>
                <w:rStyle w:val="Hyperlink"/>
              </w:rPr>
              <w:t>12</w:t>
            </w:r>
            <w:r>
              <w:fldChar w:fldCharType="end"/>
            </w:r>
          </w:hyperlink>
        </w:p>
        <w:p w:rsidR="00C35B8A" w:rsidP="38E46FC7" w:rsidRDefault="00C35B8A" w14:paraId="7E394349" w14:textId="0C05334B">
          <w:pPr>
            <w:pStyle w:val="TOC1"/>
            <w:tabs>
              <w:tab w:val="right" w:leader="dot" w:pos="9345"/>
            </w:tabs>
          </w:pPr>
          <w:hyperlink w:anchor="_Toc956566042">
            <w:r w:rsidRPr="38E46FC7" w:rsidR="38E46FC7">
              <w:rPr>
                <w:rStyle w:val="Hyperlink"/>
              </w:rPr>
              <w:t>6. Monitoring &amp; Incident Response</w:t>
            </w:r>
            <w:r>
              <w:tab/>
            </w:r>
            <w:r>
              <w:fldChar w:fldCharType="begin"/>
            </w:r>
            <w:r>
              <w:instrText xml:space="preserve">PAGEREF _Toc956566042 \h</w:instrText>
            </w:r>
            <w:r>
              <w:fldChar w:fldCharType="separate"/>
            </w:r>
            <w:r w:rsidRPr="38E46FC7" w:rsidR="38E46FC7">
              <w:rPr>
                <w:rStyle w:val="Hyperlink"/>
              </w:rPr>
              <w:t>14</w:t>
            </w:r>
            <w:r>
              <w:fldChar w:fldCharType="end"/>
            </w:r>
          </w:hyperlink>
        </w:p>
        <w:p w:rsidR="00C35B8A" w:rsidP="38E46FC7" w:rsidRDefault="00C35B8A" w14:paraId="75D7471F" w14:textId="5582D14E">
          <w:pPr>
            <w:pStyle w:val="TOC1"/>
            <w:tabs>
              <w:tab w:val="right" w:leader="dot" w:pos="9345"/>
            </w:tabs>
          </w:pPr>
          <w:hyperlink w:anchor="_Toc1698113751">
            <w:r w:rsidRPr="38E46FC7" w:rsidR="38E46FC7">
              <w:rPr>
                <w:rStyle w:val="Hyperlink"/>
              </w:rPr>
              <w:t>7. Employee Training &amp; Awareness Program</w:t>
            </w:r>
            <w:r>
              <w:tab/>
            </w:r>
            <w:r>
              <w:fldChar w:fldCharType="begin"/>
            </w:r>
            <w:r>
              <w:instrText xml:space="preserve">PAGEREF _Toc1698113751 \h</w:instrText>
            </w:r>
            <w:r>
              <w:fldChar w:fldCharType="separate"/>
            </w:r>
            <w:r w:rsidRPr="38E46FC7" w:rsidR="38E46FC7">
              <w:rPr>
                <w:rStyle w:val="Hyperlink"/>
              </w:rPr>
              <w:t>16</w:t>
            </w:r>
            <w:r>
              <w:fldChar w:fldCharType="end"/>
            </w:r>
          </w:hyperlink>
        </w:p>
        <w:p w:rsidR="00C35B8A" w:rsidP="38E46FC7" w:rsidRDefault="00C35B8A" w14:paraId="5ED056FD" w14:textId="6D210536">
          <w:pPr>
            <w:pStyle w:val="TOC1"/>
            <w:tabs>
              <w:tab w:val="right" w:leader="dot" w:pos="9345"/>
            </w:tabs>
          </w:pPr>
          <w:hyperlink w:anchor="_Toc1028672255">
            <w:r w:rsidRPr="38E46FC7" w:rsidR="38E46FC7">
              <w:rPr>
                <w:rStyle w:val="Hyperlink"/>
              </w:rPr>
              <w:t>8. Conclusion</w:t>
            </w:r>
            <w:r>
              <w:tab/>
            </w:r>
            <w:r>
              <w:fldChar w:fldCharType="begin"/>
            </w:r>
            <w:r>
              <w:instrText xml:space="preserve">PAGEREF _Toc1028672255 \h</w:instrText>
            </w:r>
            <w:r>
              <w:fldChar w:fldCharType="separate"/>
            </w:r>
            <w:r w:rsidRPr="38E46FC7" w:rsidR="38E46FC7">
              <w:rPr>
                <w:rStyle w:val="Hyperlink"/>
              </w:rPr>
              <w:t>17</w:t>
            </w:r>
            <w:r>
              <w:fldChar w:fldCharType="end"/>
            </w:r>
          </w:hyperlink>
        </w:p>
        <w:p w:rsidR="38E46FC7" w:rsidP="38E46FC7" w:rsidRDefault="38E46FC7" w14:paraId="4EC68C90" w14:textId="7C6A0F53">
          <w:pPr>
            <w:pStyle w:val="TOC1"/>
            <w:tabs>
              <w:tab w:val="right" w:leader="dot" w:pos="9345"/>
            </w:tabs>
          </w:pPr>
          <w:hyperlink w:anchor="_Toc1184816586">
            <w:r w:rsidRPr="38E46FC7" w:rsidR="38E46FC7">
              <w:rPr>
                <w:rStyle w:val="Hyperlink"/>
              </w:rPr>
              <w:t>9. Presentation Slides</w:t>
            </w:r>
            <w:r>
              <w:tab/>
            </w:r>
            <w:r>
              <w:fldChar w:fldCharType="begin"/>
            </w:r>
            <w:r>
              <w:instrText xml:space="preserve">PAGEREF _Toc1184816586 \h</w:instrText>
            </w:r>
            <w:r>
              <w:fldChar w:fldCharType="separate"/>
            </w:r>
            <w:r w:rsidRPr="38E46FC7" w:rsidR="38E46FC7">
              <w:rPr>
                <w:rStyle w:val="Hyperlink"/>
              </w:rPr>
              <w:t>18</w:t>
            </w:r>
            <w:r>
              <w:fldChar w:fldCharType="end"/>
            </w:r>
          </w:hyperlink>
        </w:p>
        <w:p w:rsidR="38E46FC7" w:rsidP="38E46FC7" w:rsidRDefault="38E46FC7" w14:paraId="1C8ECFF7" w14:textId="6AC06C79">
          <w:pPr>
            <w:pStyle w:val="TOC1"/>
            <w:tabs>
              <w:tab w:val="right" w:leader="dot" w:pos="9345"/>
            </w:tabs>
          </w:pPr>
          <w:hyperlink w:anchor="_Toc732625877">
            <w:r w:rsidRPr="38E46FC7" w:rsidR="38E46FC7">
              <w:rPr>
                <w:rStyle w:val="Hyperlink"/>
              </w:rPr>
              <w:t>References</w:t>
            </w:r>
            <w:r>
              <w:tab/>
            </w:r>
            <w:r>
              <w:fldChar w:fldCharType="begin"/>
            </w:r>
            <w:r>
              <w:instrText xml:space="preserve">PAGEREF _Toc732625877 \h</w:instrText>
            </w:r>
            <w:r>
              <w:fldChar w:fldCharType="separate"/>
            </w:r>
            <w:r w:rsidRPr="38E46FC7" w:rsidR="38E46FC7">
              <w:rPr>
                <w:rStyle w:val="Hyperlink"/>
              </w:rPr>
              <w:t>23</w:t>
            </w:r>
            <w:r>
              <w:fldChar w:fldCharType="end"/>
            </w:r>
          </w:hyperlink>
        </w:p>
        <w:p w:rsidR="00A04B8A" w:rsidP="38E46FC7" w:rsidRDefault="00C35B8A" w14:paraId="2D953C24" w14:textId="5864AFDC">
          <w:pPr>
            <w:pStyle w:val="TOC1"/>
            <w:tabs>
              <w:tab w:val="right" w:leader="dot" w:pos="9350"/>
            </w:tabs>
            <w:rPr>
              <w:noProof/>
            </w:rPr>
          </w:pPr>
          <w:r w:rsidRPr="38E46FC7">
            <w:rPr>
              <w:rFonts w:cs="Times New Roman"/>
              <w:b w:val="1"/>
              <w:bCs w:val="1"/>
              <w:noProof/>
            </w:rPr>
            <w:fldChar w:fldCharType="end"/>
          </w:r>
          <w:r>
            <w:rPr>
              <w:noProof/>
              <w:webHidden/>
            </w:rPr>
          </w:r>
        </w:p>
      </w:sdtContent>
    </w:sdt>
    <w:p w:rsidR="00C64C87" w:rsidRDefault="00C64C87" w14:paraId="60564008" w14:textId="67E34C98">
      <w:pPr>
        <w:spacing w:line="278" w:lineRule="auto"/>
        <w:jc w:val="left"/>
      </w:pPr>
      <w:r>
        <w:br w:type="page"/>
      </w:r>
    </w:p>
    <w:p w:rsidR="00C64C87" w:rsidP="00DD78E6" w:rsidRDefault="00C64C87" w14:paraId="346AFC70" w14:textId="6CA531DB">
      <w:pPr>
        <w:pStyle w:val="Heading1"/>
      </w:pPr>
      <w:bookmarkStart w:name="_Toc700970162" w:id="327869405"/>
      <w:r w:rsidR="00C64C87">
        <w:rPr/>
        <w:t>Executive Summary</w:t>
      </w:r>
      <w:bookmarkEnd w:id="327869405"/>
    </w:p>
    <w:p w:rsidRPr="00A04B8A" w:rsidR="00A04B8A" w:rsidP="00A04B8A" w:rsidRDefault="00486C4B" w14:paraId="28AADE20" w14:textId="133DD481">
      <w:r w:rsidRPr="00486C4B">
        <w:t xml:space="preserve">SteelForm Manufacturing Ltd. (SFM) has employed Industry 4.0 technology in its operations through the employment of IoT devices, automation in the production process and cloud manufacturing systems in order to boost efficiency and quality of products. Although the use of these technologies has brought about many benefits to SFM as an organization, it has been noted that there are cybersecurity risks posed by these technologies that can result in interruption of the production process, engineering confidential information and reputation of the company. This report aims </w:t>
      </w:r>
      <w:r w:rsidRPr="00486C4B" w:rsidR="00C42185">
        <w:t>to analyze</w:t>
      </w:r>
      <w:r w:rsidRPr="00486C4B">
        <w:t xml:space="preserve"> cyber risks that exist within the company internally and externally as well as recommending a cybersecurity and data governance framework for SFM in order to mitigate the existing cyber risks. It is recommended that international frameworks, such as ISO/IEC 27001 and the NIST Cybersecurity Framework be adopted in conjunction with technical controls, such as multi-factor authentication, network segmentation, encryption and continuous monitoring among others</w:t>
      </w:r>
      <w:r w:rsidR="00100C3F">
        <w:fldChar w:fldCharType="begin" w:fldLock="1"/>
      </w:r>
      <w:r w:rsidR="00100C3F">
        <w:instrText>ADDIN CSL_CITATION {"citationItems":[{"id":"ITEM-1","itemData":{"abstract":"The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used.","author":[{"dropping-particle":"","family":"Moore","given":"Tyler","non-dropping-particle":"","parse-names":false,"suffix":""}],"id":"ITEM-1","issued":{"date-parts":[["2024"]]},"page":"32","title":"The NIST Cybersecurity","type":"article-journal"},"uris":["http://www.mendeley.com/documents/?uuid=40f3477a-0d7f-48fa-b82d-1b7f2679373b"]}],"mendeley":{"formattedCitation":"[1]","plainTextFormattedCitation":"[1]","previouslyFormattedCitation":"[1]"},"properties":{"noteIndex":0},"schema":"https://github.com/citation-style-language/schema/raw/master/csl-citation.json"}</w:instrText>
      </w:r>
      <w:r w:rsidR="00100C3F">
        <w:fldChar w:fldCharType="separate"/>
      </w:r>
      <w:r w:rsidRPr="00100C3F" w:rsidR="00100C3F">
        <w:rPr>
          <w:noProof/>
        </w:rPr>
        <w:t>[1]</w:t>
      </w:r>
      <w:r w:rsidR="00100C3F">
        <w:fldChar w:fldCharType="end"/>
      </w:r>
      <w:r w:rsidR="00100C3F">
        <w:fldChar w:fldCharType="begin" w:fldLock="1"/>
      </w:r>
      <w:r w:rsidR="00100C3F">
        <w:instrText>ADDIN CSL_CITATION {"citationItems":[{"id":"ITEM-1","itemData":{"author":[{"dropping-particle":"","family":"International Organization for Standardization","given":"","non-dropping-particle":"","parse-names":false,"suffix":""}],"id":"ITEM-1","issue":"ISO/IEC 27001:2022","issued":{"date-parts":[["2022"]]},"title":"Information Security, Cybersecurity and Privacy Protection --- Information Security Management Systems --- Requirements","type":"article"},"uris":["http://www.mendeley.com/documents/?uuid=23ab7184-f106-4fed-9fa7-fb509f51e7a1"]}],"mendeley":{"formattedCitation":"[2]","plainTextFormattedCitation":"[2]","previouslyFormattedCitation":"[2]"},"properties":{"noteIndex":0},"schema":"https://github.com/citation-style-language/schema/raw/master/csl-citation.json"}</w:instrText>
      </w:r>
      <w:r w:rsidR="00100C3F">
        <w:fldChar w:fldCharType="separate"/>
      </w:r>
      <w:r w:rsidRPr="00100C3F" w:rsidR="00100C3F">
        <w:rPr>
          <w:noProof/>
        </w:rPr>
        <w:t>[2]</w:t>
      </w:r>
      <w:r w:rsidR="00100C3F">
        <w:fldChar w:fldCharType="end"/>
      </w:r>
      <w:r w:rsidR="00A04B8A">
        <w:t>.</w:t>
      </w:r>
    </w:p>
    <w:p w:rsidR="00C64C87" w:rsidP="00DD78E6" w:rsidRDefault="00C64C87" w14:paraId="076326F6" w14:textId="6DEFB1BD">
      <w:pPr>
        <w:pStyle w:val="Heading1"/>
      </w:pPr>
      <w:bookmarkStart w:name="_Toc312600151" w:id="917547119"/>
      <w:r w:rsidR="00C64C87">
        <w:rPr/>
        <w:t>1. Introduction</w:t>
      </w:r>
      <w:bookmarkEnd w:id="917547119"/>
    </w:p>
    <w:p w:rsidRPr="00A04B8A" w:rsidR="00A04B8A" w:rsidP="00A04B8A" w:rsidRDefault="00A46212" w14:paraId="1335C457" w14:textId="5F6FA4B3">
      <w:r w:rsidRPr="00A46212">
        <w:t xml:space="preserve">Cybersecurity has emerged as one of the significant challenges for manufacturing firms in today's world. The implementation of Industry 4.0 technologies such as the Internet of Things (IoT) devices, cloud computing, automation, and the interconnection of supply chain systems has increased the efficiency and performance of manufacturing operations. However, with the use of these technologies, the cyber exposure of crucial business operations has increased due to which manufacturing firms are now at risk from highly advanced cyber-attacks such as ransomware attacks, industrial espionage, supply chain attacks, insider attacks, and data breaches. SteelForm Manufacturing Ltd. (SFM) is a medium-sized manufacturing firm providing custom-engineered components to automotive and aerospace industries. With the emergence of cyber risks for manufacturers, it is also at the risk of cyber-attacks due to its valuable intellectual property and constant production operations. Malware infections, phishing attacks, and unauthorized access attempts have raised the need for cybersecurity among SFM. This report provides an evaluation of the cybersecurity risks faced by SFM along with recommendations of security policies, risk mitigation techniques, monitoring procedures, and employee awareness programs according to </w:t>
      </w:r>
      <w:r w:rsidRPr="00A46212">
        <w:t>international standards such as ISO/IEC 27001, NIST Cybersecurity Framework, and CIA Triad</w:t>
      </w:r>
      <w:r w:rsidR="00100C3F">
        <w:fldChar w:fldCharType="begin" w:fldLock="1"/>
      </w:r>
      <w:r w:rsidR="00100C3F">
        <w:instrText>ADDIN CSL_CITATION {"citationItems":[{"id":"ITEM-1","itemData":{"abstract":"The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used.","author":[{"dropping-particle":"","family":"Moore","given":"Tyler","non-dropping-particle":"","parse-names":false,"suffix":""}],"id":"ITEM-1","issued":{"date-parts":[["2024"]]},"page":"32","title":"The NIST Cybersecurity","type":"article-journal"},"uris":["http://www.mendeley.com/documents/?uuid=40f3477a-0d7f-48fa-b82d-1b7f2679373b"]}],"mendeley":{"formattedCitation":"[1]","plainTextFormattedCitation":"[1]","previouslyFormattedCitation":"[1]"},"properties":{"noteIndex":0},"schema":"https://github.com/citation-style-language/schema/raw/master/csl-citation.json"}</w:instrText>
      </w:r>
      <w:r w:rsidR="00100C3F">
        <w:fldChar w:fldCharType="separate"/>
      </w:r>
      <w:r w:rsidRPr="00100C3F" w:rsidR="00100C3F">
        <w:rPr>
          <w:noProof/>
        </w:rPr>
        <w:t>[1]</w:t>
      </w:r>
      <w:r w:rsidR="00100C3F">
        <w:fldChar w:fldCharType="end"/>
      </w:r>
      <w:r w:rsidR="00A04B8A">
        <w:t>.</w:t>
      </w:r>
    </w:p>
    <w:p w:rsidR="00C64C87" w:rsidP="00DD78E6" w:rsidRDefault="00C64C87" w14:paraId="01DA6FC8" w14:textId="4B1BB873">
      <w:pPr>
        <w:pStyle w:val="Heading1"/>
      </w:pPr>
      <w:bookmarkStart w:name="_Toc1349657009" w:id="1632468066"/>
      <w:r w:rsidR="00C64C87">
        <w:rPr/>
        <w:t>2. Company Background</w:t>
      </w:r>
      <w:bookmarkEnd w:id="1632468066"/>
    </w:p>
    <w:p w:rsidR="001F6F3B" w:rsidP="008D1E32" w:rsidRDefault="0009406D" w14:paraId="20D93444" w14:textId="77777777">
      <w:r w:rsidRPr="0009406D">
        <w:t>Introduction SteelForm Manufacturing Ltd. (SFM) is a medium-sized firm that specializes in the manufacturing of custom-designed parts for use in the automotive and aerospace industries. In order to remain competitive, the company has embraced technology through adoption of Industry 4.0, where it utilizes IoT sensors, automatic machinery, industrial controls, and a cloud-based production management system. Although these new technologies bring benefits of efficiency due to the fact that they allow for real-time monitoring of production process and supply chain coordination among other things, they expose SFM to more cybersecurity risks. Threats arise in the context of connectivity that now exists in the manufacturing process, where there are devices used, cloud services, workstations, supplier networks, and remote management systems. Malware attacks, phishing attacks on purchasing staff, and attempts to gain unauthorized access to the production network are recent instances that show why SFM needs a proper cybersecurity and data governance framework</w:t>
      </w:r>
      <w:r w:rsidR="00100C3F">
        <w:fldChar w:fldCharType="begin" w:fldLock="1"/>
      </w:r>
      <w:r w:rsidR="00100C3F">
        <w:instrText>ADDIN CSL_CITATION {"citationItems":[{"id":"ITEM-1","itemData":{"author":[{"dropping-particle":"","family":"International Organization for Standardization","given":"","non-dropping-particle":"","parse-names":false,"suffix":""}],"id":"ITEM-1","issue":"ISO/IEC 27001:2022","issued":{"date-parts":[["2022"]]},"title":"Information Security, Cybersecurity and Privacy Protection --- Information Security Management Systems --- Requirements","type":"article"},"uris":["http://www.mendeley.com/documents/?uuid=23ab7184-f106-4fed-9fa7-fb509f51e7a1"]}],"mendeley":{"formattedCitation":"[2]","plainTextFormattedCitation":"[2]","previouslyFormattedCitation":"[2]"},"properties":{"noteIndex":0},"schema":"https://github.com/citation-style-language/schema/raw/master/csl-citation.json"}</w:instrText>
      </w:r>
      <w:r w:rsidR="00100C3F">
        <w:fldChar w:fldCharType="separate"/>
      </w:r>
      <w:r w:rsidRPr="00100C3F" w:rsidR="00100C3F">
        <w:rPr>
          <w:noProof/>
        </w:rPr>
        <w:t>[2]</w:t>
      </w:r>
      <w:r w:rsidR="00100C3F">
        <w:fldChar w:fldCharType="end"/>
      </w:r>
      <w:r w:rsidR="000E1548">
        <w:t>.</w:t>
      </w:r>
    </w:p>
    <w:p w:rsidR="004E2D2E" w:rsidP="008D1E32" w:rsidRDefault="0062590C" w14:paraId="3D884419" w14:textId="70A9100A">
      <w:r>
        <w:rPr>
          <w:noProof/>
        </w:rPr>
        <w:drawing>
          <wp:anchor distT="0" distB="0" distL="114300" distR="114300" simplePos="0" relativeHeight="251660288" behindDoc="0" locked="0" layoutInCell="1" allowOverlap="1" wp14:anchorId="583F6D62" wp14:editId="0569B30E">
            <wp:simplePos x="0" y="0"/>
            <wp:positionH relativeFrom="column">
              <wp:posOffset>704850</wp:posOffset>
            </wp:positionH>
            <wp:positionV relativeFrom="paragraph">
              <wp:posOffset>0</wp:posOffset>
            </wp:positionV>
            <wp:extent cx="3171825" cy="3962400"/>
            <wp:effectExtent l="0" t="0" r="9525" b="0"/>
            <wp:wrapTopAndBottom/>
            <wp:docPr id="3463999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71825" cy="3962400"/>
                    </a:xfrm>
                    <a:prstGeom prst="rect">
                      <a:avLst/>
                    </a:prstGeom>
                    <a:noFill/>
                  </pic:spPr>
                </pic:pic>
              </a:graphicData>
            </a:graphic>
            <wp14:sizeRelH relativeFrom="margin">
              <wp14:pctWidth>0</wp14:pctWidth>
            </wp14:sizeRelH>
            <wp14:sizeRelV relativeFrom="margin">
              <wp14:pctHeight>0</wp14:pctHeight>
            </wp14:sizeRelV>
          </wp:anchor>
        </w:drawing>
      </w:r>
    </w:p>
    <w:p w:rsidRPr="000E1548" w:rsidR="0062590C" w:rsidP="004E2D2E" w:rsidRDefault="004E2D2E" w14:paraId="7C1FD66B" w14:textId="57B9F111">
      <w:pPr>
        <w:pStyle w:val="Caption"/>
        <w:jc w:val="center"/>
      </w:pPr>
      <w:r>
        <w:t xml:space="preserve">Figure </w:t>
      </w:r>
      <w:r>
        <w:fldChar w:fldCharType="begin"/>
      </w:r>
      <w:r>
        <w:instrText> SEQ Figure \* ARABIC </w:instrText>
      </w:r>
      <w:r>
        <w:fldChar w:fldCharType="separate"/>
      </w:r>
      <w:r w:rsidR="003A07DC">
        <w:rPr>
          <w:noProof/>
        </w:rPr>
        <w:t>1</w:t>
      </w:r>
      <w:r>
        <w:fldChar w:fldCharType="end"/>
      </w:r>
      <w:r w:rsidRPr="00390185">
        <w:t>. Cyber Threat Landscape of SteelForm Manufacturing Ltd.</w:t>
      </w:r>
    </w:p>
    <w:p w:rsidR="00C64C87" w:rsidP="00DD78E6" w:rsidRDefault="00C64C87" w14:paraId="33FEF8EA" w14:textId="55A10D17">
      <w:pPr>
        <w:pStyle w:val="Heading1"/>
      </w:pPr>
      <w:bookmarkStart w:name="_Toc2051047450" w:id="138040474"/>
      <w:r w:rsidR="00C64C87">
        <w:rPr/>
        <w:t>3. Identification of Internal &amp; External Threats</w:t>
      </w:r>
      <w:bookmarkEnd w:id="138040474"/>
    </w:p>
    <w:p w:rsidR="0062590C" w:rsidP="0062590C" w:rsidRDefault="00BB6238" w14:paraId="77B3BB4B" w14:textId="5987CBD8">
      <w:r w:rsidRPr="00BB6238">
        <w:t>SFM functions in a digitally integrated production setting, where OT, IT, cloud computing infrastructure, and IoT are integrated. Although such integration helps to boost the efficiency of operations and improve decision making, it presents several entry points for cyber-attacks. To create a successful cybersecurity strategy, it is essential to analyze the risks both from inside and outside the organization that can pose CIA threats to the information resources of SFM</w:t>
      </w:r>
      <w:r w:rsidR="00100C3F">
        <w:fldChar w:fldCharType="begin" w:fldLock="1"/>
      </w:r>
      <w:r w:rsidR="00100C3F">
        <w:instrText>ADDIN CSL_CITATION {"citationItems":[{"id":"ITEM-1","itemData":{"author":[{"dropping-particle":"","family":"Whitman","given":"Michael E","non-dropping-particle":"","parse-names":false,"suffix":""},{"dropping-particle":"","family":"Mattord","given":"Herbert J","non-dropping-particle":"","parse-names":false,"suffix":""}],"edition":"7th","id":"ITEM-1","issued":{"date-parts":[["2022"]]},"publisher":"Cengage Learning","title":"Principles of Information Security","type":"book"},"uris":["http://www.mendeley.com/documents/?uuid=3eb02b82-340d-45ff-88a4-ee9dda16c1e1"]}],"mendeley":{"formattedCitation":"[3]","plainTextFormattedCitation":"[3]","previouslyFormattedCitation":"[3]"},"properties":{"noteIndex":0},"schema":"https://github.com/citation-style-language/schema/raw/master/csl-citation.json"}</w:instrText>
      </w:r>
      <w:r w:rsidR="00100C3F">
        <w:fldChar w:fldCharType="separate"/>
      </w:r>
      <w:r w:rsidRPr="00100C3F" w:rsidR="00100C3F">
        <w:rPr>
          <w:noProof/>
        </w:rPr>
        <w:t>[3]</w:t>
      </w:r>
      <w:r w:rsidR="00100C3F">
        <w:fldChar w:fldCharType="end"/>
      </w:r>
      <w:r w:rsidRPr="0062590C" w:rsidR="0062590C">
        <w:t>.</w:t>
      </w:r>
    </w:p>
    <w:p w:rsidR="0062590C" w:rsidP="0062590C" w:rsidRDefault="0062590C" w14:paraId="314E0E42" w14:textId="0E976815">
      <w:pPr>
        <w:pStyle w:val="Heading2"/>
      </w:pPr>
      <w:bookmarkStart w:name="_Toc21818430" w:id="773004418"/>
      <w:r w:rsidR="0062590C">
        <w:rPr/>
        <w:t>3.1 Internal Threats</w:t>
      </w:r>
      <w:bookmarkEnd w:id="773004418"/>
    </w:p>
    <w:p w:rsidR="0062590C" w:rsidP="00E8455B" w:rsidRDefault="00DC1BBA" w14:paraId="5BE3A35D" w14:textId="29153476">
      <w:r w:rsidRPr="00DC1BBA">
        <w:t xml:space="preserve">The internal threat involves the staff members, contractors, and other trusted individuals that have legitimate access to the company systems. It could be either an intentional act or the result of mistake, but both types may significantly affect the functioning of the business. One of the most widespread cybersecurity issues faced by manufacturing businesses is </w:t>
      </w:r>
      <w:r w:rsidRPr="00DC1BBA" w:rsidR="002C1274">
        <w:t>human</w:t>
      </w:r>
      <w:r w:rsidRPr="00DC1BBA">
        <w:t xml:space="preserve"> error. Staff members may open phishing emails that contain malicious links, use poor passwords, misconfigure the </w:t>
      </w:r>
      <w:r w:rsidRPr="00DC1BBA">
        <w:t>systems and share sensitive data. Such actions will provide unauthorized access to critical systems and production networks for hackers. The insider threat includes the activity of employees and contractors who misuse the privileges provided to them and attempt to steal intellectual property, manipulate production data and interfere with the manufacturing processes. Insiders possess legitimate access to the systems; therefore, their activities are difficult to spot using conventional perimeter security measures. Weak authentication is another issue that raises the risk for the organization. Poor passwords, password reuse, and lack of Multi-Factor Authentication (MFA) may lead to credential theft and brute-force attacks. The third factor that poses a great risk is the utilization of removable media, including the USB flash drives. Using such devices for connecting to the production workstations will infect the OT environment and manufacturing equipment</w:t>
      </w:r>
      <w:r w:rsidR="00100C3F">
        <w:fldChar w:fldCharType="begin" w:fldLock="1"/>
      </w:r>
      <w:r w:rsidR="00100C3F">
        <w:instrText>ADDIN CSL_CITATION {"citationItems":[{"id":"ITEM-1","itemData":{"abstract":"The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used.","author":[{"dropping-particle":"","family":"Moore","given":"Tyler","non-dropping-particle":"","parse-names":false,"suffix":""}],"id":"ITEM-1","issued":{"date-parts":[["2024"]]},"page":"32","title":"The NIST Cybersecurity","type":"article-journal"},"uris":["http://www.mendeley.com/documents/?uuid=40f3477a-0d7f-48fa-b82d-1b7f2679373b"]}],"mendeley":{"formattedCitation":"[1]","plainTextFormattedCitation":"[1]","previouslyFormattedCitation":"[1]"},"properties":{"noteIndex":0},"schema":"https://github.com/citation-style-language/schema/raw/master/csl-citation.json"}</w:instrText>
      </w:r>
      <w:r w:rsidR="00100C3F">
        <w:fldChar w:fldCharType="separate"/>
      </w:r>
      <w:r w:rsidRPr="00100C3F" w:rsidR="00100C3F">
        <w:rPr>
          <w:noProof/>
        </w:rPr>
        <w:t>[1]</w:t>
      </w:r>
      <w:r w:rsidR="00100C3F">
        <w:fldChar w:fldCharType="end"/>
      </w:r>
      <w:r w:rsidR="00E8455B">
        <w:t>.</w:t>
      </w:r>
    </w:p>
    <w:p w:rsidR="0062590C" w:rsidP="0062590C" w:rsidRDefault="0062590C" w14:paraId="4387E09A" w14:textId="37E6EDCD">
      <w:pPr>
        <w:pStyle w:val="Heading2"/>
      </w:pPr>
      <w:bookmarkStart w:name="_Toc168551701" w:id="453569770"/>
      <w:r w:rsidR="0062590C">
        <w:rPr/>
        <w:t>3.2 External Threats</w:t>
      </w:r>
      <w:bookmarkEnd w:id="453569770"/>
    </w:p>
    <w:p w:rsidR="0062590C" w:rsidP="006A442B" w:rsidRDefault="00313175" w14:paraId="1E6EF5EA" w14:textId="6921C0CF">
      <w:r w:rsidRPr="00313175">
        <w:t>Threats from outside the organization come from cyber criminals, hacktivists, nation states, or criminal organizations with the goal of making profits or stealing valuable intellectual property. One of the major threats facing manufacturing organizations is ransomware. The attackers will encrypt the production servers, databases, or operational systems, then they will ask for money to unlock the system. The loss of time could cause disruptions in manufacturing operations or delivery of goods to the customers which would result in monetary loss. Phishing attacks would try to target employees using phishing emails that would allow the attackers to steal their login credentials and spread malware on the system. Procurement and finance would be common targets due to the fact that those departments would have to deal frequently with suppliers and third-party vendors. Malware would be able to attack SFM's systems using email attachments, malicious websites, or vulnerable software. The malware might be able to steal confidential designs, cause disruptions to production equipment or give access to the organization's systems. Industrial espionage might be a threat to organizations working in automotive and aerospace industries as competitors or state-sponsored actors would be trying to get their proprietary product designs, manufacturing processes, customer contracts, or research information to have an upper hand over them. Distributed Denial of Service (DDoS) attacks would be able to affect cloud-based production management system as well</w:t>
      </w:r>
      <w:r w:rsidR="0062590C">
        <w:t>.</w:t>
      </w:r>
    </w:p>
    <w:p w:rsidR="0062590C" w:rsidP="0062590C" w:rsidRDefault="0062590C" w14:paraId="2D183D27" w14:textId="5D280FBE">
      <w:pPr>
        <w:pStyle w:val="Heading2"/>
      </w:pPr>
      <w:bookmarkStart w:name="_Toc246262887" w:id="1559235505"/>
      <w:r w:rsidR="0062590C">
        <w:rPr/>
        <w:t>3.3 Supply Chain and IoT Risks</w:t>
      </w:r>
      <w:bookmarkEnd w:id="1559235505"/>
    </w:p>
    <w:p w:rsidRPr="0062590C" w:rsidR="004E2D2E" w:rsidP="001F0DB2" w:rsidRDefault="00646BF2" w14:paraId="082F24CB" w14:textId="1D248192">
      <w:r w:rsidRPr="00646BF2">
        <w:t xml:space="preserve">Third-party suppliers, cloud service providers, and IoT-based manufacturing assets are required for SFM. Any vulnerabilities in external entities will serve attackers as a way to get into the organization’s internal IT architecture. Similarly, IoT devices running old firmware or having poor authentication and unpatched software may be exploited by attackers to </w:t>
      </w:r>
      <w:proofErr w:type="gramStart"/>
      <w:r w:rsidRPr="00646BF2">
        <w:t>gain entry into</w:t>
      </w:r>
      <w:proofErr w:type="gramEnd"/>
      <w:r w:rsidRPr="00646BF2">
        <w:t xml:space="preserve"> the manufacturing network. Given the increased convergence of IT and OT environments, an attack might result in the exposure of confidential information along with causing disruption in actual manufacturing processes. In addition to damaging the equipment, the attacks might also affect product quality and undermine the customers’ trust in the product</w:t>
      </w:r>
      <w:r w:rsidR="003F0E09">
        <w:t>.</w:t>
      </w:r>
    </w:p>
    <w:p w:rsidR="00C64C87" w:rsidP="00DD78E6" w:rsidRDefault="00C64C87" w14:paraId="579FF7C2" w14:textId="2B5DCFC5">
      <w:pPr>
        <w:pStyle w:val="Heading1"/>
      </w:pPr>
      <w:bookmarkStart w:name="_Toc565867562" w:id="727116621"/>
      <w:r w:rsidR="00C64C87">
        <w:rPr/>
        <w:t>4. Cybersecurity &amp; Data Governance Policies</w:t>
      </w:r>
      <w:bookmarkEnd w:id="727116621"/>
    </w:p>
    <w:p w:rsidR="00D90360" w:rsidP="00D90360" w:rsidRDefault="00BE72EE" w14:paraId="4DA33346" w14:textId="4FEB7F19">
      <w:r w:rsidRPr="00BE72EE">
        <w:t>In order to improve the company’s cybersecurity environment, SteelForm Manufacturing Ltd. (SFM) must implement an internationally accepted framework for cybersecurity and data governance, such as ISO/IEC 27001, CSF 2.0 (NIST Cybersecurity Framework), and CIA Triad. This framework will provide a useful guide for the company’s staff, contractors, and suppliers, and help ensure the security of company’s vital assets from the ever-evolving cybersecurity threats</w:t>
      </w:r>
      <w:r w:rsidRPr="00D90360" w:rsidR="00D90360">
        <w:t>.</w:t>
      </w:r>
    </w:p>
    <w:p w:rsidR="00D90360" w:rsidP="00D90360" w:rsidRDefault="00D90360" w14:paraId="7E2B6EF8" w14:textId="77777777">
      <w:pPr>
        <w:pStyle w:val="Heading2"/>
      </w:pPr>
      <w:bookmarkStart w:name="_Toc487305172" w:id="255248669"/>
      <w:r w:rsidR="00D90360">
        <w:rPr/>
        <w:t>4.1 Information Security Policy</w:t>
      </w:r>
      <w:bookmarkEnd w:id="255248669"/>
    </w:p>
    <w:p w:rsidR="00D90360" w:rsidP="00D90360" w:rsidRDefault="004A3A26" w14:paraId="0BE98F01" w14:textId="20217545">
      <w:r w:rsidRPr="004A3A26">
        <w:t xml:space="preserve">The information security policy will be used to lay the groundwork for the cybersecurity initiative of SFM. This means that there must be clear </w:t>
      </w:r>
      <w:proofErr w:type="gramStart"/>
      <w:r w:rsidRPr="004A3A26">
        <w:t>objectives defined</w:t>
      </w:r>
      <w:proofErr w:type="gramEnd"/>
      <w:r w:rsidRPr="004A3A26">
        <w:t>, roles and responsibilities assigned, and proper utilization of the organization's resources. The senior management needs to show commitment to the program through regular review of the security performance and availability of the necessary resources</w:t>
      </w:r>
      <w:r w:rsidR="00D90360">
        <w:t>.</w:t>
      </w:r>
    </w:p>
    <w:p w:rsidR="00D90360" w:rsidP="00D90360" w:rsidRDefault="00D90360" w14:paraId="1A1FDB14" w14:textId="77777777">
      <w:pPr>
        <w:pStyle w:val="Heading2"/>
      </w:pPr>
      <w:bookmarkStart w:name="_Toc1183588063" w:id="1237422252"/>
      <w:r w:rsidR="00D90360">
        <w:rPr/>
        <w:t>4.2 Access Control Policy</w:t>
      </w:r>
      <w:bookmarkEnd w:id="1237422252"/>
    </w:p>
    <w:p w:rsidR="00D90360" w:rsidP="00D90360" w:rsidRDefault="004A3A26" w14:paraId="32B2B3E9" w14:textId="2838B416">
      <w:r w:rsidRPr="004A3A26">
        <w:t xml:space="preserve">Access to the systems of the organization should be in accordance with PoLP such that users have only those permissions which are necessary to carry out their jobs. RBAC should provide access rights based on user roles rather than personal preferences. MFA should be used for remote access, cloud-based solutions and administrative accounts. Policy for passwords should include strong </w:t>
      </w:r>
      <w:r w:rsidRPr="004A3A26">
        <w:t>passwords, password change after a defined period and no reuse of passwords for multiple systems</w:t>
      </w:r>
      <w:r w:rsidR="00100C3F">
        <w:fldChar w:fldCharType="begin" w:fldLock="1"/>
      </w:r>
      <w:r w:rsidR="00100C3F">
        <w:instrText>ADDIN CSL_CITATION {"citationItems":[{"id":"ITEM-1","itemData":{"abstract":"This publication provides a catalog of security and privacy controls for information systems and organizations to protect organizational operations and assets, individuals, other organizations, and the Nation from a diverse set of threats and risks, including hostile attacks, human errors, natural disasters, structural failures, foreign intelligence entities, and privacy risks. The controls are flexible and customizable and implemented as part of an organization-wide process to manage risk. The controls address diverse requirements derived from mission and business needs, laws, executive orders, directives, regulations, policies, standards, and guidelines. Finally, the consolidated control catalog addresses security and privacy from a functionality perspective (i.e., the strength of functions and mechanisms provided by the controls) and from an assurance perspective (i.e., the measure of confidence in the security or privacy capability provided by the controls). Addressing functionality and assurance helps to ensure that information technology products and the systems that rely on those products are sufficiently trustworthy.","author":[{"dropping-particle":"","family":"NIST SP800-53","given":"","non-dropping-particle":"","parse-names":false,"suffix":""}],"container-title":"NIST Special Publication","id":"ITEM-1","issued":{"date-parts":[["2020"]]},"title":"Security and Privacy Controls for Information Systems and Organizations","type":"book"},"uris":["http://www.mendeley.com/documents/?uuid=79d643bb-11c9-38b1-9705-a7cfb12b1d3b"]}],"mendeley":{"formattedCitation":"[4]","plainTextFormattedCitation":"[4]","previouslyFormattedCitation":"[4]"},"properties":{"noteIndex":0},"schema":"https://github.com/citation-style-language/schema/raw/master/csl-citation.json"}</w:instrText>
      </w:r>
      <w:r w:rsidR="00100C3F">
        <w:fldChar w:fldCharType="separate"/>
      </w:r>
      <w:r w:rsidRPr="00100C3F" w:rsidR="00100C3F">
        <w:rPr>
          <w:noProof/>
        </w:rPr>
        <w:t>[4]</w:t>
      </w:r>
      <w:r w:rsidR="00100C3F">
        <w:fldChar w:fldCharType="end"/>
      </w:r>
      <w:r w:rsidR="00D90360">
        <w:t>.</w:t>
      </w:r>
    </w:p>
    <w:p w:rsidR="00D90360" w:rsidP="00D90360" w:rsidRDefault="00D90360" w14:paraId="5974E355" w14:textId="77777777">
      <w:pPr>
        <w:pStyle w:val="Heading2"/>
      </w:pPr>
      <w:bookmarkStart w:name="_Toc1882670954" w:id="817003918"/>
      <w:r w:rsidR="00D90360">
        <w:rPr/>
        <w:t>4.3 Data Governance and Classification Policy</w:t>
      </w:r>
      <w:bookmarkEnd w:id="817003918"/>
    </w:p>
    <w:p w:rsidR="00D90360" w:rsidP="00D90360" w:rsidRDefault="00B1334F" w14:paraId="28765697" w14:textId="7A133FB4">
      <w:r w:rsidRPr="00B1334F">
        <w:t>The SFM must use the classification labels Public, Internal, Confidential, and Highly Confidential for the information used in the organization. The most valuable data such as engineering diagrams, customer contracts, manufacturing operations, accounting, and intellectual property should be highly protected. Critical data must be encrypted at rest and on transit following current security standards. Data retention rules must be implemented to indicate the period for storing the information and a secure method of destroying the old information in order to prevent recovery by any other party. Though SFM will probably not exist only in the European Union, the principle of good governance is to follow GDPR principles</w:t>
      </w:r>
      <w:r w:rsidR="00100C3F">
        <w:fldChar w:fldCharType="begin" w:fldLock="1"/>
      </w:r>
      <w:r w:rsidR="00F54B6D">
        <w:instrText>ADDIN CSL_CITATION {"citationItems":[{"id":"ITEM-1","itemData":{"author":[{"dropping-particle":"","family":"European Union Agency for Cybersecurity (ENISA)","given":"","non-dropping-particle":"","parse-names":false,"suffix":""}],"id":"ITEM-1","issued":{"date-parts":[["2024"]]},"title":"ENISA Threat Landscape 2024","type":"report"},"uris":["http://www.mendeley.com/documents/?uuid=8c9ef180-b303-46ed-90c7-7e887f8b4c24"]}],"mendeley":{"formattedCitation":"[5]","plainTextFormattedCitation":"[5]","previouslyFormattedCitation":"[5]"},"properties":{"noteIndex":0},"schema":"https://github.com/citation-style-language/schema/raw/master/csl-citation.json"}</w:instrText>
      </w:r>
      <w:r w:rsidR="00100C3F">
        <w:fldChar w:fldCharType="separate"/>
      </w:r>
      <w:r w:rsidRPr="00100C3F" w:rsidR="00100C3F">
        <w:rPr>
          <w:noProof/>
        </w:rPr>
        <w:t>[5]</w:t>
      </w:r>
      <w:r w:rsidR="00100C3F">
        <w:fldChar w:fldCharType="end"/>
      </w:r>
      <w:r w:rsidR="00D90360">
        <w:t>.</w:t>
      </w:r>
    </w:p>
    <w:p w:rsidR="00D90360" w:rsidP="00D90360" w:rsidRDefault="00D90360" w14:paraId="05946D1A" w14:textId="77777777">
      <w:pPr>
        <w:pStyle w:val="Heading2"/>
      </w:pPr>
      <w:bookmarkStart w:name="_Toc1809518131" w:id="31576286"/>
      <w:r w:rsidR="00D90360">
        <w:rPr/>
        <w:t>4.4 Network Security Policy</w:t>
      </w:r>
      <w:bookmarkEnd w:id="31576286"/>
    </w:p>
    <w:p w:rsidR="00D90360" w:rsidP="00D90360" w:rsidRDefault="000123D3" w14:paraId="2F2EC364" w14:textId="2F8DCF0D">
      <w:r w:rsidRPr="000123D3">
        <w:t xml:space="preserve">Network segregation to isolate IT and OT environments is needed in order to protect the production environment. Firewalls, IDS, and IPS should analyze </w:t>
      </w:r>
      <w:r w:rsidRPr="000123D3" w:rsidR="002C1274">
        <w:t>network</w:t>
      </w:r>
      <w:r w:rsidRPr="000123D3">
        <w:t xml:space="preserve"> traffic and detect malicious activities. VPNs will be used to establish a secure connection to access the network remotely, while vulnerability assessments will be conducted on a regular basis in order to determine potential vulnerabilities that could be exploited. Wi-Fi networks supporting the IoT devices should be secured with encryption and authentication methods</w:t>
      </w:r>
      <w:r w:rsidR="00F54B6D">
        <w:fldChar w:fldCharType="begin" w:fldLock="1"/>
      </w:r>
      <w:r w:rsidR="00FB0E66">
        <w:instrText>ADDIN CSL_CITATION {"citationItems":[{"id":"ITEM-1","itemData":{"abstract":"The NIST Cybersecurity Framework (CSF) 2.0 provides guidance to industry, government agencies, and other organizations to manage cybersecurity risks. It offers a taxonomy of high-level cybersecurity outcomes that can be used by any organization — regardless of its size, sector, or maturity — to better understand, assess, prioritize, and communicate its cybersecurity efforts. The CSF does not prescribe how outcomes should be achieved. Rather, it links to online resources that provide additional guidance on practices and controls that could be used to achieve those outcomes. This document describes CSF 2.0, its components, and some of the many ways that it can be used.","author":[{"dropping-particle":"","family":"Moore","given":"Tyler","non-dropping-particle":"","parse-names":false,"suffix":""}],"id":"ITEM-1","issued":{"date-parts":[["2024"]]},"page":"32","title":"The NIST Cybersecurity","type":"article-journal"},"uris":["http://www.mendeley.com/documents/?uuid=40f3477a-0d7f-48fa-b82d-1b7f2679373b"]}],"mendeley":{"formattedCitation":"[1]","plainTextFormattedCitation":"[1]","previouslyFormattedCitation":"[1]"},"properties":{"noteIndex":0},"schema":"https://github.com/citation-style-language/schema/raw/master/csl-citation.json"}</w:instrText>
      </w:r>
      <w:r w:rsidR="00F54B6D">
        <w:fldChar w:fldCharType="separate"/>
      </w:r>
      <w:r w:rsidRPr="00F54B6D" w:rsidR="00F54B6D">
        <w:rPr>
          <w:noProof/>
        </w:rPr>
        <w:t>[1]</w:t>
      </w:r>
      <w:r w:rsidR="00F54B6D">
        <w:fldChar w:fldCharType="end"/>
      </w:r>
      <w:r w:rsidR="00D90360">
        <w:t>.</w:t>
      </w:r>
    </w:p>
    <w:p w:rsidR="00D90360" w:rsidP="00D90360" w:rsidRDefault="00D90360" w14:paraId="236BAA43" w14:textId="77777777">
      <w:pPr>
        <w:pStyle w:val="Heading2"/>
      </w:pPr>
      <w:bookmarkStart w:name="_Toc2138757005" w:id="214020485"/>
      <w:r w:rsidR="00D90360">
        <w:rPr/>
        <w:t>4.5 Incident Response and Business Continuity Policy</w:t>
      </w:r>
      <w:bookmarkEnd w:id="214020485"/>
    </w:p>
    <w:p w:rsidR="00D90360" w:rsidP="00D90360" w:rsidRDefault="00D41840" w14:paraId="77EB5F8A" w14:textId="1A7C4E6B">
      <w:r w:rsidRPr="00D41840">
        <w:t xml:space="preserve">The SFM needs to have an official Incident Response Plan that follows the NIST guidelines for the incident response lifecycle. The plan should detail steps for </w:t>
      </w:r>
      <w:r w:rsidRPr="00D41840" w:rsidR="002C1274">
        <w:t>identifying</w:t>
      </w:r>
      <w:r w:rsidRPr="00D41840">
        <w:t xml:space="preserve"> reporting, containment, eradication, recovery, and post-recovery review of security incidents. All employees need to promptly inform the IT security team of any suspicious activities. Production data must always have backups that are stored safely both on site and off site. The Business Continuity and Disaster Recovery plans need to be regularly tested to make sure that manufacturing can start quickly after a disaster or attack</w:t>
      </w:r>
      <w:r w:rsidR="00D90360">
        <w:t>.</w:t>
      </w:r>
    </w:p>
    <w:p w:rsidR="00D90360" w:rsidP="00D90360" w:rsidRDefault="00D90360" w14:paraId="417F9FFE" w14:textId="77777777">
      <w:pPr>
        <w:pStyle w:val="Heading2"/>
      </w:pPr>
      <w:bookmarkStart w:name="_Toc1764506903" w:id="438449456"/>
      <w:r w:rsidR="00D90360">
        <w:rPr/>
        <w:t>4.6 Third-Party and Supplier Security Policy</w:t>
      </w:r>
      <w:bookmarkEnd w:id="438449456"/>
    </w:p>
    <w:p w:rsidR="00D90360" w:rsidP="00D90360" w:rsidRDefault="00E55AF8" w14:paraId="05AAF22E" w14:textId="0F9169F6">
      <w:r w:rsidRPr="00E55AF8">
        <w:t>As SFM is dependent on vendors, cloud services, and technology providers, third-party security threats must be handled effectively. The vendors must conduct security assessments prior to gaining access to organization systems. Contracts need to have provisions related to cybersecurity measures, confidentiality agreements, and reporting requirements in case of any cyber incidents. Access granted to vendors must be reviewed regularly, and access revoked as soon as business partnerships are over</w:t>
      </w:r>
      <w:r w:rsidR="00D90360">
        <w:t>.</w:t>
      </w:r>
    </w:p>
    <w:p w:rsidR="007C452E" w:rsidP="007C452E" w:rsidRDefault="007C452E" w14:paraId="3AE2D529" w14:textId="77777777">
      <w:pPr>
        <w:keepNext/>
        <w:jc w:val="center"/>
      </w:pPr>
      <w:r>
        <w:rPr>
          <w:noProof/>
        </w:rPr>
        <w:drawing>
          <wp:inline distT="0" distB="0" distL="0" distR="0" wp14:anchorId="5617B3F8" wp14:editId="5EECFE48">
            <wp:extent cx="3484058" cy="3790901"/>
            <wp:effectExtent l="0" t="0" r="2540" b="635"/>
            <wp:docPr id="12372963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88273" cy="3795487"/>
                    </a:xfrm>
                    <a:prstGeom prst="rect">
                      <a:avLst/>
                    </a:prstGeom>
                    <a:noFill/>
                  </pic:spPr>
                </pic:pic>
              </a:graphicData>
            </a:graphic>
          </wp:inline>
        </w:drawing>
      </w:r>
    </w:p>
    <w:p w:rsidRPr="00D90360" w:rsidR="007C452E" w:rsidP="007C452E" w:rsidRDefault="007C452E" w14:paraId="50E4B331" w14:textId="106C1DCB">
      <w:pPr>
        <w:pStyle w:val="Caption"/>
        <w:jc w:val="center"/>
      </w:pPr>
      <w:r>
        <w:t xml:space="preserve">Figure </w:t>
      </w:r>
      <w:r>
        <w:fldChar w:fldCharType="begin"/>
      </w:r>
      <w:r>
        <w:instrText> SEQ Figure \* ARABIC </w:instrText>
      </w:r>
      <w:r>
        <w:fldChar w:fldCharType="separate"/>
      </w:r>
      <w:r w:rsidR="003A07DC">
        <w:rPr>
          <w:noProof/>
        </w:rPr>
        <w:t>2</w:t>
      </w:r>
      <w:r>
        <w:fldChar w:fldCharType="end"/>
      </w:r>
      <w:r w:rsidRPr="008B3076">
        <w:t>. Application of the CIA Triad within SteelForm Manufacturing Ltd.</w:t>
      </w:r>
    </w:p>
    <w:p w:rsidR="00C64C87" w:rsidP="00DD78E6" w:rsidRDefault="00C64C87" w14:paraId="2EF0BAA6" w14:textId="20B25CBD">
      <w:pPr>
        <w:pStyle w:val="Heading1"/>
      </w:pPr>
      <w:bookmarkStart w:name="_Toc900256634" w:id="869713566"/>
      <w:r w:rsidR="00C64C87">
        <w:rPr/>
        <w:t>5. Mitigation Measures</w:t>
      </w:r>
      <w:bookmarkEnd w:id="869713566"/>
    </w:p>
    <w:p w:rsidR="007C452E" w:rsidP="007C452E" w:rsidRDefault="00D94E55" w14:paraId="67864607" w14:textId="556856B1">
      <w:r w:rsidRPr="00D94E55">
        <w:t xml:space="preserve">To mitigate the cybersecurity threats outlined above, SFM should put in place technical, administrative and physical controls. Implementing what is called Defense in Depth, a security strategy that entails use of </w:t>
      </w:r>
      <w:proofErr w:type="gramStart"/>
      <w:r w:rsidRPr="00D94E55">
        <w:t>many security</w:t>
      </w:r>
      <w:proofErr w:type="gramEnd"/>
      <w:r w:rsidRPr="00D94E55">
        <w:t xml:space="preserve"> controls in order to prevent system compromise even if one control fails, will provide protection for </w:t>
      </w:r>
      <w:r w:rsidRPr="00D94E55" w:rsidR="002C1274">
        <w:t>critical</w:t>
      </w:r>
      <w:r w:rsidRPr="00D94E55">
        <w:t xml:space="preserve"> assets. SFM should ensure that Multi-Factor Authentication (MFA) is implemented for all accounts, especially for administrators or anyone </w:t>
      </w:r>
      <w:r w:rsidRPr="00D94E55">
        <w:t xml:space="preserve">who has access remotely to cloud-based production systems. MFA decreases the risk of compromising the account through theft of credentials. OT systems, which include industrial control systems and IoT devices, should be isolated from the IT network since network segmentation will reduce the spread of malware and limit the impact of cyberattacks on critical systems. Updating the operating systems and software and patching them should address known vulnerabilities. EDR should be used to detect any suspicious activities on workstations and servers to prevent major security incidents. In addition, sensitive engineering designs, customer records and production data should be encrypted when stored or transmitted based on the latest encryption standards. Conducting regular vulnerability assessments and penetration testing will help in identifying vulnerabilities before they are exploited. All these measures, combined with proper backup strategy, will increase SFM's resilience to ransomware attacks, </w:t>
      </w:r>
      <w:r w:rsidRPr="00D94E55" w:rsidR="002C1274">
        <w:t>insiders’</w:t>
      </w:r>
      <w:r w:rsidRPr="00D94E55">
        <w:t xml:space="preserve"> threats and phishing</w:t>
      </w:r>
      <w:r w:rsidR="007C452E">
        <w:t>.</w:t>
      </w:r>
    </w:p>
    <w:p w:rsidR="00567FA4" w:rsidP="00567FA4" w:rsidRDefault="00567FA4" w14:paraId="130E5BF5" w14:textId="77777777">
      <w:pPr>
        <w:keepNext/>
        <w:jc w:val="center"/>
      </w:pPr>
      <w:r>
        <w:rPr>
          <w:noProof/>
        </w:rPr>
        <w:drawing>
          <wp:inline distT="0" distB="0" distL="0" distR="0" wp14:anchorId="7CEE89F0" wp14:editId="70D33FC6">
            <wp:extent cx="3881188" cy="6360140"/>
            <wp:effectExtent l="0" t="0" r="5080" b="3175"/>
            <wp:docPr id="19315056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894737" cy="6382343"/>
                    </a:xfrm>
                    <a:prstGeom prst="rect">
                      <a:avLst/>
                    </a:prstGeom>
                    <a:noFill/>
                  </pic:spPr>
                </pic:pic>
              </a:graphicData>
            </a:graphic>
          </wp:inline>
        </w:drawing>
      </w:r>
    </w:p>
    <w:p w:rsidR="00567FA4" w:rsidP="00567FA4" w:rsidRDefault="00567FA4" w14:paraId="39B07BDB" w14:textId="1609760B">
      <w:pPr>
        <w:pStyle w:val="Caption"/>
        <w:jc w:val="center"/>
      </w:pPr>
      <w:r>
        <w:t xml:space="preserve">Figure </w:t>
      </w:r>
      <w:r>
        <w:fldChar w:fldCharType="begin"/>
      </w:r>
      <w:r>
        <w:instrText> SEQ Figure \* ARABIC </w:instrText>
      </w:r>
      <w:r>
        <w:fldChar w:fldCharType="separate"/>
      </w:r>
      <w:r w:rsidR="003A07DC">
        <w:rPr>
          <w:noProof/>
        </w:rPr>
        <w:t>3</w:t>
      </w:r>
      <w:r>
        <w:fldChar w:fldCharType="end"/>
      </w:r>
      <w:r w:rsidRPr="007225ED">
        <w:t xml:space="preserve">. Defence-in-Depth Security Architecture for </w:t>
      </w:r>
      <w:proofErr w:type="spellStart"/>
      <w:r w:rsidRPr="007225ED">
        <w:t>SteelForm</w:t>
      </w:r>
      <w:proofErr w:type="spellEnd"/>
      <w:r w:rsidRPr="007225ED">
        <w:t xml:space="preserve"> Manufacturing Ltd.</w:t>
      </w:r>
    </w:p>
    <w:p w:rsidR="007A5A38" w:rsidP="007A5A38" w:rsidRDefault="007A5A38" w14:paraId="76D09099" w14:textId="77777777"/>
    <w:p w:rsidRPr="007A5A38" w:rsidR="007A5A38" w:rsidP="007A5A38" w:rsidRDefault="007A5A38" w14:paraId="7D21603F" w14:textId="77777777"/>
    <w:p w:rsidR="00C64C87" w:rsidP="00DD78E6" w:rsidRDefault="00C64C87" w14:paraId="64353EBB" w14:textId="4DD768EA">
      <w:pPr>
        <w:pStyle w:val="Heading1"/>
      </w:pPr>
      <w:bookmarkStart w:name="_Toc956566042" w:id="879180244"/>
      <w:r w:rsidR="00C64C87">
        <w:rPr/>
        <w:t>6. Monitoring &amp; Incident Response</w:t>
      </w:r>
      <w:bookmarkEnd w:id="879180244"/>
    </w:p>
    <w:p w:rsidR="00725EFB" w:rsidP="00725EFB" w:rsidRDefault="00F05BA0" w14:paraId="66DA53F7" w14:textId="3A92E9D5">
      <w:r w:rsidRPr="00F05BA0">
        <w:t>Real-time monitoring is critical for identifying cyber threats before they interfere with the manufacturing process. SFM should create a centralized SOC or assign an IT security team that monitors activities and analyzes security warnings. Security Information and Event Management software should gather and analyze logs from servers, firewalls, cloud computing services, IoT devices, and production machinery to detect any cyber threats in real-time. In case of a cybersecurity threat, SFM should use a specific procedure of incident response, which should be based on the NIST incident response framework. First, it should be identified and confirmed using automated alerts and manual analysis. Then, infected computers should be isolated from others to stop the spread of the attack. Security specialists should find the source of the threat, delete any malware and restore the infected computer from trusted backups. Finally, the organization should conduct a post-incident analysis to draw conclusions about how the incident could be prevented. Exercises and simulations of incident response and disaster recovery will also be helpful in raising awareness among employees about their role in responding to cybersecurity threats</w:t>
      </w:r>
      <w:r w:rsidR="00725EFB">
        <w:t>.</w:t>
      </w:r>
    </w:p>
    <w:p w:rsidR="00725EFB" w:rsidP="00725EFB" w:rsidRDefault="00725EFB" w14:paraId="421AF928" w14:textId="77777777">
      <w:pPr>
        <w:keepNext/>
        <w:jc w:val="center"/>
      </w:pPr>
      <w:r>
        <w:rPr>
          <w:noProof/>
        </w:rPr>
        <w:drawing>
          <wp:inline distT="0" distB="0" distL="0" distR="0" wp14:anchorId="5D011DDB" wp14:editId="204E0700">
            <wp:extent cx="4320588" cy="4894580"/>
            <wp:effectExtent l="0" t="0" r="3810" b="1270"/>
            <wp:docPr id="12380509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34627" cy="4910484"/>
                    </a:xfrm>
                    <a:prstGeom prst="rect">
                      <a:avLst/>
                    </a:prstGeom>
                    <a:noFill/>
                  </pic:spPr>
                </pic:pic>
              </a:graphicData>
            </a:graphic>
          </wp:inline>
        </w:drawing>
      </w:r>
    </w:p>
    <w:p w:rsidRPr="00725EFB" w:rsidR="00725EFB" w:rsidP="00725EFB" w:rsidRDefault="00725EFB" w14:paraId="17D0A735" w14:textId="3EE3A38B">
      <w:pPr>
        <w:pStyle w:val="Caption"/>
        <w:jc w:val="center"/>
      </w:pPr>
      <w:r>
        <w:t xml:space="preserve">Figure </w:t>
      </w:r>
      <w:r>
        <w:fldChar w:fldCharType="begin"/>
      </w:r>
      <w:r>
        <w:instrText> SEQ Figure \* ARABIC </w:instrText>
      </w:r>
      <w:r>
        <w:fldChar w:fldCharType="separate"/>
      </w:r>
      <w:r w:rsidR="003A07DC">
        <w:rPr>
          <w:noProof/>
        </w:rPr>
        <w:t>4</w:t>
      </w:r>
      <w:r>
        <w:fldChar w:fldCharType="end"/>
      </w:r>
      <w:r w:rsidRPr="009E2C33">
        <w:t>. Incident Response Lifecycle Based on the NIST Framework.</w:t>
      </w:r>
    </w:p>
    <w:p w:rsidR="00C64C87" w:rsidP="00DD78E6" w:rsidRDefault="00C64C87" w14:paraId="69B47043" w14:textId="3E9C2C36">
      <w:pPr>
        <w:pStyle w:val="Heading1"/>
      </w:pPr>
      <w:bookmarkStart w:name="_Toc1698113751" w:id="383915328"/>
      <w:r w:rsidR="00C64C87">
        <w:rPr/>
        <w:t>7. Employee Training &amp; Awareness Program</w:t>
      </w:r>
      <w:bookmarkEnd w:id="383915328"/>
    </w:p>
    <w:p w:rsidR="00725EFB" w:rsidP="00725EFB" w:rsidRDefault="004B575E" w14:paraId="078129CB" w14:textId="28755BFE">
      <w:r w:rsidRPr="004B575E">
        <w:t xml:space="preserve">The sole reliance on technology will not prevent the company from the threat posed by cybercriminals. The employees must be involved in enhancing the security of SFM. It is important to introduce continuous education programs which would teach all the employees about the current cyber threats, security policy of the organization, and what each of them should do in order to prevent the leakage of confidential information. The new workers need to undergo a training session that will </w:t>
      </w:r>
      <w:r w:rsidRPr="004B575E" w:rsidR="002C1274">
        <w:t>explain to</w:t>
      </w:r>
      <w:r w:rsidRPr="004B575E">
        <w:t xml:space="preserve"> them how to manage passwords, to avoid phishing attacks, to behave safely on the Internet, to handle sensitive information correctly, and how to report about any incident to the company. The existing employees need to undergo </w:t>
      </w:r>
      <w:r w:rsidRPr="004B575E" w:rsidR="002C1274">
        <w:t>refresher</w:t>
      </w:r>
      <w:r w:rsidRPr="004B575E">
        <w:t xml:space="preserve"> training regularly. In order to assess the level of preparedness of the employees, the simulated phishing campaigns and </w:t>
      </w:r>
      <w:r w:rsidRPr="004B575E">
        <w:t xml:space="preserve">cyber-attacks should be conducted. The results should be evaluated and if some department requires additional education, SFM will get to know about that. Special training </w:t>
      </w:r>
      <w:proofErr w:type="gramStart"/>
      <w:r w:rsidRPr="004B575E">
        <w:t>is needed</w:t>
      </w:r>
      <w:proofErr w:type="gramEnd"/>
      <w:r w:rsidRPr="004B575E">
        <w:t xml:space="preserve"> to be organized for the IT administrators, production engineers, and senior management, because they are dealing with very sensitive systems and information. The success of the training program should be measured with indicators, such as the results of phishing simulations, the completion rates of the training, the security assessments, and the number of security incidents reported</w:t>
      </w:r>
      <w:r w:rsidR="00725EFB">
        <w:t>.</w:t>
      </w:r>
    </w:p>
    <w:p w:rsidR="003A07DC" w:rsidP="003A07DC" w:rsidRDefault="003A07DC" w14:paraId="45657043" w14:textId="77777777">
      <w:pPr>
        <w:keepNext/>
        <w:jc w:val="center"/>
      </w:pPr>
      <w:r>
        <w:rPr>
          <w:noProof/>
        </w:rPr>
        <w:drawing>
          <wp:inline distT="0" distB="0" distL="0" distR="0" wp14:anchorId="26134A79" wp14:editId="39D8CEC0">
            <wp:extent cx="4343400" cy="4343400"/>
            <wp:effectExtent l="0" t="0" r="0" b="0"/>
            <wp:docPr id="6546892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43400" cy="4343400"/>
                    </a:xfrm>
                    <a:prstGeom prst="rect">
                      <a:avLst/>
                    </a:prstGeom>
                    <a:noFill/>
                  </pic:spPr>
                </pic:pic>
              </a:graphicData>
            </a:graphic>
          </wp:inline>
        </w:drawing>
      </w:r>
    </w:p>
    <w:p w:rsidRPr="00725EFB" w:rsidR="003A07DC" w:rsidP="003A07DC" w:rsidRDefault="003A07DC" w14:paraId="1EB3E75B" w14:textId="0D98EB30">
      <w:pPr>
        <w:pStyle w:val="Caption"/>
        <w:jc w:val="center"/>
      </w:pPr>
      <w:r>
        <w:t xml:space="preserve">Figure </w:t>
      </w:r>
      <w:r>
        <w:fldChar w:fldCharType="begin"/>
      </w:r>
      <w:r>
        <w:instrText> SEQ Figure \* ARABIC </w:instrText>
      </w:r>
      <w:r>
        <w:fldChar w:fldCharType="separate"/>
      </w:r>
      <w:r>
        <w:rPr>
          <w:noProof/>
        </w:rPr>
        <w:t>5</w:t>
      </w:r>
      <w:r>
        <w:fldChar w:fldCharType="end"/>
      </w:r>
      <w:r w:rsidRPr="007049B4">
        <w:t>. Continuous Employee Security Awareness Cycle.</w:t>
      </w:r>
    </w:p>
    <w:p w:rsidR="00C64C87" w:rsidP="00DD78E6" w:rsidRDefault="00C64C87" w14:paraId="15FE4D52" w14:textId="4A439C7F">
      <w:pPr>
        <w:pStyle w:val="Heading1"/>
      </w:pPr>
      <w:bookmarkStart w:name="_Toc1028672255" w:id="21208831"/>
      <w:r w:rsidR="00C64C87">
        <w:rPr/>
        <w:t>8. Conclusion</w:t>
      </w:r>
      <w:bookmarkEnd w:id="21208831"/>
    </w:p>
    <w:p w:rsidR="0088686F" w:rsidRDefault="0088686F" w14:paraId="61484B6C" w14:textId="21F4576A">
      <w:r w:rsidR="0088686F">
        <w:rPr/>
        <w:t xml:space="preserve">The incorporation of Industry 4.0 technology solutions has led to greater efficiency in operations at </w:t>
      </w:r>
      <w:r w:rsidR="0088686F">
        <w:rPr/>
        <w:t>SteelForm</w:t>
      </w:r>
      <w:r w:rsidR="0088686F">
        <w:rPr/>
        <w:t xml:space="preserve"> Manufacturing Ltd., but it has also made the company more susceptible to cyber security threats. As </w:t>
      </w:r>
      <w:r w:rsidR="0088686F">
        <w:rPr/>
        <w:t>identified</w:t>
      </w:r>
      <w:r w:rsidR="0088686F">
        <w:rPr/>
        <w:t xml:space="preserve"> in this report, some of the major internal and external cyber security risks that have been </w:t>
      </w:r>
      <w:r w:rsidR="0088686F">
        <w:rPr/>
        <w:t>identified</w:t>
      </w:r>
      <w:r w:rsidR="0088686F">
        <w:rPr/>
        <w:t xml:space="preserve"> include insider threats, phishing, ransomware, malware, industrial </w:t>
      </w:r>
      <w:r w:rsidR="0088686F">
        <w:rPr/>
        <w:t xml:space="preserve">espionage, and security concerns with respect to IoT and supply chain systems. </w:t>
      </w:r>
      <w:r w:rsidR="0088686F">
        <w:rPr/>
        <w:t>In order to</w:t>
      </w:r>
      <w:r w:rsidR="0088686F">
        <w:rPr/>
        <w:t xml:space="preserve"> mitigate these risks, the report recommended a cyber security and data governance model grounded in globally accepted standards such as ISO/IEC 27001, NIST Cyber Security Framework, and the CIA Triad. The security policy recommendations, technical control measures, continuous monitoring approach, incident response plan, and employee training program recommended </w:t>
      </w:r>
      <w:r w:rsidR="0088686F">
        <w:rPr/>
        <w:t>herein</w:t>
      </w:r>
      <w:r w:rsidR="0088686F">
        <w:rPr/>
        <w:t xml:space="preserve"> offer a practical approach to enhancing cyber security at SFM</w:t>
      </w:r>
      <w:r w:rsidR="003A07DC">
        <w:rPr/>
        <w:t>.</w:t>
      </w:r>
    </w:p>
    <w:p w:rsidR="0681A498" w:rsidP="38E46FC7" w:rsidRDefault="0681A498" w14:paraId="1E6AB0CC" w14:textId="69A8D3DD">
      <w:pPr>
        <w:pStyle w:val="Heading1"/>
      </w:pPr>
      <w:bookmarkStart w:name="_Toc1184816586" w:id="1294460708"/>
      <w:r w:rsidR="0681A498">
        <w:rPr/>
        <w:t xml:space="preserve">9. </w:t>
      </w:r>
      <w:r w:rsidR="0472740E">
        <w:rPr/>
        <w:t xml:space="preserve">Presentation </w:t>
      </w:r>
      <w:r w:rsidR="5A2694B3">
        <w:rPr/>
        <w:t>Slides</w:t>
      </w:r>
      <w:bookmarkEnd w:id="1294460708"/>
    </w:p>
    <w:p w:rsidR="005321F7" w:rsidP="38E46FC7" w:rsidRDefault="00695C5E" w14:paraId="0A651F24" w14:textId="7590B51E">
      <w:pPr>
        <w:pStyle w:val="Normal"/>
        <w:suppressLineNumbers w:val="0"/>
        <w:bidi w:val="0"/>
        <w:spacing w:before="0" w:beforeAutospacing="off" w:after="160" w:afterAutospacing="off" w:line="360" w:lineRule="auto"/>
        <w:ind w:left="0" w:right="0"/>
        <w:jc w:val="center"/>
      </w:pPr>
      <w:bookmarkStart w:name="_Toc236247133" w:id="18"/>
      <w:r w:rsidR="00695C5E">
        <w:drawing>
          <wp:inline wp14:editId="1054F446" wp14:anchorId="6162D6D5">
            <wp:extent cx="5943600" cy="3354070"/>
            <wp:effectExtent l="0" t="0" r="0" b="0"/>
            <wp:docPr id="2136060887"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060887" name=""/>
                    <pic:cNvPicPr/>
                  </pic:nvPicPr>
                  <pic:blipFill>
                    <a:blip xmlns:r="http://schemas.openxmlformats.org/officeDocument/2006/relationships" r:embed="rId13"/>
                    <a:stretch>
                      <a:fillRect/>
                    </a:stretch>
                  </pic:blipFill>
                  <pic:spPr>
                    <a:xfrm>
                      <a:off x="0" y="0"/>
                      <a:ext cx="5943600" cy="3354070"/>
                    </a:xfrm>
                    <a:prstGeom prst="rect">
                      <a:avLst/>
                    </a:prstGeom>
                  </pic:spPr>
                </pic:pic>
              </a:graphicData>
            </a:graphic>
          </wp:inline>
        </w:drawing>
      </w:r>
    </w:p>
    <w:p w:rsidR="005321F7" w:rsidP="005321F7" w:rsidRDefault="00695C5E" w14:paraId="65F0FC97" w14:textId="4FA57274"/>
    <w:p w:rsidR="00A8007A" w:rsidP="005321F7" w:rsidRDefault="00D35C16" w14:paraId="7E09BEC4" w14:textId="68CEF099">
      <w:r w:rsidR="00D35C16">
        <w:drawing>
          <wp:inline wp14:editId="64E758FB" wp14:anchorId="7D599EBB">
            <wp:extent cx="5943600" cy="3326765"/>
            <wp:effectExtent l="0" t="0" r="0" b="6985"/>
            <wp:docPr id="182251019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510192" name=""/>
                    <pic:cNvPicPr/>
                  </pic:nvPicPr>
                  <pic:blipFill>
                    <a:blip xmlns:r="http://schemas.openxmlformats.org/officeDocument/2006/relationships" r:embed="rId14"/>
                    <a:stretch>
                      <a:fillRect/>
                    </a:stretch>
                  </pic:blipFill>
                  <pic:spPr>
                    <a:xfrm>
                      <a:off x="0" y="0"/>
                      <a:ext cx="5943600" cy="3326765"/>
                    </a:xfrm>
                    <a:prstGeom prst="rect">
                      <a:avLst/>
                    </a:prstGeom>
                  </pic:spPr>
                </pic:pic>
              </a:graphicData>
            </a:graphic>
          </wp:inline>
        </w:drawing>
      </w:r>
    </w:p>
    <w:p w:rsidR="38E46FC7" w:rsidP="38E46FC7" w:rsidRDefault="38E46FC7" w14:paraId="20102C2E" w14:textId="6DED6AD6">
      <w:pPr>
        <w:pStyle w:val="Caption"/>
        <w:suppressLineNumbers w:val="0"/>
        <w:bidi w:val="0"/>
        <w:spacing w:before="0" w:beforeAutospacing="off" w:after="200" w:afterAutospacing="off" w:line="240" w:lineRule="auto"/>
        <w:ind w:left="0" w:right="0"/>
        <w:jc w:val="center"/>
      </w:pPr>
    </w:p>
    <w:p w:rsidR="38E46FC7" w:rsidP="38E46FC7" w:rsidRDefault="38E46FC7" w14:paraId="44F5D76F" w14:textId="44A5CEDC">
      <w:pPr>
        <w:pStyle w:val="Normal"/>
      </w:pPr>
    </w:p>
    <w:p w:rsidR="005321F7" w:rsidP="005321F7" w:rsidRDefault="002F7A64" w14:paraId="35401721" w14:textId="17CF8320">
      <w:r w:rsidRPr="002F7A64">
        <w:rPr>
          <w:noProof/>
        </w:rPr>
        <w:drawing>
          <wp:inline distT="0" distB="0" distL="0" distR="0" wp14:anchorId="0EE62C95" wp14:editId="181BEB03">
            <wp:extent cx="5943600" cy="3326765"/>
            <wp:effectExtent l="0" t="0" r="0" b="6985"/>
            <wp:docPr id="1377332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32203" name=""/>
                    <pic:cNvPicPr/>
                  </pic:nvPicPr>
                  <pic:blipFill>
                    <a:blip r:embed="rId15"/>
                    <a:stretch>
                      <a:fillRect/>
                    </a:stretch>
                  </pic:blipFill>
                  <pic:spPr>
                    <a:xfrm>
                      <a:off x="0" y="0"/>
                      <a:ext cx="5943600" cy="3326765"/>
                    </a:xfrm>
                    <a:prstGeom prst="rect">
                      <a:avLst/>
                    </a:prstGeom>
                  </pic:spPr>
                </pic:pic>
              </a:graphicData>
            </a:graphic>
          </wp:inline>
        </w:drawing>
      </w:r>
    </w:p>
    <w:p w:rsidR="002F7A64" w:rsidP="005321F7" w:rsidRDefault="00606F65" w14:paraId="4100A878" w14:textId="34DDAADC">
      <w:r w:rsidRPr="00606F65">
        <w:rPr>
          <w:noProof/>
        </w:rPr>
        <w:drawing>
          <wp:inline distT="0" distB="0" distL="0" distR="0" wp14:anchorId="36F08EAB" wp14:editId="1CF82EE5">
            <wp:extent cx="5943600" cy="3340100"/>
            <wp:effectExtent l="0" t="0" r="0" b="0"/>
            <wp:docPr id="30802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02423" name=""/>
                    <pic:cNvPicPr/>
                  </pic:nvPicPr>
                  <pic:blipFill>
                    <a:blip r:embed="rId16"/>
                    <a:stretch>
                      <a:fillRect/>
                    </a:stretch>
                  </pic:blipFill>
                  <pic:spPr>
                    <a:xfrm>
                      <a:off x="0" y="0"/>
                      <a:ext cx="5943600" cy="3340100"/>
                    </a:xfrm>
                    <a:prstGeom prst="rect">
                      <a:avLst/>
                    </a:prstGeom>
                  </pic:spPr>
                </pic:pic>
              </a:graphicData>
            </a:graphic>
          </wp:inline>
        </w:drawing>
      </w:r>
    </w:p>
    <w:p w:rsidR="00606F65" w:rsidP="005321F7" w:rsidRDefault="00BE7FD2" w14:paraId="459B8AA2" w14:textId="75B8CCA2">
      <w:r w:rsidRPr="00BE7FD2">
        <w:rPr>
          <w:noProof/>
        </w:rPr>
        <w:drawing>
          <wp:inline distT="0" distB="0" distL="0" distR="0" wp14:anchorId="4D8F5591" wp14:editId="7816BD2C">
            <wp:extent cx="5943600" cy="3326765"/>
            <wp:effectExtent l="0" t="0" r="0" b="6985"/>
            <wp:docPr id="1741141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41262" name=""/>
                    <pic:cNvPicPr/>
                  </pic:nvPicPr>
                  <pic:blipFill>
                    <a:blip r:embed="rId17"/>
                    <a:stretch>
                      <a:fillRect/>
                    </a:stretch>
                  </pic:blipFill>
                  <pic:spPr>
                    <a:xfrm>
                      <a:off x="0" y="0"/>
                      <a:ext cx="5943600" cy="3326765"/>
                    </a:xfrm>
                    <a:prstGeom prst="rect">
                      <a:avLst/>
                    </a:prstGeom>
                  </pic:spPr>
                </pic:pic>
              </a:graphicData>
            </a:graphic>
          </wp:inline>
        </w:drawing>
      </w:r>
    </w:p>
    <w:p w:rsidR="0021700E" w:rsidP="005321F7" w:rsidRDefault="00F9556F" w14:paraId="5D085241" w14:textId="40A42B0B">
      <w:r w:rsidRPr="00F9556F">
        <w:rPr>
          <w:noProof/>
        </w:rPr>
        <w:drawing>
          <wp:inline distT="0" distB="0" distL="0" distR="0" wp14:anchorId="7514244D" wp14:editId="7B8B0D7E">
            <wp:extent cx="5943600" cy="3347720"/>
            <wp:effectExtent l="0" t="0" r="0" b="5080"/>
            <wp:docPr id="644960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960906" name=""/>
                    <pic:cNvPicPr/>
                  </pic:nvPicPr>
                  <pic:blipFill>
                    <a:blip r:embed="rId18"/>
                    <a:stretch>
                      <a:fillRect/>
                    </a:stretch>
                  </pic:blipFill>
                  <pic:spPr>
                    <a:xfrm>
                      <a:off x="0" y="0"/>
                      <a:ext cx="5943600" cy="3347720"/>
                    </a:xfrm>
                    <a:prstGeom prst="rect">
                      <a:avLst/>
                    </a:prstGeom>
                  </pic:spPr>
                </pic:pic>
              </a:graphicData>
            </a:graphic>
          </wp:inline>
        </w:drawing>
      </w:r>
    </w:p>
    <w:p w:rsidR="00F9556F" w:rsidP="005321F7" w:rsidRDefault="00A41264" w14:paraId="0AF95155" w14:textId="36EF9D93">
      <w:r w:rsidRPr="00A41264">
        <w:rPr>
          <w:noProof/>
        </w:rPr>
        <w:drawing>
          <wp:inline distT="0" distB="0" distL="0" distR="0" wp14:anchorId="217CE227" wp14:editId="03061E83">
            <wp:extent cx="5943600" cy="3336290"/>
            <wp:effectExtent l="0" t="0" r="0" b="0"/>
            <wp:docPr id="46756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565003" name=""/>
                    <pic:cNvPicPr/>
                  </pic:nvPicPr>
                  <pic:blipFill>
                    <a:blip r:embed="rId19"/>
                    <a:stretch>
                      <a:fillRect/>
                    </a:stretch>
                  </pic:blipFill>
                  <pic:spPr>
                    <a:xfrm>
                      <a:off x="0" y="0"/>
                      <a:ext cx="5943600" cy="3336290"/>
                    </a:xfrm>
                    <a:prstGeom prst="rect">
                      <a:avLst/>
                    </a:prstGeom>
                  </pic:spPr>
                </pic:pic>
              </a:graphicData>
            </a:graphic>
          </wp:inline>
        </w:drawing>
      </w:r>
    </w:p>
    <w:p w:rsidR="00A41264" w:rsidP="005321F7" w:rsidRDefault="00361E37" w14:paraId="07DB92CD" w14:textId="4F1668B2">
      <w:r w:rsidRPr="00361E37">
        <w:rPr>
          <w:noProof/>
        </w:rPr>
        <w:drawing>
          <wp:inline distT="0" distB="0" distL="0" distR="0" wp14:anchorId="29BB5C7B" wp14:editId="6547B0CC">
            <wp:extent cx="5943600" cy="3351530"/>
            <wp:effectExtent l="0" t="0" r="0" b="1270"/>
            <wp:docPr id="889689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89830" name=""/>
                    <pic:cNvPicPr/>
                  </pic:nvPicPr>
                  <pic:blipFill>
                    <a:blip r:embed="rId20"/>
                    <a:stretch>
                      <a:fillRect/>
                    </a:stretch>
                  </pic:blipFill>
                  <pic:spPr>
                    <a:xfrm>
                      <a:off x="0" y="0"/>
                      <a:ext cx="5943600" cy="3351530"/>
                    </a:xfrm>
                    <a:prstGeom prst="rect">
                      <a:avLst/>
                    </a:prstGeom>
                  </pic:spPr>
                </pic:pic>
              </a:graphicData>
            </a:graphic>
          </wp:inline>
        </w:drawing>
      </w:r>
    </w:p>
    <w:p w:rsidR="00021FC8" w:rsidP="005321F7" w:rsidRDefault="00546D09" w14:paraId="05CE1907" w14:textId="445CCFFD">
      <w:r w:rsidRPr="00546D09">
        <w:rPr>
          <w:noProof/>
        </w:rPr>
        <w:drawing>
          <wp:inline distT="0" distB="0" distL="0" distR="0" wp14:anchorId="37A3EFDB" wp14:editId="3B1C595D">
            <wp:extent cx="5943600" cy="3336290"/>
            <wp:effectExtent l="0" t="0" r="0" b="0"/>
            <wp:docPr id="553069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069192" name=""/>
                    <pic:cNvPicPr/>
                  </pic:nvPicPr>
                  <pic:blipFill>
                    <a:blip r:embed="rId21"/>
                    <a:stretch>
                      <a:fillRect/>
                    </a:stretch>
                  </pic:blipFill>
                  <pic:spPr>
                    <a:xfrm>
                      <a:off x="0" y="0"/>
                      <a:ext cx="5943600" cy="3336290"/>
                    </a:xfrm>
                    <a:prstGeom prst="rect">
                      <a:avLst/>
                    </a:prstGeom>
                  </pic:spPr>
                </pic:pic>
              </a:graphicData>
            </a:graphic>
          </wp:inline>
        </w:drawing>
      </w:r>
    </w:p>
    <w:p w:rsidR="00A8007A" w:rsidP="008D1E32" w:rsidRDefault="008D1E32" w14:paraId="2B8DC823" w14:textId="0BD9CB64">
      <w:r w:rsidRPr="008D1E32">
        <w:rPr>
          <w:noProof/>
        </w:rPr>
        <w:drawing>
          <wp:inline distT="0" distB="0" distL="0" distR="0" wp14:anchorId="558EB707" wp14:editId="1628F8A9">
            <wp:extent cx="5943600" cy="3347720"/>
            <wp:effectExtent l="0" t="0" r="0" b="5080"/>
            <wp:docPr id="1982859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59699" name=""/>
                    <pic:cNvPicPr/>
                  </pic:nvPicPr>
                  <pic:blipFill>
                    <a:blip r:embed="rId22"/>
                    <a:stretch>
                      <a:fillRect/>
                    </a:stretch>
                  </pic:blipFill>
                  <pic:spPr>
                    <a:xfrm>
                      <a:off x="0" y="0"/>
                      <a:ext cx="5943600" cy="3347720"/>
                    </a:xfrm>
                    <a:prstGeom prst="rect">
                      <a:avLst/>
                    </a:prstGeom>
                  </pic:spPr>
                </pic:pic>
              </a:graphicData>
            </a:graphic>
          </wp:inline>
        </w:drawing>
      </w:r>
    </w:p>
    <w:p w:rsidR="003A07DC" w:rsidP="003A07DC" w:rsidRDefault="003A07DC" w14:paraId="3F4A8CD7" w14:textId="52CA077A">
      <w:pPr>
        <w:pStyle w:val="Heading1"/>
      </w:pPr>
      <w:bookmarkStart w:name="_Toc732625877" w:id="411205689"/>
      <w:r w:rsidR="003A07DC">
        <w:rPr/>
        <w:t>References</w:t>
      </w:r>
      <w:bookmarkEnd w:id="18"/>
      <w:bookmarkEnd w:id="411205689"/>
    </w:p>
    <w:p w:rsidRPr="00FB0E66" w:rsidR="00FB0E66" w:rsidP="00FB0E66" w:rsidRDefault="00FB0E66" w14:paraId="4FA2C9C1" w14:textId="13FED510">
      <w:pPr>
        <w:widowControl w:val="0"/>
        <w:autoSpaceDE w:val="0"/>
        <w:autoSpaceDN w:val="0"/>
        <w:adjustRightInd w:val="0"/>
        <w:ind w:left="640" w:hanging="640"/>
        <w:rPr>
          <w:rFonts w:cs="Times New Roman"/>
          <w:noProof/>
          <w:kern w:val="0"/>
        </w:rPr>
      </w:pPr>
      <w:r>
        <w:fldChar w:fldCharType="begin" w:fldLock="1"/>
      </w:r>
      <w:r>
        <w:instrText xml:space="preserve">ADDIN Mendeley Bibliography CSL_BIBLIOGRAPHY </w:instrText>
      </w:r>
      <w:r>
        <w:fldChar w:fldCharType="separate"/>
      </w:r>
      <w:r w:rsidRPr="00FB0E66">
        <w:rPr>
          <w:rFonts w:cs="Times New Roman"/>
          <w:noProof/>
          <w:kern w:val="0"/>
        </w:rPr>
        <w:t>[1]</w:t>
      </w:r>
      <w:r w:rsidRPr="00FB0E66">
        <w:rPr>
          <w:rFonts w:cs="Times New Roman"/>
          <w:noProof/>
          <w:kern w:val="0"/>
        </w:rPr>
        <w:tab/>
      </w:r>
      <w:r w:rsidRPr="00FB0E66">
        <w:rPr>
          <w:rFonts w:cs="Times New Roman"/>
          <w:noProof/>
          <w:kern w:val="0"/>
        </w:rPr>
        <w:t>T. Moore, “The NIST Cybersecurity,” p. 32, 2024, [Online]. Available: https://nvlpubs.nist.gov/nistpubs/CSWP/NIST.CSWP.29.pdf</w:t>
      </w:r>
    </w:p>
    <w:p w:rsidRPr="00FB0E66" w:rsidR="00FB0E66" w:rsidP="00FB0E66" w:rsidRDefault="00FB0E66" w14:paraId="3322E374" w14:textId="77777777">
      <w:pPr>
        <w:widowControl w:val="0"/>
        <w:autoSpaceDE w:val="0"/>
        <w:autoSpaceDN w:val="0"/>
        <w:adjustRightInd w:val="0"/>
        <w:ind w:left="640" w:hanging="640"/>
        <w:rPr>
          <w:rFonts w:cs="Times New Roman"/>
          <w:noProof/>
          <w:kern w:val="0"/>
        </w:rPr>
      </w:pPr>
      <w:r w:rsidRPr="00FB0E66">
        <w:rPr>
          <w:rFonts w:cs="Times New Roman"/>
          <w:noProof/>
          <w:kern w:val="0"/>
        </w:rPr>
        <w:t>[2]</w:t>
      </w:r>
      <w:r w:rsidRPr="00FB0E66">
        <w:rPr>
          <w:rFonts w:cs="Times New Roman"/>
          <w:noProof/>
          <w:kern w:val="0"/>
        </w:rPr>
        <w:tab/>
      </w:r>
      <w:r w:rsidRPr="00FB0E66">
        <w:rPr>
          <w:rFonts w:cs="Times New Roman"/>
          <w:noProof/>
          <w:kern w:val="0"/>
        </w:rPr>
        <w:t>International Organization for Standardization, “Information Security, Cybersecurity and Privacy Protection --- Information Security Management Systems --- Requirements,” 2022.</w:t>
      </w:r>
    </w:p>
    <w:p w:rsidRPr="00FB0E66" w:rsidR="00FB0E66" w:rsidP="00FB0E66" w:rsidRDefault="00FB0E66" w14:paraId="5C7CBA06" w14:textId="77777777">
      <w:pPr>
        <w:widowControl w:val="0"/>
        <w:autoSpaceDE w:val="0"/>
        <w:autoSpaceDN w:val="0"/>
        <w:adjustRightInd w:val="0"/>
        <w:ind w:left="640" w:hanging="640"/>
        <w:rPr>
          <w:rFonts w:cs="Times New Roman"/>
          <w:noProof/>
          <w:kern w:val="0"/>
        </w:rPr>
      </w:pPr>
      <w:r w:rsidRPr="00FB0E66">
        <w:rPr>
          <w:rFonts w:cs="Times New Roman"/>
          <w:noProof/>
          <w:kern w:val="0"/>
        </w:rPr>
        <w:t>[3]</w:t>
      </w:r>
      <w:r w:rsidRPr="00FB0E66">
        <w:rPr>
          <w:rFonts w:cs="Times New Roman"/>
          <w:noProof/>
          <w:kern w:val="0"/>
        </w:rPr>
        <w:tab/>
      </w:r>
      <w:r w:rsidRPr="00FB0E66">
        <w:rPr>
          <w:rFonts w:cs="Times New Roman"/>
          <w:noProof/>
          <w:kern w:val="0"/>
        </w:rPr>
        <w:t xml:space="preserve">M. E. Whitman and H. J. Mattord, </w:t>
      </w:r>
      <w:r w:rsidRPr="00FB0E66">
        <w:rPr>
          <w:rFonts w:cs="Times New Roman"/>
          <w:i/>
          <w:iCs/>
          <w:noProof/>
          <w:kern w:val="0"/>
        </w:rPr>
        <w:t>Principles of Information Security</w:t>
      </w:r>
      <w:r w:rsidRPr="00FB0E66">
        <w:rPr>
          <w:rFonts w:cs="Times New Roman"/>
          <w:noProof/>
          <w:kern w:val="0"/>
        </w:rPr>
        <w:t>, 7th ed. Cengage Learning, 2022.</w:t>
      </w:r>
    </w:p>
    <w:p w:rsidRPr="00FB0E66" w:rsidR="00FB0E66" w:rsidP="00FB0E66" w:rsidRDefault="00FB0E66" w14:paraId="37F94CB3" w14:textId="77777777">
      <w:pPr>
        <w:widowControl w:val="0"/>
        <w:autoSpaceDE w:val="0"/>
        <w:autoSpaceDN w:val="0"/>
        <w:adjustRightInd w:val="0"/>
        <w:ind w:left="640" w:hanging="640"/>
        <w:rPr>
          <w:rFonts w:cs="Times New Roman"/>
          <w:noProof/>
          <w:kern w:val="0"/>
        </w:rPr>
      </w:pPr>
      <w:r w:rsidRPr="00FB0E66">
        <w:rPr>
          <w:rFonts w:cs="Times New Roman"/>
          <w:noProof/>
          <w:kern w:val="0"/>
        </w:rPr>
        <w:t>[4]</w:t>
      </w:r>
      <w:r w:rsidRPr="00FB0E66">
        <w:rPr>
          <w:rFonts w:cs="Times New Roman"/>
          <w:noProof/>
          <w:kern w:val="0"/>
        </w:rPr>
        <w:tab/>
      </w:r>
      <w:r w:rsidRPr="00FB0E66">
        <w:rPr>
          <w:rFonts w:cs="Times New Roman"/>
          <w:noProof/>
          <w:kern w:val="0"/>
        </w:rPr>
        <w:t xml:space="preserve">NIST SP800-53, </w:t>
      </w:r>
      <w:r w:rsidRPr="00FB0E66">
        <w:rPr>
          <w:rFonts w:cs="Times New Roman"/>
          <w:i/>
          <w:iCs/>
          <w:noProof/>
          <w:kern w:val="0"/>
        </w:rPr>
        <w:t>Security and Privacy Controls for Information Systems and Organizations</w:t>
      </w:r>
      <w:r w:rsidRPr="00FB0E66">
        <w:rPr>
          <w:rFonts w:cs="Times New Roman"/>
          <w:noProof/>
          <w:kern w:val="0"/>
        </w:rPr>
        <w:t>. 2020.</w:t>
      </w:r>
    </w:p>
    <w:p w:rsidRPr="00FB0E66" w:rsidR="00FB0E66" w:rsidP="00FB0E66" w:rsidRDefault="00FB0E66" w14:paraId="720044AB" w14:textId="77777777">
      <w:pPr>
        <w:widowControl w:val="0"/>
        <w:autoSpaceDE w:val="0"/>
        <w:autoSpaceDN w:val="0"/>
        <w:adjustRightInd w:val="0"/>
        <w:ind w:left="640" w:hanging="640"/>
        <w:rPr>
          <w:rFonts w:cs="Times New Roman"/>
          <w:noProof/>
        </w:rPr>
      </w:pPr>
      <w:r w:rsidRPr="00FB0E66">
        <w:rPr>
          <w:rFonts w:cs="Times New Roman"/>
          <w:noProof/>
          <w:kern w:val="0"/>
        </w:rPr>
        <w:t>[5]</w:t>
      </w:r>
      <w:r w:rsidRPr="00FB0E66">
        <w:rPr>
          <w:rFonts w:cs="Times New Roman"/>
          <w:noProof/>
          <w:kern w:val="0"/>
        </w:rPr>
        <w:tab/>
      </w:r>
      <w:r w:rsidRPr="00FB0E66">
        <w:rPr>
          <w:rFonts w:cs="Times New Roman"/>
          <w:noProof/>
          <w:kern w:val="0"/>
        </w:rPr>
        <w:t>European Union Agency for Cybersecurity (ENISA), “ENISA Threat Landscape 2024,” 2024.</w:t>
      </w:r>
    </w:p>
    <w:p w:rsidRPr="00FB0E66" w:rsidR="00FB0E66" w:rsidP="00FB0E66" w:rsidRDefault="00FB0E66" w14:paraId="4C84F6FE" w14:textId="076A4C54">
      <w:r>
        <w:fldChar w:fldCharType="end"/>
      </w:r>
    </w:p>
    <w:sectPr w:rsidRPr="00FB0E66" w:rsidR="00FB0E6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B56A2" w:rsidP="00D76125" w:rsidRDefault="00DB56A2" w14:paraId="678B9DA2" w14:textId="77777777">
      <w:pPr>
        <w:spacing w:after="0" w:line="240" w:lineRule="auto"/>
      </w:pPr>
      <w:r>
        <w:separator/>
      </w:r>
    </w:p>
  </w:endnote>
  <w:endnote w:type="continuationSeparator" w:id="0">
    <w:p w:rsidR="00DB56A2" w:rsidP="00D76125" w:rsidRDefault="00DB56A2" w14:paraId="018E67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B56A2" w:rsidP="00D76125" w:rsidRDefault="00DB56A2" w14:paraId="3B0C8FEE" w14:textId="77777777">
      <w:pPr>
        <w:spacing w:after="0" w:line="240" w:lineRule="auto"/>
      </w:pPr>
      <w:r>
        <w:separator/>
      </w:r>
    </w:p>
  </w:footnote>
  <w:footnote w:type="continuationSeparator" w:id="0">
    <w:p w:rsidR="00DB56A2" w:rsidP="00D76125" w:rsidRDefault="00DB56A2" w14:paraId="022CFD3F"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C87"/>
    <w:rsid w:val="000123D3"/>
    <w:rsid w:val="0001319A"/>
    <w:rsid w:val="00021FC8"/>
    <w:rsid w:val="00035E2F"/>
    <w:rsid w:val="00083D10"/>
    <w:rsid w:val="0009406D"/>
    <w:rsid w:val="000D3648"/>
    <w:rsid w:val="000E1548"/>
    <w:rsid w:val="00100C3F"/>
    <w:rsid w:val="001F0DB2"/>
    <w:rsid w:val="001F6CFF"/>
    <w:rsid w:val="001F6F3B"/>
    <w:rsid w:val="0021700E"/>
    <w:rsid w:val="002C1274"/>
    <w:rsid w:val="002F7A64"/>
    <w:rsid w:val="00313175"/>
    <w:rsid w:val="003257F3"/>
    <w:rsid w:val="00361E37"/>
    <w:rsid w:val="003A07DC"/>
    <w:rsid w:val="003F0E09"/>
    <w:rsid w:val="00466CE0"/>
    <w:rsid w:val="00486C4B"/>
    <w:rsid w:val="004A3376"/>
    <w:rsid w:val="004A3A26"/>
    <w:rsid w:val="004B575E"/>
    <w:rsid w:val="004C085D"/>
    <w:rsid w:val="004E2D2E"/>
    <w:rsid w:val="005159B9"/>
    <w:rsid w:val="005321F7"/>
    <w:rsid w:val="00546D09"/>
    <w:rsid w:val="0056292A"/>
    <w:rsid w:val="00567FA4"/>
    <w:rsid w:val="005A4E8B"/>
    <w:rsid w:val="005C2369"/>
    <w:rsid w:val="005D5A48"/>
    <w:rsid w:val="00606F65"/>
    <w:rsid w:val="0062590C"/>
    <w:rsid w:val="00646BF2"/>
    <w:rsid w:val="00695C5E"/>
    <w:rsid w:val="006A442B"/>
    <w:rsid w:val="00725EFB"/>
    <w:rsid w:val="007A5A38"/>
    <w:rsid w:val="007C452E"/>
    <w:rsid w:val="008032E2"/>
    <w:rsid w:val="0081139B"/>
    <w:rsid w:val="00815815"/>
    <w:rsid w:val="008808A0"/>
    <w:rsid w:val="0088686F"/>
    <w:rsid w:val="008B11E6"/>
    <w:rsid w:val="008D1E32"/>
    <w:rsid w:val="008F4B88"/>
    <w:rsid w:val="00966387"/>
    <w:rsid w:val="009A7979"/>
    <w:rsid w:val="00A04B8A"/>
    <w:rsid w:val="00A10FFB"/>
    <w:rsid w:val="00A33127"/>
    <w:rsid w:val="00A41264"/>
    <w:rsid w:val="00A46212"/>
    <w:rsid w:val="00A4D852"/>
    <w:rsid w:val="00A8007A"/>
    <w:rsid w:val="00AC209C"/>
    <w:rsid w:val="00AD1A02"/>
    <w:rsid w:val="00B1334F"/>
    <w:rsid w:val="00B419FD"/>
    <w:rsid w:val="00BB6238"/>
    <w:rsid w:val="00BE72EE"/>
    <w:rsid w:val="00BE7FD2"/>
    <w:rsid w:val="00C21D2D"/>
    <w:rsid w:val="00C22922"/>
    <w:rsid w:val="00C35B8A"/>
    <w:rsid w:val="00C42185"/>
    <w:rsid w:val="00C64C87"/>
    <w:rsid w:val="00C71AF2"/>
    <w:rsid w:val="00CC3F7D"/>
    <w:rsid w:val="00D35C16"/>
    <w:rsid w:val="00D369A6"/>
    <w:rsid w:val="00D41840"/>
    <w:rsid w:val="00D76125"/>
    <w:rsid w:val="00D90360"/>
    <w:rsid w:val="00D94E55"/>
    <w:rsid w:val="00DB56A2"/>
    <w:rsid w:val="00DC1BBA"/>
    <w:rsid w:val="00DD78E6"/>
    <w:rsid w:val="00E55AF8"/>
    <w:rsid w:val="00E77D9B"/>
    <w:rsid w:val="00E8455B"/>
    <w:rsid w:val="00ED2A82"/>
    <w:rsid w:val="00F05BA0"/>
    <w:rsid w:val="00F10F7A"/>
    <w:rsid w:val="00F13544"/>
    <w:rsid w:val="00F54B6D"/>
    <w:rsid w:val="00F65DDA"/>
    <w:rsid w:val="00F877A4"/>
    <w:rsid w:val="00F9556F"/>
    <w:rsid w:val="00FB0E66"/>
    <w:rsid w:val="013B47B8"/>
    <w:rsid w:val="0472740E"/>
    <w:rsid w:val="0681A498"/>
    <w:rsid w:val="06F40B77"/>
    <w:rsid w:val="0E13C2A5"/>
    <w:rsid w:val="1260A3AA"/>
    <w:rsid w:val="15BDB694"/>
    <w:rsid w:val="1B325C45"/>
    <w:rsid w:val="1C0119DF"/>
    <w:rsid w:val="1D202D74"/>
    <w:rsid w:val="1EA6EE9B"/>
    <w:rsid w:val="1F299D72"/>
    <w:rsid w:val="27190A99"/>
    <w:rsid w:val="27DC7072"/>
    <w:rsid w:val="295F8B0E"/>
    <w:rsid w:val="38E46FC7"/>
    <w:rsid w:val="4C1E11E0"/>
    <w:rsid w:val="4C60AB43"/>
    <w:rsid w:val="50E217A8"/>
    <w:rsid w:val="51C32E80"/>
    <w:rsid w:val="5A2694B3"/>
    <w:rsid w:val="611C8454"/>
    <w:rsid w:val="6A1EE629"/>
    <w:rsid w:val="6BAF54E2"/>
    <w:rsid w:val="6DAF3C15"/>
    <w:rsid w:val="7183A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BDB5F"/>
  <w15:chartTrackingRefBased/>
  <w15:docId w15:val="{4DFCDB1D-9F14-47EB-94D0-47465ECB38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64C87"/>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64C87"/>
    <w:pPr>
      <w:keepNext/>
      <w:keepLines/>
      <w:spacing w:before="360" w:after="80"/>
      <w:outlineLvl w:val="0"/>
    </w:pPr>
    <w:rPr>
      <w:rFonts w:eastAsiaTheme="majorEastAsia"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C64C87"/>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uiPriority w:val="9"/>
    <w:semiHidden/>
    <w:unhideWhenUsed/>
    <w:qFormat/>
    <w:rsid w:val="00C64C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C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C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C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C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C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C8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64C87"/>
    <w:rPr>
      <w:rFonts w:ascii="Times New Roman" w:hAnsi="Times New Roman" w:eastAsiaTheme="majorEastAsia" w:cstheme="majorBidi"/>
      <w:b/>
      <w:color w:val="0F4761" w:themeColor="accent1" w:themeShade="BF"/>
      <w:sz w:val="40"/>
      <w:szCs w:val="40"/>
    </w:rPr>
  </w:style>
  <w:style w:type="character" w:styleId="Heading2Char" w:customStyle="1">
    <w:name w:val="Heading 2 Char"/>
    <w:basedOn w:val="DefaultParagraphFont"/>
    <w:link w:val="Heading2"/>
    <w:uiPriority w:val="9"/>
    <w:rsid w:val="00C64C87"/>
    <w:rPr>
      <w:rFonts w:ascii="Times New Roman" w:hAnsi="Times New Roman" w:eastAsiaTheme="majorEastAsia" w:cstheme="majorBidi"/>
      <w:b/>
      <w:color w:val="0F4761" w:themeColor="accent1" w:themeShade="BF"/>
      <w:sz w:val="32"/>
      <w:szCs w:val="32"/>
    </w:rPr>
  </w:style>
  <w:style w:type="character" w:styleId="Heading3Char" w:customStyle="1">
    <w:name w:val="Heading 3 Char"/>
    <w:basedOn w:val="DefaultParagraphFont"/>
    <w:link w:val="Heading3"/>
    <w:uiPriority w:val="9"/>
    <w:semiHidden/>
    <w:rsid w:val="00C64C8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64C8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64C8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64C8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64C8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64C8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64C87"/>
    <w:rPr>
      <w:rFonts w:eastAsiaTheme="majorEastAsia" w:cstheme="majorBidi"/>
      <w:color w:val="272727" w:themeColor="text1" w:themeTint="D8"/>
    </w:rPr>
  </w:style>
  <w:style w:type="paragraph" w:styleId="Title">
    <w:name w:val="Title"/>
    <w:basedOn w:val="Normal"/>
    <w:next w:val="Normal"/>
    <w:link w:val="TitleChar"/>
    <w:uiPriority w:val="10"/>
    <w:qFormat/>
    <w:rsid w:val="00C64C8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64C8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64C8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64C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C87"/>
    <w:pPr>
      <w:spacing w:before="160"/>
      <w:jc w:val="center"/>
    </w:pPr>
    <w:rPr>
      <w:i/>
      <w:iCs/>
      <w:color w:val="404040" w:themeColor="text1" w:themeTint="BF"/>
    </w:rPr>
  </w:style>
  <w:style w:type="character" w:styleId="QuoteChar" w:customStyle="1">
    <w:name w:val="Quote Char"/>
    <w:basedOn w:val="DefaultParagraphFont"/>
    <w:link w:val="Quote"/>
    <w:uiPriority w:val="29"/>
    <w:rsid w:val="00C64C87"/>
    <w:rPr>
      <w:i/>
      <w:iCs/>
      <w:color w:val="404040" w:themeColor="text1" w:themeTint="BF"/>
    </w:rPr>
  </w:style>
  <w:style w:type="paragraph" w:styleId="ListParagraph">
    <w:name w:val="List Paragraph"/>
    <w:basedOn w:val="Normal"/>
    <w:uiPriority w:val="34"/>
    <w:qFormat/>
    <w:rsid w:val="00C64C87"/>
    <w:pPr>
      <w:ind w:left="720"/>
      <w:contextualSpacing/>
    </w:pPr>
  </w:style>
  <w:style w:type="character" w:styleId="IntenseEmphasis">
    <w:name w:val="Intense Emphasis"/>
    <w:basedOn w:val="DefaultParagraphFont"/>
    <w:uiPriority w:val="21"/>
    <w:qFormat/>
    <w:rsid w:val="00C64C87"/>
    <w:rPr>
      <w:i/>
      <w:iCs/>
      <w:color w:val="0F4761" w:themeColor="accent1" w:themeShade="BF"/>
    </w:rPr>
  </w:style>
  <w:style w:type="paragraph" w:styleId="IntenseQuote">
    <w:name w:val="Intense Quote"/>
    <w:basedOn w:val="Normal"/>
    <w:next w:val="Normal"/>
    <w:link w:val="IntenseQuoteChar"/>
    <w:uiPriority w:val="30"/>
    <w:qFormat/>
    <w:rsid w:val="00C64C8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64C87"/>
    <w:rPr>
      <w:i/>
      <w:iCs/>
      <w:color w:val="0F4761" w:themeColor="accent1" w:themeShade="BF"/>
    </w:rPr>
  </w:style>
  <w:style w:type="character" w:styleId="IntenseReference">
    <w:name w:val="Intense Reference"/>
    <w:basedOn w:val="DefaultParagraphFont"/>
    <w:uiPriority w:val="32"/>
    <w:qFormat/>
    <w:rsid w:val="00C64C87"/>
    <w:rPr>
      <w:b/>
      <w:bCs/>
      <w:smallCaps/>
      <w:color w:val="0F4761" w:themeColor="accent1" w:themeShade="BF"/>
      <w:spacing w:val="5"/>
    </w:rPr>
  </w:style>
  <w:style w:type="paragraph" w:styleId="TOCHeading">
    <w:name w:val="TOC Heading"/>
    <w:basedOn w:val="Heading1"/>
    <w:next w:val="Normal"/>
    <w:uiPriority w:val="39"/>
    <w:unhideWhenUsed/>
    <w:qFormat/>
    <w:rsid w:val="00A04B8A"/>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A04B8A"/>
    <w:pPr>
      <w:spacing w:after="100"/>
    </w:pPr>
  </w:style>
  <w:style w:type="character" w:styleId="Hyperlink">
    <w:name w:val="Hyperlink"/>
    <w:basedOn w:val="DefaultParagraphFont"/>
    <w:uiPriority w:val="99"/>
    <w:unhideWhenUsed/>
    <w:rsid w:val="00A04B8A"/>
    <w:rPr>
      <w:color w:val="467886" w:themeColor="hyperlink"/>
      <w:u w:val="single"/>
    </w:rPr>
  </w:style>
  <w:style w:type="paragraph" w:styleId="Caption">
    <w:name w:val="caption"/>
    <w:basedOn w:val="Normal"/>
    <w:next w:val="Normal"/>
    <w:uiPriority w:val="35"/>
    <w:unhideWhenUsed/>
    <w:qFormat/>
    <w:rsid w:val="004E2D2E"/>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3A07DC"/>
    <w:pPr>
      <w:spacing w:after="100"/>
      <w:ind w:left="240"/>
    </w:pPr>
  </w:style>
  <w:style w:type="table" w:styleId="TableGrid">
    <w:name w:val="Table Grid"/>
    <w:basedOn w:val="TableNormal"/>
    <w:uiPriority w:val="39"/>
    <w:rsid w:val="00F10F7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link w:val="NoSpacingChar"/>
    <w:uiPriority w:val="1"/>
    <w:qFormat/>
    <w:rsid w:val="004C085D"/>
    <w:pPr>
      <w:spacing w:after="0" w:line="240" w:lineRule="auto"/>
    </w:pPr>
    <w:rPr>
      <w:rFonts w:eastAsiaTheme="minorEastAsia"/>
      <w:kern w:val="0"/>
      <w:sz w:val="22"/>
      <w:szCs w:val="22"/>
      <w14:ligatures w14:val="none"/>
    </w:rPr>
  </w:style>
  <w:style w:type="character" w:styleId="NoSpacingChar" w:customStyle="1">
    <w:name w:val="No Spacing Char"/>
    <w:basedOn w:val="DefaultParagraphFont"/>
    <w:link w:val="NoSpacing"/>
    <w:uiPriority w:val="1"/>
    <w:rsid w:val="004C085D"/>
    <w:rPr>
      <w:rFonts w:eastAsiaTheme="minorEastAsia"/>
      <w:kern w:val="0"/>
      <w:sz w:val="22"/>
      <w:szCs w:val="22"/>
      <w14:ligatures w14:val="none"/>
    </w:rPr>
  </w:style>
  <w:style w:type="paragraph" w:styleId="Header">
    <w:name w:val="header"/>
    <w:basedOn w:val="Normal"/>
    <w:link w:val="HeaderChar"/>
    <w:uiPriority w:val="99"/>
    <w:unhideWhenUsed/>
    <w:rsid w:val="00D76125"/>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6125"/>
    <w:rPr>
      <w:rFonts w:ascii="Times New Roman" w:hAnsi="Times New Roman"/>
    </w:rPr>
  </w:style>
  <w:style w:type="paragraph" w:styleId="Footer">
    <w:name w:val="footer"/>
    <w:basedOn w:val="Normal"/>
    <w:link w:val="FooterChar"/>
    <w:uiPriority w:val="99"/>
    <w:unhideWhenUsed/>
    <w:rsid w:val="00D76125"/>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6125"/>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settings" Target="settings.xml" Id="rId3" /><Relationship Type="http://schemas.openxmlformats.org/officeDocument/2006/relationships/image" Target="media/image15.png" Id="rId21"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fontTable" Target="fontTable.xml" Id="rId23"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FFA42-7D08-407E-9187-C0DECBCF329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Malik Zaeem Zulfiqar</dc:creator>
  <keywords/>
  <dc:description/>
  <lastModifiedBy>Archana Gurudas Salgaocar (2514522)</lastModifiedBy>
  <revision>81</revision>
  <dcterms:created xsi:type="dcterms:W3CDTF">2026-07-29T12:50:00.0000000Z</dcterms:created>
  <dcterms:modified xsi:type="dcterms:W3CDTF">2026-08-12T13:07:57.6932021Z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929663f4-16f3-311c-ac0f-8d687fa5c166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AMA Manual of Style 11th edition</vt:lpwstr>
  </property>
  <property fmtid="{D5CDD505-2E9C-101B-9397-08002B2CF9AE}" pid="7" name="Mendeley Recent Style Id 1_1">
    <vt:lpwstr>http://www.zotero.org/styles/apa</vt:lpwstr>
  </property>
  <property fmtid="{D5CDD505-2E9C-101B-9397-08002B2CF9AE}" pid="8" name="Mendeley Recent Style Name 1_1">
    <vt:lpwstr>APA Style 7th edition</vt:lpwstr>
  </property>
  <property fmtid="{D5CDD505-2E9C-101B-9397-08002B2CF9AE}" pid="9" name="Mendeley Recent Style Id 2_1">
    <vt:lpwstr>http://www.zotero.org/styles/american-political-science-association</vt:lpwstr>
  </property>
  <property fmtid="{D5CDD505-2E9C-101B-9397-08002B2CF9AE}" pid="10" name="Mendeley Recent Style Name 2_1">
    <vt:lpwstr>APSA Style Manual revised 2018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ASA Style Guide 6th/7th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18th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12th edition (author-date/Harvard)</vt:lpwstr>
  </property>
  <property fmtid="{D5CDD505-2E9C-101B-9397-08002B2CF9AE}" pid="17" name="Mendeley Recent Style Id 6_1">
    <vt:lpwstr>http://www.zotero.org/styles/ieee</vt:lpwstr>
  </property>
  <property fmtid="{D5CDD505-2E9C-101B-9397-08002B2CF9AE}" pid="18" name="Mendeley Recent Style Name 6_1">
    <vt:lpwstr>IEEE Reference Guide version 11.29.2023</vt:lpwstr>
  </property>
  <property fmtid="{D5CDD505-2E9C-101B-9397-08002B2CF9AE}" pid="19" name="Mendeley Recent Style Id 7_1">
    <vt:lpwstr>http://www.zotero.org/styles/modern-language-association</vt:lpwstr>
  </property>
  <property fmtid="{D5CDD505-2E9C-101B-9397-08002B2CF9AE}" pid="20" name="Mendeley Recent Style Name 7_1">
    <vt:lpwstr>MLA Handbook 9th edition (in-text citations)</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GrammarlyDocumentId">
    <vt:lpwstr>52d4aedf-6c9c-4410-9540-d0adc2da1738</vt:lpwstr>
  </property>
</Properties>
</file>