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F9F93" w14:textId="2D0BA2B9" w:rsidR="00180DBD" w:rsidRDefault="00180DBD">
      <w:pPr>
        <w:rPr>
          <w:rFonts w:ascii="Arial" w:hAnsi="Arial" w:cs="Arial"/>
          <w:sz w:val="22"/>
          <w:szCs w:val="22"/>
        </w:rPr>
      </w:pPr>
      <w:r>
        <w:rPr>
          <w:rFonts w:ascii="Arial" w:hAnsi="Arial" w:cs="Arial"/>
          <w:sz w:val="22"/>
          <w:szCs w:val="22"/>
        </w:rPr>
        <w:t>Name, Nageen Kha</w:t>
      </w:r>
      <w:r w:rsidR="004B394A">
        <w:rPr>
          <w:rFonts w:ascii="Arial" w:hAnsi="Arial" w:cs="Arial"/>
          <w:sz w:val="22"/>
          <w:szCs w:val="22"/>
        </w:rPr>
        <w:t xml:space="preserve">n. </w:t>
      </w:r>
    </w:p>
    <w:p w14:paraId="7CBE3D81" w14:textId="08DC26E6" w:rsidR="00180DBD" w:rsidRDefault="00180DBD">
      <w:pPr>
        <w:rPr>
          <w:rFonts w:ascii="Arial" w:hAnsi="Arial" w:cs="Arial"/>
          <w:sz w:val="22"/>
          <w:szCs w:val="22"/>
        </w:rPr>
      </w:pPr>
      <w:r>
        <w:rPr>
          <w:rFonts w:ascii="Arial" w:hAnsi="Arial" w:cs="Arial"/>
          <w:sz w:val="22"/>
          <w:szCs w:val="22"/>
        </w:rPr>
        <w:t>Student Number, 2424667</w:t>
      </w:r>
    </w:p>
    <w:p w14:paraId="35EFE246" w14:textId="07CE3EE6" w:rsidR="00753216" w:rsidRDefault="00A62E4A">
      <w:pPr>
        <w:rPr>
          <w:rFonts w:ascii="Arial" w:hAnsi="Arial" w:cs="Arial"/>
          <w:sz w:val="22"/>
          <w:szCs w:val="22"/>
        </w:rPr>
      </w:pPr>
      <w:r>
        <w:rPr>
          <w:rFonts w:ascii="Arial" w:hAnsi="Arial" w:cs="Arial"/>
          <w:sz w:val="22"/>
          <w:szCs w:val="22"/>
        </w:rPr>
        <w:t xml:space="preserve">Programme. BSc Health and Social Care. </w:t>
      </w:r>
    </w:p>
    <w:p w14:paraId="4043C95D" w14:textId="6B6300F8" w:rsidR="00A62E4A" w:rsidRDefault="00A62E4A">
      <w:pPr>
        <w:rPr>
          <w:rFonts w:ascii="Arial" w:hAnsi="Arial" w:cs="Arial"/>
          <w:sz w:val="22"/>
          <w:szCs w:val="22"/>
        </w:rPr>
      </w:pPr>
      <w:r>
        <w:rPr>
          <w:rFonts w:ascii="Arial" w:hAnsi="Arial" w:cs="Arial"/>
          <w:sz w:val="22"/>
          <w:szCs w:val="22"/>
        </w:rPr>
        <w:t xml:space="preserve">Module. Changemakers; Creativity and Value Creation. </w:t>
      </w:r>
    </w:p>
    <w:p w14:paraId="53A215E0" w14:textId="63A60C83" w:rsidR="00A62E4A" w:rsidRDefault="00A62E4A">
      <w:pPr>
        <w:rPr>
          <w:rFonts w:ascii="Arial" w:hAnsi="Arial" w:cs="Arial"/>
          <w:sz w:val="22"/>
          <w:szCs w:val="22"/>
        </w:rPr>
      </w:pPr>
      <w:r>
        <w:rPr>
          <w:rFonts w:ascii="Arial" w:hAnsi="Arial" w:cs="Arial"/>
          <w:sz w:val="22"/>
          <w:szCs w:val="22"/>
        </w:rPr>
        <w:t>Module code; BMHP5014</w:t>
      </w:r>
    </w:p>
    <w:p w14:paraId="13D14152" w14:textId="7A414867" w:rsidR="00A62E4A" w:rsidRDefault="00A62E4A">
      <w:pPr>
        <w:rPr>
          <w:rFonts w:ascii="Arial" w:hAnsi="Arial" w:cs="Arial"/>
          <w:sz w:val="22"/>
          <w:szCs w:val="22"/>
        </w:rPr>
      </w:pPr>
      <w:r>
        <w:rPr>
          <w:rFonts w:ascii="Arial" w:hAnsi="Arial" w:cs="Arial"/>
          <w:sz w:val="22"/>
          <w:szCs w:val="22"/>
        </w:rPr>
        <w:t xml:space="preserve">Lecturer. Tomy </w:t>
      </w:r>
      <w:proofErr w:type="spellStart"/>
      <w:r>
        <w:rPr>
          <w:rFonts w:ascii="Arial" w:hAnsi="Arial" w:cs="Arial"/>
          <w:sz w:val="22"/>
          <w:szCs w:val="22"/>
        </w:rPr>
        <w:t>Adattu</w:t>
      </w:r>
      <w:proofErr w:type="spellEnd"/>
      <w:r>
        <w:rPr>
          <w:rFonts w:ascii="Arial" w:hAnsi="Arial" w:cs="Arial"/>
          <w:sz w:val="22"/>
          <w:szCs w:val="22"/>
        </w:rPr>
        <w:t xml:space="preserve"> Chacko. </w:t>
      </w:r>
    </w:p>
    <w:p w14:paraId="16258C06" w14:textId="03B66D5B" w:rsidR="00A62E4A" w:rsidRDefault="00A62E4A">
      <w:pPr>
        <w:rPr>
          <w:rFonts w:ascii="Arial" w:hAnsi="Arial" w:cs="Arial"/>
          <w:sz w:val="22"/>
          <w:szCs w:val="22"/>
        </w:rPr>
      </w:pPr>
      <w:r>
        <w:rPr>
          <w:rFonts w:ascii="Arial" w:hAnsi="Arial" w:cs="Arial"/>
          <w:sz w:val="22"/>
          <w:szCs w:val="22"/>
        </w:rPr>
        <w:t xml:space="preserve">Internal Verifier; Dr Eleni Koutsogeorgou-Andreou. </w:t>
      </w:r>
    </w:p>
    <w:p w14:paraId="45E0C6D3" w14:textId="7A702EF1" w:rsidR="00A62E4A" w:rsidRDefault="00A62E4A">
      <w:pPr>
        <w:rPr>
          <w:rFonts w:ascii="Arial" w:hAnsi="Arial" w:cs="Arial"/>
          <w:sz w:val="22"/>
          <w:szCs w:val="22"/>
        </w:rPr>
      </w:pPr>
      <w:r>
        <w:rPr>
          <w:rFonts w:ascii="Arial" w:hAnsi="Arial" w:cs="Arial"/>
          <w:sz w:val="22"/>
          <w:szCs w:val="22"/>
        </w:rPr>
        <w:t xml:space="preserve">Assignment Title; Component 1; Online Portfolio of Set Exercises. </w:t>
      </w:r>
    </w:p>
    <w:p w14:paraId="3926BF99" w14:textId="77777777" w:rsidR="00555B82" w:rsidRDefault="00555B82">
      <w:pPr>
        <w:rPr>
          <w:rFonts w:ascii="Arial" w:hAnsi="Arial" w:cs="Arial"/>
          <w:sz w:val="22"/>
          <w:szCs w:val="22"/>
        </w:rPr>
      </w:pPr>
    </w:p>
    <w:p w14:paraId="3FED5BBD" w14:textId="77777777" w:rsidR="00555B82" w:rsidRDefault="00555B82">
      <w:pPr>
        <w:rPr>
          <w:rFonts w:ascii="Arial" w:hAnsi="Arial" w:cs="Arial"/>
          <w:sz w:val="22"/>
          <w:szCs w:val="22"/>
        </w:rPr>
      </w:pPr>
    </w:p>
    <w:p w14:paraId="65EF48C7" w14:textId="77777777" w:rsidR="00555B82" w:rsidRDefault="00555B82">
      <w:pPr>
        <w:rPr>
          <w:rFonts w:ascii="Arial" w:hAnsi="Arial" w:cs="Arial"/>
          <w:sz w:val="22"/>
          <w:szCs w:val="22"/>
        </w:rPr>
      </w:pPr>
    </w:p>
    <w:p w14:paraId="399D5CF4" w14:textId="77777777" w:rsidR="00555B82" w:rsidRDefault="00555B82">
      <w:pPr>
        <w:rPr>
          <w:rFonts w:ascii="Arial" w:hAnsi="Arial" w:cs="Arial"/>
          <w:sz w:val="22"/>
          <w:szCs w:val="22"/>
        </w:rPr>
      </w:pPr>
    </w:p>
    <w:p w14:paraId="518637FB" w14:textId="0DC3A61E" w:rsidR="00A62E4A" w:rsidRDefault="00A62E4A">
      <w:pPr>
        <w:rPr>
          <w:rFonts w:ascii="Arial" w:hAnsi="Arial" w:cs="Arial"/>
          <w:sz w:val="22"/>
          <w:szCs w:val="22"/>
        </w:rPr>
      </w:pPr>
      <w:r>
        <w:rPr>
          <w:rFonts w:ascii="Arial" w:hAnsi="Arial" w:cs="Arial"/>
          <w:sz w:val="22"/>
          <w:szCs w:val="22"/>
        </w:rPr>
        <w:t xml:space="preserve">Table of Contents. </w:t>
      </w:r>
    </w:p>
    <w:p w14:paraId="1A337A8E" w14:textId="31E649DF" w:rsidR="00A62E4A" w:rsidRDefault="00A62E4A">
      <w:pPr>
        <w:rPr>
          <w:rFonts w:ascii="Arial" w:hAnsi="Arial" w:cs="Arial"/>
          <w:sz w:val="22"/>
          <w:szCs w:val="22"/>
        </w:rPr>
      </w:pPr>
      <w:r>
        <w:rPr>
          <w:rFonts w:ascii="Arial" w:hAnsi="Arial" w:cs="Arial"/>
          <w:sz w:val="22"/>
          <w:szCs w:val="22"/>
        </w:rPr>
        <w:t xml:space="preserve">Task 1. Concept map. </w:t>
      </w:r>
    </w:p>
    <w:p w14:paraId="7E110CAC" w14:textId="55E5496B" w:rsidR="00A62E4A" w:rsidRDefault="00A62E4A">
      <w:pPr>
        <w:rPr>
          <w:rFonts w:ascii="Arial" w:hAnsi="Arial" w:cs="Arial"/>
          <w:sz w:val="22"/>
          <w:szCs w:val="22"/>
        </w:rPr>
      </w:pPr>
      <w:r>
        <w:rPr>
          <w:rFonts w:ascii="Arial" w:hAnsi="Arial" w:cs="Arial"/>
          <w:sz w:val="22"/>
          <w:szCs w:val="22"/>
        </w:rPr>
        <w:t xml:space="preserve">Task 2. </w:t>
      </w:r>
      <w:proofErr w:type="spellStart"/>
      <w:r>
        <w:rPr>
          <w:rFonts w:ascii="Arial" w:hAnsi="Arial" w:cs="Arial"/>
          <w:sz w:val="22"/>
          <w:szCs w:val="22"/>
        </w:rPr>
        <w:t xml:space="preserve">Self </w:t>
      </w:r>
      <w:r w:rsidR="007C1EA2">
        <w:rPr>
          <w:rFonts w:ascii="Arial" w:hAnsi="Arial" w:cs="Arial"/>
          <w:sz w:val="22"/>
          <w:szCs w:val="22"/>
        </w:rPr>
        <w:t>reflection</w:t>
      </w:r>
      <w:proofErr w:type="spellEnd"/>
      <w:r w:rsidR="007C1EA2">
        <w:rPr>
          <w:rFonts w:ascii="Arial" w:hAnsi="Arial" w:cs="Arial"/>
          <w:sz w:val="22"/>
          <w:szCs w:val="22"/>
        </w:rPr>
        <w:t xml:space="preserve"> group activity. </w:t>
      </w:r>
    </w:p>
    <w:p w14:paraId="746202EF" w14:textId="76BE27FF" w:rsidR="007C1EA2" w:rsidRDefault="007C1EA2">
      <w:pPr>
        <w:rPr>
          <w:rFonts w:ascii="Arial" w:hAnsi="Arial" w:cs="Arial"/>
          <w:sz w:val="22"/>
          <w:szCs w:val="22"/>
        </w:rPr>
      </w:pPr>
      <w:r>
        <w:rPr>
          <w:rFonts w:ascii="Arial" w:hAnsi="Arial" w:cs="Arial"/>
          <w:sz w:val="22"/>
          <w:szCs w:val="22"/>
        </w:rPr>
        <w:t xml:space="preserve">Task 3. Case study. </w:t>
      </w:r>
    </w:p>
    <w:p w14:paraId="4E8FBF18" w14:textId="1278BF1D" w:rsidR="007C1EA2" w:rsidRDefault="007C1EA2">
      <w:pPr>
        <w:rPr>
          <w:rFonts w:ascii="Arial" w:hAnsi="Arial" w:cs="Arial"/>
          <w:sz w:val="22"/>
          <w:szCs w:val="22"/>
        </w:rPr>
      </w:pPr>
      <w:r>
        <w:rPr>
          <w:rFonts w:ascii="Arial" w:hAnsi="Arial" w:cs="Arial"/>
          <w:sz w:val="22"/>
          <w:szCs w:val="22"/>
        </w:rPr>
        <w:t xml:space="preserve">Task 4. Research task. </w:t>
      </w:r>
    </w:p>
    <w:p w14:paraId="206A05A9" w14:textId="5B512E01" w:rsidR="007C1EA2" w:rsidRDefault="007C1EA2">
      <w:pPr>
        <w:rPr>
          <w:rFonts w:ascii="Arial" w:hAnsi="Arial" w:cs="Arial"/>
          <w:sz w:val="22"/>
          <w:szCs w:val="22"/>
        </w:rPr>
      </w:pPr>
      <w:r>
        <w:rPr>
          <w:rFonts w:ascii="Arial" w:hAnsi="Arial" w:cs="Arial"/>
          <w:sz w:val="22"/>
          <w:szCs w:val="22"/>
        </w:rPr>
        <w:t xml:space="preserve">Task 5. Record a podcast. </w:t>
      </w:r>
    </w:p>
    <w:p w14:paraId="549CCB3A" w14:textId="60E93923" w:rsidR="007C1EA2" w:rsidRDefault="007C1EA2">
      <w:pPr>
        <w:rPr>
          <w:rFonts w:ascii="Arial" w:hAnsi="Arial" w:cs="Arial"/>
          <w:sz w:val="22"/>
          <w:szCs w:val="22"/>
        </w:rPr>
      </w:pPr>
      <w:r>
        <w:rPr>
          <w:rFonts w:ascii="Arial" w:hAnsi="Arial" w:cs="Arial"/>
          <w:sz w:val="22"/>
          <w:szCs w:val="22"/>
        </w:rPr>
        <w:t xml:space="preserve">Task 6. NHS Leadership Framework Analysis. </w:t>
      </w:r>
    </w:p>
    <w:p w14:paraId="6FF7A1F0" w14:textId="5ABC6C9F" w:rsidR="007C1EA2" w:rsidRDefault="007C1EA2">
      <w:pPr>
        <w:rPr>
          <w:rFonts w:ascii="Arial" w:hAnsi="Arial" w:cs="Arial"/>
          <w:sz w:val="22"/>
          <w:szCs w:val="22"/>
        </w:rPr>
      </w:pPr>
      <w:r>
        <w:rPr>
          <w:rFonts w:ascii="Arial" w:hAnsi="Arial" w:cs="Arial"/>
          <w:sz w:val="22"/>
          <w:szCs w:val="22"/>
        </w:rPr>
        <w:t xml:space="preserve">Task 7. </w:t>
      </w:r>
      <w:proofErr w:type="spellStart"/>
      <w:r>
        <w:rPr>
          <w:rFonts w:ascii="Arial" w:hAnsi="Arial" w:cs="Arial"/>
          <w:sz w:val="22"/>
          <w:szCs w:val="22"/>
        </w:rPr>
        <w:t>Self reflection</w:t>
      </w:r>
      <w:proofErr w:type="spellEnd"/>
      <w:r>
        <w:rPr>
          <w:rFonts w:ascii="Arial" w:hAnsi="Arial" w:cs="Arial"/>
          <w:sz w:val="22"/>
          <w:szCs w:val="22"/>
        </w:rPr>
        <w:t xml:space="preserve"> journey entry. </w:t>
      </w:r>
    </w:p>
    <w:p w14:paraId="5A3E432C" w14:textId="29AFCDA8" w:rsidR="007C1EA2" w:rsidRDefault="007C1EA2">
      <w:pPr>
        <w:rPr>
          <w:rFonts w:ascii="Arial" w:hAnsi="Arial" w:cs="Arial"/>
          <w:sz w:val="22"/>
          <w:szCs w:val="22"/>
        </w:rPr>
      </w:pPr>
      <w:r>
        <w:rPr>
          <w:rFonts w:ascii="Arial" w:hAnsi="Arial" w:cs="Arial"/>
          <w:sz w:val="22"/>
          <w:szCs w:val="22"/>
        </w:rPr>
        <w:t xml:space="preserve">References. </w:t>
      </w:r>
      <w:r w:rsidR="006D7B33">
        <w:rPr>
          <w:rFonts w:ascii="Arial" w:hAnsi="Arial" w:cs="Arial"/>
          <w:sz w:val="22"/>
          <w:szCs w:val="22"/>
        </w:rPr>
        <w:t xml:space="preserve"> </w:t>
      </w:r>
    </w:p>
    <w:p w14:paraId="3CBCE24D" w14:textId="77777777" w:rsidR="007C1EA2" w:rsidRDefault="007C1EA2">
      <w:pPr>
        <w:rPr>
          <w:rFonts w:ascii="Arial" w:hAnsi="Arial" w:cs="Arial"/>
          <w:sz w:val="22"/>
          <w:szCs w:val="22"/>
        </w:rPr>
      </w:pPr>
    </w:p>
    <w:p w14:paraId="50046736" w14:textId="77777777" w:rsidR="007C1EA2" w:rsidRDefault="007C1EA2">
      <w:pPr>
        <w:rPr>
          <w:rFonts w:ascii="Arial" w:hAnsi="Arial" w:cs="Arial"/>
          <w:sz w:val="22"/>
          <w:szCs w:val="22"/>
        </w:rPr>
      </w:pPr>
    </w:p>
    <w:p w14:paraId="0BB2AC5D" w14:textId="77777777" w:rsidR="00A62E4A" w:rsidRDefault="00A62E4A">
      <w:pPr>
        <w:rPr>
          <w:rFonts w:ascii="Arial" w:hAnsi="Arial" w:cs="Arial"/>
          <w:sz w:val="22"/>
          <w:szCs w:val="22"/>
        </w:rPr>
      </w:pPr>
    </w:p>
    <w:p w14:paraId="56886480" w14:textId="77777777" w:rsidR="00A62E4A" w:rsidRDefault="00A62E4A">
      <w:pPr>
        <w:rPr>
          <w:rFonts w:ascii="Arial" w:hAnsi="Arial" w:cs="Arial"/>
          <w:sz w:val="22"/>
          <w:szCs w:val="22"/>
        </w:rPr>
      </w:pPr>
    </w:p>
    <w:p w14:paraId="75A66979" w14:textId="77777777" w:rsidR="00A62E4A" w:rsidRDefault="00A62E4A">
      <w:pPr>
        <w:rPr>
          <w:rFonts w:ascii="Arial" w:hAnsi="Arial" w:cs="Arial"/>
          <w:sz w:val="22"/>
          <w:szCs w:val="22"/>
        </w:rPr>
      </w:pPr>
    </w:p>
    <w:p w14:paraId="258AADDB" w14:textId="77777777" w:rsidR="00A62E4A" w:rsidRDefault="00A62E4A">
      <w:pPr>
        <w:rPr>
          <w:rFonts w:ascii="Arial" w:hAnsi="Arial" w:cs="Arial"/>
          <w:sz w:val="22"/>
          <w:szCs w:val="22"/>
        </w:rPr>
      </w:pPr>
    </w:p>
    <w:p w14:paraId="2B8E4FA1" w14:textId="77777777" w:rsidR="003845E6" w:rsidRDefault="003845E6" w:rsidP="00E72F69">
      <w:pPr>
        <w:rPr>
          <w:rFonts w:ascii="Arial" w:hAnsi="Arial" w:cs="Arial"/>
          <w:sz w:val="22"/>
          <w:szCs w:val="22"/>
        </w:rPr>
      </w:pPr>
    </w:p>
    <w:p w14:paraId="10E958C7" w14:textId="347F5515" w:rsidR="00E72F69" w:rsidRPr="00E72F69" w:rsidRDefault="00E72F69" w:rsidP="00E72F69">
      <w:pPr>
        <w:rPr>
          <w:rFonts w:ascii="Arial" w:hAnsi="Arial" w:cs="Arial"/>
          <w:sz w:val="22"/>
          <w:szCs w:val="22"/>
        </w:rPr>
      </w:pPr>
    </w:p>
    <w:p w14:paraId="0E65EFF7" w14:textId="271C30C7" w:rsidR="002E469F" w:rsidRPr="00E72F69" w:rsidRDefault="003845E6" w:rsidP="00E72F69">
      <w:pPr>
        <w:rPr>
          <w:rFonts w:ascii="Arial" w:hAnsi="Arial" w:cs="Arial"/>
          <w:sz w:val="22"/>
          <w:szCs w:val="22"/>
        </w:rPr>
      </w:pPr>
      <w:r>
        <w:rPr>
          <w:rFonts w:ascii="Arial" w:hAnsi="Arial" w:cs="Arial"/>
          <w:noProof/>
          <w:sz w:val="22"/>
          <w:szCs w:val="22"/>
        </w:rPr>
        <w:lastRenderedPageBreak/>
        <w:drawing>
          <wp:inline distT="0" distB="0" distL="0" distR="0" wp14:anchorId="390787AD" wp14:editId="591D52AE">
            <wp:extent cx="5168900" cy="8825230"/>
            <wp:effectExtent l="0" t="0" r="0" b="0"/>
            <wp:docPr id="1097585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85155" name="Picture 1097585155"/>
                    <pic:cNvPicPr/>
                  </pic:nvPicPr>
                  <pic:blipFill>
                    <a:blip r:embed="rId11">
                      <a:extLst>
                        <a:ext uri="{28A0092B-C50C-407E-A947-70E740481C1C}">
                          <a14:useLocalDpi xmlns:a14="http://schemas.microsoft.com/office/drawing/2010/main" val="0"/>
                        </a:ext>
                      </a:extLst>
                    </a:blip>
                    <a:stretch>
                      <a:fillRect/>
                    </a:stretch>
                  </pic:blipFill>
                  <pic:spPr>
                    <a:xfrm>
                      <a:off x="0" y="0"/>
                      <a:ext cx="5168900" cy="8825230"/>
                    </a:xfrm>
                    <a:prstGeom prst="rect">
                      <a:avLst/>
                    </a:prstGeom>
                  </pic:spPr>
                </pic:pic>
              </a:graphicData>
            </a:graphic>
          </wp:inline>
        </w:drawing>
      </w:r>
    </w:p>
    <w:p w14:paraId="3688EFEA" w14:textId="77777777" w:rsidR="00322919" w:rsidRDefault="002E469F" w:rsidP="00E72F69">
      <w:pPr>
        <w:rPr>
          <w:rFonts w:ascii="Arial" w:hAnsi="Arial" w:cs="Arial"/>
          <w:sz w:val="22"/>
          <w:szCs w:val="22"/>
        </w:rPr>
      </w:pPr>
      <w:r>
        <w:rPr>
          <w:rFonts w:ascii="Arial" w:hAnsi="Arial" w:cs="Arial"/>
          <w:sz w:val="22"/>
          <w:szCs w:val="22"/>
        </w:rPr>
        <w:lastRenderedPageBreak/>
        <w:t>Creativity</w:t>
      </w:r>
      <w:r w:rsidR="00286E84">
        <w:rPr>
          <w:rFonts w:ascii="Arial" w:hAnsi="Arial" w:cs="Arial"/>
          <w:sz w:val="22"/>
          <w:szCs w:val="22"/>
        </w:rPr>
        <w:t>, value creation, and health and social care</w:t>
      </w:r>
      <w:r w:rsidR="004F2FE7">
        <w:rPr>
          <w:rFonts w:ascii="Arial" w:hAnsi="Arial" w:cs="Arial"/>
          <w:sz w:val="22"/>
          <w:szCs w:val="22"/>
        </w:rPr>
        <w:t xml:space="preserve"> improvement are three interconnected </w:t>
      </w:r>
      <w:r w:rsidR="003368B4">
        <w:rPr>
          <w:rFonts w:ascii="Arial" w:hAnsi="Arial" w:cs="Arial"/>
          <w:sz w:val="22"/>
          <w:szCs w:val="22"/>
        </w:rPr>
        <w:t xml:space="preserve">concepts that, when </w:t>
      </w:r>
      <w:r w:rsidR="00555365">
        <w:rPr>
          <w:rFonts w:ascii="Arial" w:hAnsi="Arial" w:cs="Arial"/>
          <w:sz w:val="22"/>
          <w:szCs w:val="22"/>
        </w:rPr>
        <w:t xml:space="preserve">understood in relation to one another, form a powerful </w:t>
      </w:r>
      <w:r w:rsidR="00B77AC6">
        <w:rPr>
          <w:rFonts w:ascii="Arial" w:hAnsi="Arial" w:cs="Arial"/>
          <w:sz w:val="22"/>
          <w:szCs w:val="22"/>
        </w:rPr>
        <w:t>framework for advancing practice. At the centre of this relation</w:t>
      </w:r>
      <w:r w:rsidR="00CB5E92">
        <w:rPr>
          <w:rFonts w:ascii="Arial" w:hAnsi="Arial" w:cs="Arial"/>
          <w:sz w:val="22"/>
          <w:szCs w:val="22"/>
        </w:rPr>
        <w:t xml:space="preserve">ship is creativity, understood not merely </w:t>
      </w:r>
      <w:r w:rsidR="00207850">
        <w:rPr>
          <w:rFonts w:ascii="Arial" w:hAnsi="Arial" w:cs="Arial"/>
          <w:sz w:val="22"/>
          <w:szCs w:val="22"/>
        </w:rPr>
        <w:t xml:space="preserve">as artistic ability, but as the capacity </w:t>
      </w:r>
      <w:r w:rsidR="00B04DC2">
        <w:rPr>
          <w:rFonts w:ascii="Arial" w:hAnsi="Arial" w:cs="Arial"/>
          <w:sz w:val="22"/>
          <w:szCs w:val="22"/>
        </w:rPr>
        <w:t xml:space="preserve">to generate novel and contextually </w:t>
      </w:r>
      <w:r w:rsidR="00924E1F">
        <w:rPr>
          <w:rFonts w:ascii="Arial" w:hAnsi="Arial" w:cs="Arial"/>
          <w:sz w:val="22"/>
          <w:szCs w:val="22"/>
        </w:rPr>
        <w:t xml:space="preserve">appropriate responses </w:t>
      </w:r>
      <w:r w:rsidR="008E588D">
        <w:rPr>
          <w:rFonts w:ascii="Arial" w:hAnsi="Arial" w:cs="Arial"/>
          <w:sz w:val="22"/>
          <w:szCs w:val="22"/>
        </w:rPr>
        <w:t xml:space="preserve">to complex care challenges </w:t>
      </w:r>
      <w:r w:rsidR="00E72F69" w:rsidRPr="00E72F69">
        <w:rPr>
          <w:rFonts w:ascii="Arial" w:hAnsi="Arial" w:cs="Arial"/>
          <w:sz w:val="22"/>
          <w:szCs w:val="22"/>
        </w:rPr>
        <w:t>Cropley (2015), creativity operates at two levels: the practitioner level and the organizational level, and manifests in three specific forms: people-</w:t>
      </w:r>
      <w:r w:rsidR="002B7466" w:rsidRPr="00E72F69">
        <w:rPr>
          <w:rFonts w:ascii="Arial" w:hAnsi="Arial" w:cs="Arial"/>
          <w:sz w:val="22"/>
          <w:szCs w:val="22"/>
        </w:rPr>
        <w:t>cantered</w:t>
      </w:r>
      <w:r w:rsidR="00E72F69" w:rsidRPr="00E72F69">
        <w:rPr>
          <w:rFonts w:ascii="Arial" w:hAnsi="Arial" w:cs="Arial"/>
          <w:sz w:val="22"/>
          <w:szCs w:val="22"/>
        </w:rPr>
        <w:t xml:space="preserve"> care planning, practitioner-led</w:t>
      </w:r>
      <w:r w:rsidR="00145BB5">
        <w:rPr>
          <w:rFonts w:ascii="Arial" w:hAnsi="Arial" w:cs="Arial"/>
          <w:sz w:val="22"/>
          <w:szCs w:val="22"/>
        </w:rPr>
        <w:t xml:space="preserve"> </w:t>
      </w:r>
      <w:r w:rsidR="00E72F69" w:rsidRPr="00E72F69">
        <w:rPr>
          <w:rFonts w:ascii="Arial" w:hAnsi="Arial" w:cs="Arial"/>
          <w:sz w:val="22"/>
          <w:szCs w:val="22"/>
        </w:rPr>
        <w:t>innovation, and co-created services. Drawing on the definition set out by Torfing et al. (2019), value creation covers non-economic dimensions that extend beyond economic efficiency, including dignity, autonomy, meaningful therapeutic relationships, and the authentic experiences of service users. Integrating the intentional attribute of care</w:t>
      </w:r>
      <w:r w:rsidR="00322919">
        <w:rPr>
          <w:rFonts w:ascii="Arial" w:hAnsi="Arial" w:cs="Arial"/>
          <w:sz w:val="22"/>
          <w:szCs w:val="22"/>
        </w:rPr>
        <w:t xml:space="preserve"> </w:t>
      </w:r>
      <w:r w:rsidR="00E72F69" w:rsidRPr="00E72F69">
        <w:rPr>
          <w:rFonts w:ascii="Arial" w:hAnsi="Arial" w:cs="Arial"/>
          <w:sz w:val="22"/>
          <w:szCs w:val="22"/>
        </w:rPr>
        <w:t>improvement put forward by Ham (2014), this paper first outlines the linear logic</w:t>
      </w:r>
      <w:r w:rsidR="00322919">
        <w:rPr>
          <w:rFonts w:ascii="Arial" w:hAnsi="Arial" w:cs="Arial"/>
          <w:sz w:val="22"/>
          <w:szCs w:val="22"/>
        </w:rPr>
        <w:t>,</w:t>
      </w:r>
      <w:r w:rsidR="00E72F69" w:rsidRPr="00E72F69">
        <w:rPr>
          <w:rFonts w:ascii="Arial" w:hAnsi="Arial" w:cs="Arial"/>
          <w:sz w:val="22"/>
          <w:szCs w:val="22"/>
        </w:rPr>
        <w:t xml:space="preserve"> </w:t>
      </w:r>
    </w:p>
    <w:p w14:paraId="58C01DD9" w14:textId="6EDFC5A7" w:rsidR="00A62E4A" w:rsidRDefault="00322919" w:rsidP="00E72F69">
      <w:pPr>
        <w:rPr>
          <w:rFonts w:ascii="Arial" w:hAnsi="Arial" w:cs="Arial"/>
          <w:sz w:val="22"/>
          <w:szCs w:val="22"/>
        </w:rPr>
      </w:pPr>
      <w:r>
        <w:rPr>
          <w:rFonts w:ascii="Arial" w:hAnsi="Arial" w:cs="Arial"/>
          <w:sz w:val="22"/>
          <w:szCs w:val="22"/>
        </w:rPr>
        <w:t>C</w:t>
      </w:r>
      <w:r w:rsidR="00E72F69" w:rsidRPr="00E72F69">
        <w:rPr>
          <w:rFonts w:ascii="Arial" w:hAnsi="Arial" w:cs="Arial"/>
          <w:sz w:val="22"/>
          <w:szCs w:val="22"/>
        </w:rPr>
        <w:t>reativity drives value creation, and the institutionalization of value creation supports care improvement. It then supplements this logic with a cyclical reinforcement mechanism where care improvement in turn feeds back to generate more creativity. The three concepts mutually shape and amplify one another, working together to drive improvements in the equity and quality of care.</w:t>
      </w:r>
    </w:p>
    <w:p w14:paraId="0A69E6F5" w14:textId="77777777" w:rsidR="00976EC7" w:rsidRDefault="00976EC7" w:rsidP="00E72F69">
      <w:pPr>
        <w:rPr>
          <w:rFonts w:ascii="Arial" w:hAnsi="Arial" w:cs="Arial"/>
          <w:sz w:val="22"/>
          <w:szCs w:val="22"/>
        </w:rPr>
      </w:pPr>
    </w:p>
    <w:p w14:paraId="455E13E7" w14:textId="77777777" w:rsidR="00976EC7" w:rsidRDefault="00976EC7" w:rsidP="00E72F69">
      <w:pPr>
        <w:rPr>
          <w:rFonts w:ascii="Arial" w:hAnsi="Arial" w:cs="Arial"/>
          <w:sz w:val="22"/>
          <w:szCs w:val="22"/>
        </w:rPr>
      </w:pPr>
    </w:p>
    <w:p w14:paraId="1E3572D1" w14:textId="2E0DC4E8" w:rsidR="00976EC7" w:rsidRDefault="00976EC7" w:rsidP="00E72F69">
      <w:pPr>
        <w:rPr>
          <w:rFonts w:ascii="Arial" w:hAnsi="Arial" w:cs="Arial"/>
          <w:sz w:val="22"/>
          <w:szCs w:val="22"/>
        </w:rPr>
      </w:pPr>
      <w:r>
        <w:rPr>
          <w:rFonts w:ascii="Arial" w:hAnsi="Arial" w:cs="Arial"/>
          <w:sz w:val="22"/>
          <w:szCs w:val="22"/>
        </w:rPr>
        <w:t xml:space="preserve">Task 2. </w:t>
      </w:r>
      <w:proofErr w:type="spellStart"/>
      <w:r w:rsidR="007457CB">
        <w:rPr>
          <w:rFonts w:ascii="Arial" w:hAnsi="Arial" w:cs="Arial"/>
          <w:sz w:val="22"/>
          <w:szCs w:val="22"/>
        </w:rPr>
        <w:t>Self reflection</w:t>
      </w:r>
      <w:proofErr w:type="spellEnd"/>
      <w:r w:rsidR="007457CB">
        <w:rPr>
          <w:rFonts w:ascii="Arial" w:hAnsi="Arial" w:cs="Arial"/>
          <w:sz w:val="22"/>
          <w:szCs w:val="22"/>
        </w:rPr>
        <w:t xml:space="preserve"> group activity. </w:t>
      </w:r>
    </w:p>
    <w:p w14:paraId="0F269D82" w14:textId="77777777" w:rsidR="00305622" w:rsidRPr="00305622" w:rsidRDefault="00305622" w:rsidP="00305622">
      <w:pPr>
        <w:rPr>
          <w:rFonts w:ascii="Arial" w:hAnsi="Arial" w:cs="Arial"/>
          <w:sz w:val="22"/>
          <w:szCs w:val="22"/>
        </w:rPr>
      </w:pPr>
      <w:r w:rsidRPr="00305622">
        <w:rPr>
          <w:rFonts w:ascii="Arial" w:hAnsi="Arial" w:cs="Arial"/>
          <w:sz w:val="22"/>
          <w:szCs w:val="22"/>
        </w:rPr>
        <w:t>Introduction</w:t>
      </w:r>
    </w:p>
    <w:p w14:paraId="470F0440" w14:textId="77777777" w:rsidR="00305622" w:rsidRPr="00305622" w:rsidRDefault="00305622" w:rsidP="00305622">
      <w:pPr>
        <w:rPr>
          <w:rFonts w:ascii="Arial" w:hAnsi="Arial" w:cs="Arial"/>
          <w:sz w:val="22"/>
          <w:szCs w:val="22"/>
        </w:rPr>
      </w:pPr>
      <w:r w:rsidRPr="00305622">
        <w:rPr>
          <w:rFonts w:ascii="Arial" w:hAnsi="Arial" w:cs="Arial"/>
          <w:sz w:val="22"/>
          <w:szCs w:val="22"/>
        </w:rPr>
        <w:t>This paper conducts analysis ranging from factual description to action planning, drawing on the author’s own experience participating in the Paperclip classroom activity and using Gibbs’ 1988 reflective cycle as an analytical framework.</w:t>
      </w:r>
    </w:p>
    <w:p w14:paraId="2622F7AC" w14:textId="77777777" w:rsidR="00305622" w:rsidRPr="00305622" w:rsidRDefault="00305622" w:rsidP="00305622">
      <w:pPr>
        <w:rPr>
          <w:rFonts w:ascii="Arial" w:hAnsi="Arial" w:cs="Arial"/>
          <w:sz w:val="22"/>
          <w:szCs w:val="22"/>
        </w:rPr>
      </w:pPr>
    </w:p>
    <w:p w14:paraId="3DBBFBD1" w14:textId="49E85B76" w:rsidR="00305622" w:rsidRPr="00305622" w:rsidRDefault="00305622" w:rsidP="00305622">
      <w:pPr>
        <w:rPr>
          <w:rFonts w:ascii="Arial" w:hAnsi="Arial" w:cs="Arial"/>
          <w:sz w:val="22"/>
          <w:szCs w:val="22"/>
        </w:rPr>
      </w:pPr>
      <w:r w:rsidRPr="00305622">
        <w:rPr>
          <w:rFonts w:ascii="Arial" w:hAnsi="Arial" w:cs="Arial"/>
          <w:sz w:val="22"/>
          <w:szCs w:val="22"/>
        </w:rPr>
        <w:t>Description</w:t>
      </w:r>
    </w:p>
    <w:p w14:paraId="6FB85F55" w14:textId="1B3A6F09" w:rsidR="00305622" w:rsidRPr="00305622" w:rsidRDefault="00305622" w:rsidP="00305622">
      <w:pPr>
        <w:rPr>
          <w:rFonts w:ascii="Arial" w:hAnsi="Arial" w:cs="Arial"/>
          <w:sz w:val="22"/>
          <w:szCs w:val="22"/>
        </w:rPr>
      </w:pPr>
      <w:r w:rsidRPr="00305622">
        <w:rPr>
          <w:rFonts w:ascii="Arial" w:hAnsi="Arial" w:cs="Arial"/>
          <w:sz w:val="22"/>
          <w:szCs w:val="22"/>
        </w:rPr>
        <w:t xml:space="preserve">As a participant, I joined my team’s paperclip creativity challenge, which </w:t>
      </w:r>
      <w:r w:rsidR="00D637B6" w:rsidRPr="00305622">
        <w:rPr>
          <w:rFonts w:ascii="Arial" w:hAnsi="Arial" w:cs="Arial"/>
          <w:sz w:val="22"/>
          <w:szCs w:val="22"/>
        </w:rPr>
        <w:t>centres</w:t>
      </w:r>
      <w:r w:rsidRPr="00305622">
        <w:rPr>
          <w:rFonts w:ascii="Arial" w:hAnsi="Arial" w:cs="Arial"/>
          <w:sz w:val="22"/>
          <w:szCs w:val="22"/>
        </w:rPr>
        <w:t xml:space="preserve"> on innovative thinking training. The task required me to come up with as many unconventional uses as possible. This task followed </w:t>
      </w:r>
      <w:r w:rsidR="0031385E">
        <w:rPr>
          <w:rFonts w:ascii="Arial" w:hAnsi="Arial" w:cs="Arial"/>
          <w:sz w:val="22"/>
          <w:szCs w:val="22"/>
        </w:rPr>
        <w:t>(</w:t>
      </w:r>
      <w:r w:rsidRPr="00305622">
        <w:rPr>
          <w:rFonts w:ascii="Arial" w:hAnsi="Arial" w:cs="Arial"/>
          <w:sz w:val="22"/>
          <w:szCs w:val="22"/>
        </w:rPr>
        <w:t>Runco’s 2014</w:t>
      </w:r>
      <w:r w:rsidR="0031385E">
        <w:rPr>
          <w:rFonts w:ascii="Arial" w:hAnsi="Arial" w:cs="Arial"/>
          <w:sz w:val="22"/>
          <w:szCs w:val="22"/>
        </w:rPr>
        <w:t>)</w:t>
      </w:r>
      <w:r w:rsidRPr="00305622">
        <w:rPr>
          <w:rFonts w:ascii="Arial" w:hAnsi="Arial" w:cs="Arial"/>
          <w:sz w:val="22"/>
          <w:szCs w:val="22"/>
        </w:rPr>
        <w:t xml:space="preserve"> divergent-convergent thinking theory, and I ultimately produced around 10 ideas that range from highly practical to wildly imaginative.</w:t>
      </w:r>
    </w:p>
    <w:p w14:paraId="0F2E3AFD" w14:textId="77777777" w:rsidR="00305622" w:rsidRPr="00305622" w:rsidRDefault="00305622" w:rsidP="00305622">
      <w:pPr>
        <w:rPr>
          <w:rFonts w:ascii="Arial" w:hAnsi="Arial" w:cs="Arial"/>
          <w:sz w:val="22"/>
          <w:szCs w:val="22"/>
        </w:rPr>
      </w:pPr>
    </w:p>
    <w:p w14:paraId="546E1DAB" w14:textId="7E872679" w:rsidR="00305622" w:rsidRPr="00305622" w:rsidRDefault="00305622" w:rsidP="00305622">
      <w:pPr>
        <w:rPr>
          <w:rFonts w:ascii="Arial" w:hAnsi="Arial" w:cs="Arial"/>
          <w:sz w:val="22"/>
          <w:szCs w:val="22"/>
        </w:rPr>
      </w:pPr>
      <w:r w:rsidRPr="00305622">
        <w:rPr>
          <w:rFonts w:ascii="Arial" w:hAnsi="Arial" w:cs="Arial"/>
          <w:sz w:val="22"/>
          <w:szCs w:val="22"/>
        </w:rPr>
        <w:t>Feelings</w:t>
      </w:r>
    </w:p>
    <w:p w14:paraId="1F750044" w14:textId="77777777" w:rsidR="00305622" w:rsidRPr="00305622" w:rsidRDefault="00305622" w:rsidP="00305622">
      <w:pPr>
        <w:rPr>
          <w:rFonts w:ascii="Arial" w:hAnsi="Arial" w:cs="Arial"/>
          <w:sz w:val="22"/>
          <w:szCs w:val="22"/>
        </w:rPr>
      </w:pPr>
      <w:r w:rsidRPr="00305622">
        <w:rPr>
          <w:rFonts w:ascii="Arial" w:hAnsi="Arial" w:cs="Arial"/>
          <w:sz w:val="22"/>
          <w:szCs w:val="22"/>
        </w:rPr>
        <w:t>At first, I was full of uncertainty about my own capabilities due to the team’s open-ended tasks. However, as the team atmosphere gradually relaxed, I grew increasingly confident and voluntarily took on the role of creative lead.</w:t>
      </w:r>
    </w:p>
    <w:p w14:paraId="6697EDB1" w14:textId="77777777" w:rsidR="00305622" w:rsidRPr="00305622" w:rsidRDefault="00305622" w:rsidP="00305622">
      <w:pPr>
        <w:rPr>
          <w:rFonts w:ascii="Arial" w:hAnsi="Arial" w:cs="Arial"/>
          <w:sz w:val="22"/>
          <w:szCs w:val="22"/>
        </w:rPr>
      </w:pPr>
    </w:p>
    <w:p w14:paraId="5FCD331B" w14:textId="7CF65B95" w:rsidR="00305622" w:rsidRPr="00305622" w:rsidRDefault="00305622" w:rsidP="00305622">
      <w:pPr>
        <w:rPr>
          <w:rFonts w:ascii="Arial" w:hAnsi="Arial" w:cs="Arial"/>
          <w:sz w:val="22"/>
          <w:szCs w:val="22"/>
        </w:rPr>
      </w:pPr>
      <w:r w:rsidRPr="00305622">
        <w:rPr>
          <w:rFonts w:ascii="Arial" w:hAnsi="Arial" w:cs="Arial"/>
          <w:sz w:val="22"/>
          <w:szCs w:val="22"/>
        </w:rPr>
        <w:t>Evaluation</w:t>
      </w:r>
    </w:p>
    <w:p w14:paraId="5E2E6A40" w14:textId="77777777" w:rsidR="00305622" w:rsidRPr="00305622" w:rsidRDefault="00305622" w:rsidP="00305622">
      <w:pPr>
        <w:rPr>
          <w:rFonts w:ascii="Arial" w:hAnsi="Arial" w:cs="Arial"/>
          <w:sz w:val="22"/>
          <w:szCs w:val="22"/>
        </w:rPr>
      </w:pPr>
      <w:r w:rsidRPr="00305622">
        <w:rPr>
          <w:rFonts w:ascii="Arial" w:hAnsi="Arial" w:cs="Arial"/>
          <w:sz w:val="22"/>
          <w:szCs w:val="22"/>
        </w:rPr>
        <w:lastRenderedPageBreak/>
        <w:t>After I took on my team role, I broke away from conventional solutions. The team’s supportive atmosphere increased members’ willingness to take creative risks, which confirms Edmondson’s (2018) conclusion that psychological safety shapes creative output.</w:t>
      </w:r>
    </w:p>
    <w:p w14:paraId="35AEF21E" w14:textId="77777777" w:rsidR="00305622" w:rsidRPr="00305622" w:rsidRDefault="00305622" w:rsidP="00305622">
      <w:pPr>
        <w:rPr>
          <w:rFonts w:ascii="Arial" w:hAnsi="Arial" w:cs="Arial"/>
          <w:sz w:val="22"/>
          <w:szCs w:val="22"/>
        </w:rPr>
      </w:pPr>
    </w:p>
    <w:p w14:paraId="5D3F045A" w14:textId="0F62485B" w:rsidR="00305622" w:rsidRPr="00305622" w:rsidRDefault="00305622" w:rsidP="00305622">
      <w:pPr>
        <w:rPr>
          <w:rFonts w:ascii="Arial" w:hAnsi="Arial" w:cs="Arial"/>
          <w:sz w:val="22"/>
          <w:szCs w:val="22"/>
        </w:rPr>
      </w:pPr>
      <w:r w:rsidRPr="00305622">
        <w:rPr>
          <w:rFonts w:ascii="Arial" w:hAnsi="Arial" w:cs="Arial"/>
          <w:sz w:val="22"/>
          <w:szCs w:val="22"/>
        </w:rPr>
        <w:t>Analysis</w:t>
      </w:r>
    </w:p>
    <w:p w14:paraId="5596E06A" w14:textId="77777777" w:rsidR="00305622" w:rsidRPr="00305622" w:rsidRDefault="00305622" w:rsidP="00305622">
      <w:pPr>
        <w:rPr>
          <w:rFonts w:ascii="Arial" w:hAnsi="Arial" w:cs="Arial"/>
          <w:sz w:val="22"/>
          <w:szCs w:val="22"/>
        </w:rPr>
      </w:pPr>
      <w:r w:rsidRPr="00305622">
        <w:rPr>
          <w:rFonts w:ascii="Arial" w:hAnsi="Arial" w:cs="Arial"/>
          <w:sz w:val="22"/>
          <w:szCs w:val="22"/>
        </w:rPr>
        <w:t xml:space="preserve">My initial hesitation was a classic example of convergent </w:t>
      </w:r>
      <w:proofErr w:type="gramStart"/>
      <w:r w:rsidRPr="00305622">
        <w:rPr>
          <w:rFonts w:ascii="Arial" w:hAnsi="Arial" w:cs="Arial"/>
          <w:sz w:val="22"/>
          <w:szCs w:val="22"/>
        </w:rPr>
        <w:t>thinking,</w:t>
      </w:r>
      <w:proofErr w:type="gramEnd"/>
      <w:r w:rsidRPr="00305622">
        <w:rPr>
          <w:rFonts w:ascii="Arial" w:hAnsi="Arial" w:cs="Arial"/>
          <w:sz w:val="22"/>
          <w:szCs w:val="22"/>
        </w:rPr>
        <w:t xml:space="preserve"> a mindset commonly observed in professional settings that prioritize caution. Cropley (2015) identified this type of thinking as a core factor impeding innovation, and it is well-suited to health and social care practice.</w:t>
      </w:r>
    </w:p>
    <w:p w14:paraId="182C15AE" w14:textId="77777777" w:rsidR="00305622" w:rsidRPr="00305622" w:rsidRDefault="00305622" w:rsidP="00305622">
      <w:pPr>
        <w:rPr>
          <w:rFonts w:ascii="Arial" w:hAnsi="Arial" w:cs="Arial"/>
          <w:sz w:val="22"/>
          <w:szCs w:val="22"/>
        </w:rPr>
      </w:pPr>
    </w:p>
    <w:p w14:paraId="6E50B37B" w14:textId="47D2F687" w:rsidR="00305622" w:rsidRPr="00305622" w:rsidRDefault="00305622" w:rsidP="00305622">
      <w:pPr>
        <w:rPr>
          <w:rFonts w:ascii="Arial" w:hAnsi="Arial" w:cs="Arial"/>
          <w:sz w:val="22"/>
          <w:szCs w:val="22"/>
        </w:rPr>
      </w:pPr>
      <w:r w:rsidRPr="00305622">
        <w:rPr>
          <w:rFonts w:ascii="Arial" w:hAnsi="Arial" w:cs="Arial"/>
          <w:sz w:val="22"/>
          <w:szCs w:val="22"/>
        </w:rPr>
        <w:t>Conclusion</w:t>
      </w:r>
    </w:p>
    <w:p w14:paraId="29026F4B" w14:textId="77777777" w:rsidR="00305622" w:rsidRPr="00305622" w:rsidRDefault="00305622" w:rsidP="00305622">
      <w:pPr>
        <w:rPr>
          <w:rFonts w:ascii="Arial" w:hAnsi="Arial" w:cs="Arial"/>
          <w:sz w:val="22"/>
          <w:szCs w:val="22"/>
        </w:rPr>
      </w:pPr>
      <w:r w:rsidRPr="00305622">
        <w:rPr>
          <w:rFonts w:ascii="Arial" w:hAnsi="Arial" w:cs="Arial"/>
          <w:sz w:val="22"/>
          <w:szCs w:val="22"/>
        </w:rPr>
        <w:t>The practical verification conducted in this paper confirms that divergent and convergent thinking are complementary, and creative confidence can be consciously developed.</w:t>
      </w:r>
    </w:p>
    <w:p w14:paraId="5D746297" w14:textId="77777777" w:rsidR="00305622" w:rsidRPr="00305622" w:rsidRDefault="00305622" w:rsidP="00305622">
      <w:pPr>
        <w:rPr>
          <w:rFonts w:ascii="Arial" w:hAnsi="Arial" w:cs="Arial"/>
          <w:sz w:val="22"/>
          <w:szCs w:val="22"/>
        </w:rPr>
      </w:pPr>
    </w:p>
    <w:p w14:paraId="2976B915" w14:textId="6BD3E3CA" w:rsidR="00305622" w:rsidRPr="00305622" w:rsidRDefault="00305622" w:rsidP="00305622">
      <w:pPr>
        <w:rPr>
          <w:rFonts w:ascii="Arial" w:hAnsi="Arial" w:cs="Arial"/>
          <w:sz w:val="22"/>
          <w:szCs w:val="22"/>
        </w:rPr>
      </w:pPr>
      <w:r w:rsidRPr="00305622">
        <w:rPr>
          <w:rFonts w:ascii="Arial" w:hAnsi="Arial" w:cs="Arial"/>
          <w:sz w:val="22"/>
          <w:szCs w:val="22"/>
        </w:rPr>
        <w:t>Action Plan</w:t>
      </w:r>
    </w:p>
    <w:p w14:paraId="16D9D48A" w14:textId="3AD6A4E9" w:rsidR="007457CB" w:rsidRDefault="00305622" w:rsidP="00305622">
      <w:pPr>
        <w:rPr>
          <w:rFonts w:ascii="Arial" w:hAnsi="Arial" w:cs="Arial"/>
          <w:sz w:val="22"/>
          <w:szCs w:val="22"/>
        </w:rPr>
      </w:pPr>
      <w:r w:rsidRPr="00305622">
        <w:rPr>
          <w:rFonts w:ascii="Arial" w:hAnsi="Arial" w:cs="Arial"/>
          <w:sz w:val="22"/>
          <w:szCs w:val="22"/>
        </w:rPr>
        <w:t xml:space="preserve">I will suspend self-judgment during the creative generation </w:t>
      </w:r>
      <w:proofErr w:type="gramStart"/>
      <w:r w:rsidRPr="00305622">
        <w:rPr>
          <w:rFonts w:ascii="Arial" w:hAnsi="Arial" w:cs="Arial"/>
          <w:sz w:val="22"/>
          <w:szCs w:val="22"/>
        </w:rPr>
        <w:t>phase, and</w:t>
      </w:r>
      <w:proofErr w:type="gramEnd"/>
      <w:r w:rsidRPr="00305622">
        <w:rPr>
          <w:rFonts w:ascii="Arial" w:hAnsi="Arial" w:cs="Arial"/>
          <w:sz w:val="22"/>
          <w:szCs w:val="22"/>
        </w:rPr>
        <w:t xml:space="preserve"> adopt divergent thinking as a proactive professional strategy for application in health and social care settings.</w:t>
      </w:r>
      <w:r w:rsidR="009C4AAC">
        <w:rPr>
          <w:rFonts w:ascii="Arial" w:hAnsi="Arial" w:cs="Arial"/>
          <w:sz w:val="22"/>
          <w:szCs w:val="22"/>
        </w:rPr>
        <w:t xml:space="preserve"> </w:t>
      </w:r>
    </w:p>
    <w:p w14:paraId="14AB8712" w14:textId="77777777" w:rsidR="009C4AAC" w:rsidRDefault="009C4AAC" w:rsidP="00305622">
      <w:pPr>
        <w:rPr>
          <w:rFonts w:ascii="Arial" w:hAnsi="Arial" w:cs="Arial"/>
          <w:sz w:val="22"/>
          <w:szCs w:val="22"/>
        </w:rPr>
      </w:pPr>
    </w:p>
    <w:p w14:paraId="520716C2" w14:textId="74BD3136" w:rsidR="009C4AAC" w:rsidRDefault="009C4AAC" w:rsidP="00305622">
      <w:pPr>
        <w:rPr>
          <w:rFonts w:ascii="Arial" w:hAnsi="Arial" w:cs="Arial"/>
          <w:sz w:val="22"/>
          <w:szCs w:val="22"/>
        </w:rPr>
      </w:pPr>
      <w:r>
        <w:rPr>
          <w:rFonts w:ascii="Arial" w:hAnsi="Arial" w:cs="Arial"/>
          <w:sz w:val="22"/>
          <w:szCs w:val="22"/>
        </w:rPr>
        <w:t xml:space="preserve">Task 3. Case study </w:t>
      </w:r>
    </w:p>
    <w:p w14:paraId="3CA251A6" w14:textId="6F7ED291" w:rsidR="00A66C19" w:rsidRPr="00A66C19" w:rsidRDefault="00A66C19" w:rsidP="00A66C19">
      <w:pPr>
        <w:rPr>
          <w:rFonts w:ascii="Arial" w:hAnsi="Arial" w:cs="Arial"/>
          <w:sz w:val="22"/>
          <w:szCs w:val="22"/>
        </w:rPr>
      </w:pPr>
      <w:r w:rsidRPr="00A66C19">
        <w:rPr>
          <w:rFonts w:ascii="Arial" w:hAnsi="Arial" w:cs="Arial"/>
          <w:sz w:val="22"/>
          <w:szCs w:val="22"/>
        </w:rPr>
        <w:t>Hospitals across the UK have long faced sustained pressure from the steady rise in caseloads of chronic conditions including heart disease, diabetes, and respiratory diseases. In response, they launched the NHS Home Healthcare Initiative, which deploys three categories of remote monitoring technologies</w:t>
      </w:r>
      <w:r w:rsidR="00915B50">
        <w:rPr>
          <w:rFonts w:ascii="Arial" w:hAnsi="Arial" w:cs="Arial"/>
          <w:sz w:val="22"/>
          <w:szCs w:val="22"/>
        </w:rPr>
        <w:t xml:space="preserve"> </w:t>
      </w:r>
      <w:r w:rsidRPr="00A66C19">
        <w:rPr>
          <w:rFonts w:ascii="Arial" w:hAnsi="Arial" w:cs="Arial"/>
          <w:sz w:val="22"/>
          <w:szCs w:val="22"/>
        </w:rPr>
        <w:t>wearable devices, home diagnostic tools, and AI</w:t>
      </w:r>
      <w:r w:rsidR="00915B50">
        <w:rPr>
          <w:rFonts w:ascii="Arial" w:hAnsi="Arial" w:cs="Arial"/>
          <w:sz w:val="22"/>
          <w:szCs w:val="22"/>
        </w:rPr>
        <w:t xml:space="preserve"> </w:t>
      </w:r>
      <w:r w:rsidRPr="00A66C19">
        <w:rPr>
          <w:rFonts w:ascii="Arial" w:hAnsi="Arial" w:cs="Arial"/>
          <w:sz w:val="22"/>
          <w:szCs w:val="22"/>
        </w:rPr>
        <w:t>driven analytics tools</w:t>
      </w:r>
      <w:r w:rsidR="00915B50">
        <w:rPr>
          <w:rFonts w:ascii="Arial" w:hAnsi="Arial" w:cs="Arial"/>
          <w:sz w:val="22"/>
          <w:szCs w:val="22"/>
        </w:rPr>
        <w:t xml:space="preserve"> </w:t>
      </w:r>
      <w:r w:rsidRPr="00A66C19">
        <w:rPr>
          <w:rFonts w:ascii="Arial" w:hAnsi="Arial" w:cs="Arial"/>
          <w:sz w:val="22"/>
          <w:szCs w:val="22"/>
        </w:rPr>
        <w:t>and coordinates four types of participating stakeholders to jointly build a proactive, data</w:t>
      </w:r>
      <w:r w:rsidR="00B31E4E">
        <w:rPr>
          <w:rFonts w:ascii="Arial" w:hAnsi="Arial" w:cs="Arial"/>
          <w:sz w:val="22"/>
          <w:szCs w:val="22"/>
        </w:rPr>
        <w:t xml:space="preserve"> </w:t>
      </w:r>
      <w:r w:rsidRPr="00A66C19">
        <w:rPr>
          <w:rFonts w:ascii="Arial" w:hAnsi="Arial" w:cs="Arial"/>
          <w:sz w:val="22"/>
          <w:szCs w:val="22"/>
        </w:rPr>
        <w:t>driven healthcare service. Information related to this initiative is sourced from 2023 materials released by NHS England.</w:t>
      </w:r>
    </w:p>
    <w:p w14:paraId="3A232725" w14:textId="77777777" w:rsidR="00A66C19" w:rsidRPr="00A66C19" w:rsidRDefault="00A66C19" w:rsidP="00A66C19">
      <w:pPr>
        <w:rPr>
          <w:rFonts w:ascii="Arial" w:hAnsi="Arial" w:cs="Arial"/>
          <w:sz w:val="22"/>
          <w:szCs w:val="22"/>
        </w:rPr>
      </w:pPr>
    </w:p>
    <w:p w14:paraId="71A1881C" w14:textId="29588A02" w:rsidR="00A66C19" w:rsidRPr="00A66C19" w:rsidRDefault="00A66C19" w:rsidP="00A66C19">
      <w:pPr>
        <w:rPr>
          <w:rFonts w:ascii="Arial" w:hAnsi="Arial" w:cs="Arial"/>
          <w:sz w:val="22"/>
          <w:szCs w:val="22"/>
        </w:rPr>
      </w:pPr>
      <w:r w:rsidRPr="00A66C19">
        <w:rPr>
          <w:rFonts w:ascii="Arial" w:hAnsi="Arial" w:cs="Arial"/>
          <w:sz w:val="22"/>
          <w:szCs w:val="22"/>
        </w:rPr>
        <w:t>The core innovation strategies underpinning the UK’s National Health Service at Home (NHS at Home) project can be divided into two core dimensions: technology and relationships. Three categories of tools within the technology dimension form the foundation for on</w:t>
      </w:r>
      <w:r w:rsidR="00B31E4E">
        <w:rPr>
          <w:rFonts w:ascii="Arial" w:hAnsi="Arial" w:cs="Arial"/>
          <w:sz w:val="22"/>
          <w:szCs w:val="22"/>
        </w:rPr>
        <w:t xml:space="preserve"> </w:t>
      </w:r>
      <w:r w:rsidRPr="00A66C19">
        <w:rPr>
          <w:rFonts w:ascii="Arial" w:hAnsi="Arial" w:cs="Arial"/>
          <w:sz w:val="22"/>
          <w:szCs w:val="22"/>
        </w:rPr>
        <w:t>the</w:t>
      </w:r>
      <w:r w:rsidR="00C167F1">
        <w:rPr>
          <w:rFonts w:ascii="Arial" w:hAnsi="Arial" w:cs="Arial"/>
          <w:sz w:val="22"/>
          <w:szCs w:val="22"/>
        </w:rPr>
        <w:t xml:space="preserve"> </w:t>
      </w:r>
      <w:r w:rsidRPr="00A66C19">
        <w:rPr>
          <w:rFonts w:ascii="Arial" w:hAnsi="Arial" w:cs="Arial"/>
          <w:sz w:val="22"/>
          <w:szCs w:val="22"/>
        </w:rPr>
        <w:t>ground implementation</w:t>
      </w:r>
      <w:r w:rsidR="00C167F1">
        <w:rPr>
          <w:rFonts w:ascii="Arial" w:hAnsi="Arial" w:cs="Arial"/>
          <w:sz w:val="22"/>
          <w:szCs w:val="22"/>
        </w:rPr>
        <w:t xml:space="preserve"> </w:t>
      </w:r>
      <w:r w:rsidRPr="00A66C19">
        <w:rPr>
          <w:rFonts w:ascii="Arial" w:hAnsi="Arial" w:cs="Arial"/>
          <w:sz w:val="22"/>
          <w:szCs w:val="22"/>
        </w:rPr>
        <w:t>wearable devices for general users can track vital signs including heart rate and blood pressure, with data synced to a secure platform shared by clinicians and patients; portable ECG machines and spirometers for patients with complex care needs enable advanced monitoring that does not require clinicians to carry out in</w:t>
      </w:r>
      <w:r w:rsidR="00442CEA">
        <w:rPr>
          <w:rFonts w:ascii="Arial" w:hAnsi="Arial" w:cs="Arial"/>
          <w:sz w:val="22"/>
          <w:szCs w:val="22"/>
        </w:rPr>
        <w:t xml:space="preserve"> </w:t>
      </w:r>
      <w:r w:rsidRPr="00A66C19">
        <w:rPr>
          <w:rFonts w:ascii="Arial" w:hAnsi="Arial" w:cs="Arial"/>
          <w:sz w:val="22"/>
          <w:szCs w:val="22"/>
        </w:rPr>
        <w:t xml:space="preserve">person home visits; and artificial intelligence tools can identify early warning signs of worsening patient conditions. Topol (2019) confirms that this suite of technologies shifts care from a reactive model to proactive risk prediction. Patient education is embedded across the entire workflow of the relationship dimension. </w:t>
      </w:r>
      <w:proofErr w:type="spellStart"/>
      <w:r w:rsidRPr="00A66C19">
        <w:rPr>
          <w:rFonts w:ascii="Arial" w:hAnsi="Arial" w:cs="Arial"/>
          <w:sz w:val="22"/>
          <w:szCs w:val="22"/>
        </w:rPr>
        <w:t>Batalden</w:t>
      </w:r>
      <w:proofErr w:type="spellEnd"/>
      <w:r w:rsidRPr="00A66C19">
        <w:rPr>
          <w:rFonts w:ascii="Arial" w:hAnsi="Arial" w:cs="Arial"/>
          <w:sz w:val="22"/>
          <w:szCs w:val="22"/>
        </w:rPr>
        <w:t xml:space="preserve"> et al. (2016) note that this model transforms patients from passive care recipients into active care participants. These two sets of strategies work together to reshape the original logic of healthcare service delivery.</w:t>
      </w:r>
    </w:p>
    <w:p w14:paraId="5CEF99EC" w14:textId="77777777" w:rsidR="00A66C19" w:rsidRPr="00A66C19" w:rsidRDefault="00A66C19" w:rsidP="00A66C19">
      <w:pPr>
        <w:rPr>
          <w:rFonts w:ascii="Arial" w:hAnsi="Arial" w:cs="Arial"/>
          <w:sz w:val="22"/>
          <w:szCs w:val="22"/>
        </w:rPr>
      </w:pPr>
    </w:p>
    <w:p w14:paraId="778AE2F2" w14:textId="27451920" w:rsidR="009C4AAC" w:rsidRDefault="00A66C19" w:rsidP="00A66C19">
      <w:pPr>
        <w:rPr>
          <w:rFonts w:ascii="Arial" w:hAnsi="Arial" w:cs="Arial"/>
          <w:sz w:val="22"/>
          <w:szCs w:val="22"/>
        </w:rPr>
      </w:pPr>
      <w:r w:rsidRPr="00A66C19">
        <w:rPr>
          <w:rFonts w:ascii="Arial" w:hAnsi="Arial" w:cs="Arial"/>
          <w:sz w:val="22"/>
          <w:szCs w:val="22"/>
        </w:rPr>
        <w:t>The UK NHS home healthcare program evaluated in this study generates value across three core dimensions: on the clinical side, it reduces hospitali</w:t>
      </w:r>
      <w:r w:rsidR="00076046">
        <w:rPr>
          <w:rFonts w:ascii="Arial" w:hAnsi="Arial" w:cs="Arial"/>
          <w:sz w:val="22"/>
          <w:szCs w:val="22"/>
        </w:rPr>
        <w:t>s</w:t>
      </w:r>
      <w:r w:rsidRPr="00A66C19">
        <w:rPr>
          <w:rFonts w:ascii="Arial" w:hAnsi="Arial" w:cs="Arial"/>
          <w:sz w:val="22"/>
          <w:szCs w:val="22"/>
        </w:rPr>
        <w:t>ation rates to ease the burden on the healthcare system, while early intervention optimi</w:t>
      </w:r>
      <w:r w:rsidR="00076046">
        <w:rPr>
          <w:rFonts w:ascii="Arial" w:hAnsi="Arial" w:cs="Arial"/>
          <w:sz w:val="22"/>
          <w:szCs w:val="22"/>
        </w:rPr>
        <w:t>s</w:t>
      </w:r>
      <w:r w:rsidRPr="00A66C19">
        <w:rPr>
          <w:rFonts w:ascii="Arial" w:hAnsi="Arial" w:cs="Arial"/>
          <w:sz w:val="22"/>
          <w:szCs w:val="22"/>
        </w:rPr>
        <w:t>es patient outcomes; on the user side, it enhances autonomy and confidence in self-management, creating intangible value; on the economic side, shifting care out of acute care settings delivers cost savings. This program carries the risk of excluding groups with insufficient digital capabilities, such as older adults, which may exacerbate health inequalities, and supporting mechanisms must be established to enable the program to benefit the general population.</w:t>
      </w:r>
      <w:r w:rsidR="00F74C6D">
        <w:rPr>
          <w:rFonts w:ascii="Arial" w:hAnsi="Arial" w:cs="Arial"/>
          <w:sz w:val="22"/>
          <w:szCs w:val="22"/>
        </w:rPr>
        <w:t xml:space="preserve"> </w:t>
      </w:r>
    </w:p>
    <w:p w14:paraId="3ACE6E3B" w14:textId="77777777" w:rsidR="006B4ED1" w:rsidRDefault="006B4ED1" w:rsidP="00A66C19">
      <w:pPr>
        <w:rPr>
          <w:rFonts w:ascii="Arial" w:hAnsi="Arial" w:cs="Arial"/>
          <w:sz w:val="22"/>
          <w:szCs w:val="22"/>
        </w:rPr>
      </w:pPr>
    </w:p>
    <w:p w14:paraId="4E470896" w14:textId="72A4D978" w:rsidR="006B4ED1" w:rsidRDefault="006B4ED1" w:rsidP="00A66C19">
      <w:pPr>
        <w:rPr>
          <w:rFonts w:ascii="Arial" w:hAnsi="Arial" w:cs="Arial"/>
          <w:sz w:val="22"/>
          <w:szCs w:val="22"/>
        </w:rPr>
      </w:pPr>
      <w:r>
        <w:rPr>
          <w:rFonts w:ascii="Arial" w:hAnsi="Arial" w:cs="Arial"/>
          <w:sz w:val="22"/>
          <w:szCs w:val="22"/>
        </w:rPr>
        <w:t xml:space="preserve">Task 4. </w:t>
      </w:r>
      <w:r w:rsidR="001E6642">
        <w:rPr>
          <w:rFonts w:ascii="Arial" w:hAnsi="Arial" w:cs="Arial"/>
          <w:sz w:val="22"/>
          <w:szCs w:val="22"/>
        </w:rPr>
        <w:t>Research task</w:t>
      </w:r>
      <w:r w:rsidR="00DC6EC5">
        <w:rPr>
          <w:rFonts w:ascii="Arial" w:hAnsi="Arial" w:cs="Arial"/>
          <w:sz w:val="22"/>
          <w:szCs w:val="22"/>
        </w:rPr>
        <w:t xml:space="preserve">. </w:t>
      </w:r>
    </w:p>
    <w:p w14:paraId="3FF8F21E" w14:textId="63775A3C" w:rsidR="00E75D23" w:rsidRDefault="00E75D23" w:rsidP="00A66C19">
      <w:pPr>
        <w:rPr>
          <w:rFonts w:ascii="Arial" w:hAnsi="Arial" w:cs="Arial"/>
          <w:sz w:val="22"/>
          <w:szCs w:val="22"/>
        </w:rPr>
      </w:pPr>
      <w:r>
        <w:rPr>
          <w:rFonts w:ascii="Arial" w:hAnsi="Arial" w:cs="Arial"/>
          <w:sz w:val="22"/>
          <w:szCs w:val="22"/>
        </w:rPr>
        <w:t>Introduction.</w:t>
      </w:r>
    </w:p>
    <w:p w14:paraId="1019D65E" w14:textId="6AF1BF30" w:rsidR="00E75D23" w:rsidRDefault="00E75D23" w:rsidP="00A66C19">
      <w:pPr>
        <w:rPr>
          <w:rFonts w:ascii="Arial" w:hAnsi="Arial" w:cs="Arial"/>
          <w:sz w:val="22"/>
          <w:szCs w:val="22"/>
        </w:rPr>
      </w:pPr>
      <w:r w:rsidRPr="00E75D23">
        <w:rPr>
          <w:rFonts w:ascii="Arial" w:hAnsi="Arial" w:cs="Arial"/>
          <w:sz w:val="22"/>
          <w:szCs w:val="22"/>
        </w:rPr>
        <w:t>One of the most pressing challenges currently facing the UK’s National Health Service (NHS) is staff occupational burnout, which undermines staff retention rates, patient safety, and the quality of care. The following text will summarize research on the causes and impacts of this issue published in two peer-reviewed academic journals.</w:t>
      </w:r>
      <w:r>
        <w:rPr>
          <w:rFonts w:ascii="Arial" w:hAnsi="Arial" w:cs="Arial"/>
          <w:sz w:val="22"/>
          <w:szCs w:val="22"/>
        </w:rPr>
        <w:t xml:space="preserve"> </w:t>
      </w:r>
    </w:p>
    <w:p w14:paraId="628D9504" w14:textId="77777777" w:rsidR="00E75D23" w:rsidRDefault="00E75D23" w:rsidP="00A66C19">
      <w:pPr>
        <w:rPr>
          <w:rFonts w:ascii="Arial" w:hAnsi="Arial" w:cs="Arial"/>
          <w:sz w:val="22"/>
          <w:szCs w:val="22"/>
        </w:rPr>
      </w:pPr>
    </w:p>
    <w:p w14:paraId="059BC05B" w14:textId="11E255A0" w:rsidR="00E75D23" w:rsidRDefault="00E75D23" w:rsidP="00A66C19">
      <w:pPr>
        <w:rPr>
          <w:rFonts w:ascii="Arial" w:hAnsi="Arial" w:cs="Arial"/>
          <w:sz w:val="22"/>
          <w:szCs w:val="22"/>
        </w:rPr>
      </w:pPr>
      <w:r>
        <w:rPr>
          <w:rFonts w:ascii="Arial" w:hAnsi="Arial" w:cs="Arial"/>
          <w:sz w:val="22"/>
          <w:szCs w:val="22"/>
        </w:rPr>
        <w:t xml:space="preserve">Article 1; </w:t>
      </w:r>
    </w:p>
    <w:p w14:paraId="691233BF" w14:textId="77777777" w:rsidR="00E75D23" w:rsidRPr="00E75D23" w:rsidRDefault="00E75D23" w:rsidP="00E75D23">
      <w:pPr>
        <w:rPr>
          <w:rFonts w:ascii="Arial" w:hAnsi="Arial" w:cs="Arial"/>
          <w:sz w:val="22"/>
          <w:szCs w:val="22"/>
        </w:rPr>
      </w:pPr>
      <w:r w:rsidRPr="00E75D23">
        <w:rPr>
          <w:rFonts w:ascii="Arial" w:hAnsi="Arial" w:cs="Arial"/>
          <w:sz w:val="22"/>
          <w:szCs w:val="22"/>
        </w:rPr>
        <w:t xml:space="preserve">In 2020, </w:t>
      </w:r>
      <w:proofErr w:type="spellStart"/>
      <w:r w:rsidRPr="00E75D23">
        <w:rPr>
          <w:rFonts w:ascii="Arial" w:hAnsi="Arial" w:cs="Arial"/>
          <w:sz w:val="22"/>
          <w:szCs w:val="22"/>
        </w:rPr>
        <w:t>Dall'Ora</w:t>
      </w:r>
      <w:proofErr w:type="spellEnd"/>
      <w:r w:rsidRPr="00E75D23">
        <w:rPr>
          <w:rFonts w:ascii="Arial" w:hAnsi="Arial" w:cs="Arial"/>
          <w:sz w:val="22"/>
          <w:szCs w:val="22"/>
        </w:rPr>
        <w:t xml:space="preserve"> et al. conducted research on the working conditions and burnout of NHS nurses.</w:t>
      </w:r>
    </w:p>
    <w:p w14:paraId="7A5821F1" w14:textId="77777777" w:rsidR="00E75D23" w:rsidRPr="00E75D23" w:rsidRDefault="00E75D23" w:rsidP="00E75D23">
      <w:pPr>
        <w:rPr>
          <w:rFonts w:ascii="Arial" w:hAnsi="Arial" w:cs="Arial"/>
          <w:sz w:val="22"/>
          <w:szCs w:val="22"/>
        </w:rPr>
      </w:pPr>
    </w:p>
    <w:p w14:paraId="7A6EDB06" w14:textId="554EA18F" w:rsidR="00E75D23" w:rsidRDefault="00E75D23" w:rsidP="00E75D23">
      <w:pPr>
        <w:rPr>
          <w:rFonts w:ascii="Arial" w:hAnsi="Arial" w:cs="Arial"/>
          <w:sz w:val="22"/>
          <w:szCs w:val="22"/>
        </w:rPr>
      </w:pPr>
      <w:r w:rsidRPr="00E75D23">
        <w:rPr>
          <w:rFonts w:ascii="Arial" w:hAnsi="Arial" w:cs="Arial"/>
          <w:sz w:val="22"/>
          <w:szCs w:val="22"/>
        </w:rPr>
        <w:t>A 2020 systematic</w:t>
      </w:r>
      <w:r>
        <w:rPr>
          <w:rFonts w:ascii="Arial" w:hAnsi="Arial" w:cs="Arial"/>
          <w:sz w:val="22"/>
          <w:szCs w:val="22"/>
        </w:rPr>
        <w:t xml:space="preserve"> </w:t>
      </w:r>
      <w:r w:rsidRPr="00E75D23">
        <w:rPr>
          <w:rFonts w:ascii="Arial" w:hAnsi="Arial" w:cs="Arial"/>
          <w:sz w:val="22"/>
          <w:szCs w:val="22"/>
        </w:rPr>
        <w:t xml:space="preserve">review published by </w:t>
      </w:r>
      <w:proofErr w:type="spellStart"/>
      <w:r w:rsidRPr="00E75D23">
        <w:rPr>
          <w:rFonts w:ascii="Arial" w:hAnsi="Arial" w:cs="Arial"/>
          <w:sz w:val="22"/>
          <w:szCs w:val="22"/>
        </w:rPr>
        <w:t>Dall’Ora</w:t>
      </w:r>
      <w:proofErr w:type="spellEnd"/>
      <w:r w:rsidRPr="00E75D23">
        <w:rPr>
          <w:rFonts w:ascii="Arial" w:hAnsi="Arial" w:cs="Arial"/>
          <w:sz w:val="22"/>
          <w:szCs w:val="22"/>
        </w:rPr>
        <w:t xml:space="preserve"> et al., which targeted nurse groups in the UK’s National Health Service (NHS), focused on the link between work conditions and occupational burnout. The study found that three factors</w:t>
      </w:r>
      <w:r>
        <w:rPr>
          <w:rFonts w:ascii="Arial" w:hAnsi="Arial" w:cs="Arial"/>
          <w:sz w:val="22"/>
          <w:szCs w:val="22"/>
        </w:rPr>
        <w:t xml:space="preserve"> </w:t>
      </w:r>
      <w:r w:rsidRPr="00E75D23">
        <w:rPr>
          <w:rFonts w:ascii="Arial" w:hAnsi="Arial" w:cs="Arial"/>
          <w:sz w:val="22"/>
          <w:szCs w:val="22"/>
        </w:rPr>
        <w:t>long shift patterns, chronic understaffing, and insufficient recovery time between shifts</w:t>
      </w:r>
      <w:r>
        <w:rPr>
          <w:rFonts w:ascii="Arial" w:hAnsi="Arial" w:cs="Arial"/>
          <w:sz w:val="22"/>
          <w:szCs w:val="22"/>
        </w:rPr>
        <w:t xml:space="preserve"> </w:t>
      </w:r>
      <w:r w:rsidRPr="00E75D23">
        <w:rPr>
          <w:rFonts w:ascii="Arial" w:hAnsi="Arial" w:cs="Arial"/>
          <w:sz w:val="22"/>
          <w:szCs w:val="22"/>
        </w:rPr>
        <w:t>are strongly correlated with high burnout rates. The intention to resign driven by burnout further worsens workforce shortages, forming a self-reinforcing cycle of bidirectional deterioration. The study proposed that systematic investments are needed to improve staffing levels and work conditions to break this predicament.</w:t>
      </w:r>
      <w:r>
        <w:rPr>
          <w:rFonts w:ascii="Arial" w:hAnsi="Arial" w:cs="Arial"/>
          <w:sz w:val="22"/>
          <w:szCs w:val="22"/>
        </w:rPr>
        <w:t xml:space="preserve"> </w:t>
      </w:r>
    </w:p>
    <w:p w14:paraId="35299AE4" w14:textId="035F1369" w:rsidR="00E75D23" w:rsidRDefault="00E75D23" w:rsidP="00E75D23">
      <w:pPr>
        <w:rPr>
          <w:rFonts w:ascii="Arial" w:hAnsi="Arial" w:cs="Arial"/>
          <w:sz w:val="22"/>
          <w:szCs w:val="22"/>
        </w:rPr>
      </w:pPr>
      <w:r>
        <w:rPr>
          <w:rFonts w:ascii="Arial" w:hAnsi="Arial" w:cs="Arial"/>
          <w:sz w:val="22"/>
          <w:szCs w:val="22"/>
        </w:rPr>
        <w:t xml:space="preserve">Article 2; </w:t>
      </w:r>
    </w:p>
    <w:p w14:paraId="53ADEA59" w14:textId="40970E6A" w:rsidR="00E75D23" w:rsidRDefault="00E75D23" w:rsidP="00E75D23">
      <w:pPr>
        <w:rPr>
          <w:rFonts w:ascii="Arial" w:hAnsi="Arial" w:cs="Arial"/>
          <w:sz w:val="22"/>
          <w:szCs w:val="22"/>
        </w:rPr>
      </w:pPr>
      <w:r w:rsidRPr="00E75D23">
        <w:rPr>
          <w:rFonts w:ascii="Arial" w:hAnsi="Arial" w:cs="Arial"/>
          <w:sz w:val="22"/>
          <w:szCs w:val="22"/>
        </w:rPr>
        <w:t>Greenberg</w:t>
      </w:r>
      <w:r>
        <w:rPr>
          <w:rFonts w:ascii="Arial" w:hAnsi="Arial" w:cs="Arial"/>
          <w:sz w:val="22"/>
          <w:szCs w:val="22"/>
        </w:rPr>
        <w:t xml:space="preserve"> </w:t>
      </w:r>
      <w:r w:rsidRPr="00E75D23">
        <w:rPr>
          <w:rFonts w:ascii="Arial" w:hAnsi="Arial" w:cs="Arial"/>
          <w:sz w:val="22"/>
          <w:szCs w:val="22"/>
        </w:rPr>
        <w:t>et al. conducted a relevant study focused on the NHS in 2020.</w:t>
      </w:r>
      <w:r>
        <w:rPr>
          <w:rFonts w:ascii="Arial" w:hAnsi="Arial" w:cs="Arial"/>
          <w:sz w:val="22"/>
          <w:szCs w:val="22"/>
        </w:rPr>
        <w:t xml:space="preserve"> </w:t>
      </w:r>
    </w:p>
    <w:p w14:paraId="6756C702" w14:textId="77777777" w:rsidR="00E75D23" w:rsidRPr="00E75D23" w:rsidRDefault="00E75D23" w:rsidP="00E75D23">
      <w:pPr>
        <w:rPr>
          <w:rFonts w:ascii="Arial" w:hAnsi="Arial" w:cs="Arial"/>
          <w:sz w:val="22"/>
          <w:szCs w:val="22"/>
        </w:rPr>
      </w:pPr>
    </w:p>
    <w:p w14:paraId="2DAEC552" w14:textId="3F21876F" w:rsidR="00E75D23" w:rsidRDefault="00E75D23" w:rsidP="00E75D23">
      <w:pPr>
        <w:rPr>
          <w:rFonts w:ascii="Arial" w:hAnsi="Arial" w:cs="Arial"/>
          <w:sz w:val="22"/>
          <w:szCs w:val="22"/>
        </w:rPr>
      </w:pPr>
      <w:r w:rsidRPr="00E75D23">
        <w:rPr>
          <w:rFonts w:ascii="Arial" w:hAnsi="Arial" w:cs="Arial"/>
          <w:sz w:val="22"/>
          <w:szCs w:val="22"/>
        </w:rPr>
        <w:t>The 2020 study published by Greenberg et al. in The Lancet, a top</w:t>
      </w:r>
      <w:r>
        <w:rPr>
          <w:rFonts w:ascii="Arial" w:hAnsi="Arial" w:cs="Arial"/>
          <w:sz w:val="22"/>
          <w:szCs w:val="22"/>
        </w:rPr>
        <w:t xml:space="preserve"> </w:t>
      </w:r>
      <w:r w:rsidRPr="00E75D23">
        <w:rPr>
          <w:rFonts w:ascii="Arial" w:hAnsi="Arial" w:cs="Arial"/>
          <w:sz w:val="22"/>
          <w:szCs w:val="22"/>
        </w:rPr>
        <w:t>tier medical journal, focused on staff of the UK’s National Health Service (NHS). It examined the psychological impact of high</w:t>
      </w:r>
      <w:r>
        <w:rPr>
          <w:rFonts w:ascii="Arial" w:hAnsi="Arial" w:cs="Arial"/>
          <w:sz w:val="22"/>
          <w:szCs w:val="22"/>
        </w:rPr>
        <w:t xml:space="preserve"> </w:t>
      </w:r>
      <w:r w:rsidRPr="00E75D23">
        <w:rPr>
          <w:rFonts w:ascii="Arial" w:hAnsi="Arial" w:cs="Arial"/>
          <w:sz w:val="22"/>
          <w:szCs w:val="22"/>
        </w:rPr>
        <w:t>intensity occupational stress on this group, as well as the conditions that trigger burnout across different occupational subgroups. The study found that the combination of three categories of risk factors significantly increases employees’ vulnerability to burnout. It proposed that burnout is a systemic outcome spawned by flaws in the system’s structure, rather than a personal failure. The study warned that if investments are not made in three core support resources, the sustainability of the NHS workforce will</w:t>
      </w:r>
      <w:r>
        <w:rPr>
          <w:rFonts w:ascii="Arial" w:hAnsi="Arial" w:cs="Arial"/>
          <w:sz w:val="22"/>
          <w:szCs w:val="22"/>
        </w:rPr>
        <w:t xml:space="preserve"> </w:t>
      </w:r>
      <w:r w:rsidRPr="00E75D23">
        <w:rPr>
          <w:rFonts w:ascii="Arial" w:hAnsi="Arial" w:cs="Arial"/>
          <w:sz w:val="22"/>
          <w:szCs w:val="22"/>
        </w:rPr>
        <w:lastRenderedPageBreak/>
        <w:t xml:space="preserve">face extremely high risks. It also advocated for embedding psychological safety and well-being support into organizational </w:t>
      </w:r>
      <w:proofErr w:type="gramStart"/>
      <w:r w:rsidRPr="00E75D23">
        <w:rPr>
          <w:rFonts w:ascii="Arial" w:hAnsi="Arial" w:cs="Arial"/>
          <w:sz w:val="22"/>
          <w:szCs w:val="22"/>
        </w:rPr>
        <w:t>culture, and</w:t>
      </w:r>
      <w:proofErr w:type="gramEnd"/>
      <w:r w:rsidRPr="00E75D23">
        <w:rPr>
          <w:rFonts w:ascii="Arial" w:hAnsi="Arial" w:cs="Arial"/>
          <w:sz w:val="22"/>
          <w:szCs w:val="22"/>
        </w:rPr>
        <w:t xml:space="preserve"> advancing this work as a primary urgent task.</w:t>
      </w:r>
      <w:r>
        <w:rPr>
          <w:rFonts w:ascii="Arial" w:hAnsi="Arial" w:cs="Arial"/>
          <w:sz w:val="22"/>
          <w:szCs w:val="22"/>
        </w:rPr>
        <w:t xml:space="preserve"> </w:t>
      </w:r>
    </w:p>
    <w:p w14:paraId="61F8335D" w14:textId="77777777" w:rsidR="00E75D23" w:rsidRDefault="00E75D23" w:rsidP="00E75D23">
      <w:pPr>
        <w:rPr>
          <w:rFonts w:ascii="Arial" w:hAnsi="Arial" w:cs="Arial"/>
          <w:sz w:val="22"/>
          <w:szCs w:val="22"/>
        </w:rPr>
      </w:pPr>
    </w:p>
    <w:p w14:paraId="29757FA9" w14:textId="12AAF613" w:rsidR="00E75D23" w:rsidRDefault="00E75D23" w:rsidP="00E75D23">
      <w:pPr>
        <w:rPr>
          <w:rFonts w:ascii="Arial" w:hAnsi="Arial" w:cs="Arial"/>
          <w:sz w:val="22"/>
          <w:szCs w:val="22"/>
        </w:rPr>
      </w:pPr>
      <w:r>
        <w:rPr>
          <w:rFonts w:ascii="Arial" w:hAnsi="Arial" w:cs="Arial"/>
          <w:sz w:val="22"/>
          <w:szCs w:val="22"/>
        </w:rPr>
        <w:t xml:space="preserve">Task 5, Record a podcast. </w:t>
      </w:r>
      <w:r w:rsidR="00316A49">
        <w:rPr>
          <w:rFonts w:ascii="Arial" w:hAnsi="Arial" w:cs="Arial"/>
          <w:sz w:val="22"/>
          <w:szCs w:val="22"/>
        </w:rPr>
        <w:t xml:space="preserve"> </w:t>
      </w:r>
    </w:p>
    <w:p w14:paraId="7E1F4BC3" w14:textId="0C737576" w:rsidR="006B2B02" w:rsidRDefault="00316A49" w:rsidP="00E75D23">
      <w:pPr>
        <w:rPr>
          <w:rFonts w:ascii="Arial" w:hAnsi="Arial" w:cs="Arial"/>
          <w:sz w:val="22"/>
          <w:szCs w:val="22"/>
        </w:rPr>
      </w:pPr>
      <w:r>
        <w:rPr>
          <w:rFonts w:ascii="Arial" w:hAnsi="Arial" w:cs="Arial"/>
          <w:sz w:val="22"/>
          <w:szCs w:val="22"/>
        </w:rPr>
        <w:t>Hospital to Home Navigator Service</w:t>
      </w:r>
      <w:r w:rsidR="00F15B28">
        <w:rPr>
          <w:rFonts w:ascii="Arial" w:hAnsi="Arial" w:cs="Arial"/>
          <w:sz w:val="22"/>
          <w:szCs w:val="22"/>
        </w:rPr>
        <w:t xml:space="preserve"> for Adults Leaving Prison </w:t>
      </w:r>
      <w:proofErr w:type="gramStart"/>
      <w:r w:rsidR="00F15B28">
        <w:rPr>
          <w:rFonts w:ascii="Arial" w:hAnsi="Arial" w:cs="Arial"/>
          <w:sz w:val="22"/>
          <w:szCs w:val="22"/>
        </w:rPr>
        <w:t>With</w:t>
      </w:r>
      <w:proofErr w:type="gramEnd"/>
      <w:r w:rsidR="00F15B28">
        <w:rPr>
          <w:rFonts w:ascii="Arial" w:hAnsi="Arial" w:cs="Arial"/>
          <w:sz w:val="22"/>
          <w:szCs w:val="22"/>
        </w:rPr>
        <w:t xml:space="preserve"> Complex Health Needs. </w:t>
      </w:r>
    </w:p>
    <w:p w14:paraId="7577D9EA" w14:textId="77777777" w:rsidR="00316A49" w:rsidRDefault="00316A49" w:rsidP="00316A49">
      <w:pPr>
        <w:pStyle w:val="Heading1"/>
      </w:pPr>
      <w:r>
        <w:t>Audio file</w:t>
      </w:r>
    </w:p>
    <w:p w14:paraId="6930C8F4" w14:textId="61818825" w:rsidR="00316A49" w:rsidRPr="006B2B02" w:rsidRDefault="00316A49" w:rsidP="00316A49">
      <w:pPr>
        <w:rPr>
          <w:rFonts w:ascii="Arial" w:hAnsi="Arial" w:cs="Arial"/>
          <w:color w:val="467886" w:themeColor="hyperlink"/>
          <w:sz w:val="22"/>
          <w:szCs w:val="22"/>
          <w:u w:val="single"/>
        </w:rPr>
      </w:pPr>
      <w:r>
        <w:fldChar w:fldCharType="begin"/>
      </w:r>
      <w:r>
        <w:instrText>HYPERLINK "https://uowtsd-my.sharepoint.com/personal/2424667_student_uwtsd_ac_uk/Documents/Transcribed%20Files/my-recording.mp3"</w:instrText>
      </w:r>
      <w:r>
        <w:fldChar w:fldCharType="separate"/>
      </w:r>
      <w:r w:rsidRPr="00316A49">
        <w:rPr>
          <w:rStyle w:val="Hyperlink"/>
        </w:rPr>
        <w:t>my-recording.mp3</w:t>
      </w:r>
      <w:r>
        <w:rPr>
          <w:rStyle w:val="Hyperlink"/>
        </w:rPr>
        <w:t xml:space="preserve">  </w:t>
      </w:r>
      <w:r w:rsidR="006551B7">
        <w:rPr>
          <w:rStyle w:val="Hyperlink"/>
        </w:rPr>
        <w:t xml:space="preserve">  </w:t>
      </w:r>
      <w:r w:rsidR="006B2B02">
        <w:rPr>
          <w:rStyle w:val="Hyperlink"/>
        </w:rPr>
        <w:t xml:space="preserve">                                                                                                                             </w:t>
      </w:r>
    </w:p>
    <w:p w14:paraId="6F464C08" w14:textId="1D8A91E2" w:rsidR="00316A49" w:rsidRPr="00316A49" w:rsidRDefault="00316A49" w:rsidP="00316A49"/>
    <w:p w14:paraId="7A115728" w14:textId="7DA648DD" w:rsidR="00316A49" w:rsidRPr="00316A49" w:rsidRDefault="00316A49" w:rsidP="00316A49">
      <w:pPr>
        <w:rPr>
          <w:rStyle w:val="Hyperlink"/>
          <w:color w:val="auto"/>
          <w:u w:val="none"/>
        </w:rPr>
      </w:pPr>
    </w:p>
    <w:p w14:paraId="4FD9AD43" w14:textId="44CC1C76" w:rsidR="00316A49" w:rsidRDefault="00316A49" w:rsidP="00E75D23">
      <w:r>
        <w:fldChar w:fldCharType="end"/>
      </w:r>
      <w:r w:rsidR="006B2B02">
        <w:t xml:space="preserve">Task 6. </w:t>
      </w:r>
    </w:p>
    <w:p w14:paraId="18CFF93C" w14:textId="75588544" w:rsidR="006B2B02" w:rsidRDefault="006B2B02" w:rsidP="00E75D23">
      <w:r>
        <w:t xml:space="preserve">NHS Leadership Framework. </w:t>
      </w:r>
    </w:p>
    <w:p w14:paraId="397AAD6D" w14:textId="471115A1" w:rsidR="009017F8" w:rsidRPr="009017F8" w:rsidRDefault="009017F8" w:rsidP="00E75D23">
      <w:pPr>
        <w:rPr>
          <w:rFonts w:ascii="Arial" w:hAnsi="Arial" w:cs="Arial"/>
          <w:sz w:val="22"/>
          <w:szCs w:val="22"/>
        </w:rPr>
      </w:pPr>
      <w:r>
        <w:t>Part 1. Com</w:t>
      </w:r>
      <w:r>
        <w:rPr>
          <w:rFonts w:ascii="Arial" w:hAnsi="Arial" w:cs="Arial"/>
          <w:sz w:val="22"/>
          <w:szCs w:val="22"/>
        </w:rPr>
        <w:t xml:space="preserve">ponents of the NHS. </w:t>
      </w:r>
    </w:p>
    <w:p w14:paraId="3849B0D4" w14:textId="757CF6DF" w:rsidR="009017F8" w:rsidRDefault="004536AF" w:rsidP="009017F8">
      <w:pPr>
        <w:rPr>
          <w:rFonts w:ascii="Arial" w:hAnsi="Arial" w:cs="Arial"/>
          <w:sz w:val="22"/>
          <w:szCs w:val="22"/>
        </w:rPr>
      </w:pPr>
      <w:r w:rsidRPr="004536AF">
        <w:rPr>
          <w:rFonts w:ascii="Arial" w:hAnsi="Arial" w:cs="Arial"/>
          <w:sz w:val="22"/>
          <w:szCs w:val="22"/>
        </w:rPr>
        <w:t>The NHS Leadership Framework (NHS Leadership Academy 2013) published the tool with the intention of the creation and enhancement of professional leadership in healthcare and social care across the UK. UK based leadership frameworks dispel the traditional concept that leadership is a function of managerial roles. Rather, leadership is a responsibility and function of all staff from the most senior and executive staff through to frontline workers.</w:t>
      </w:r>
      <w:r>
        <w:rPr>
          <w:rFonts w:ascii="Arial" w:hAnsi="Arial" w:cs="Arial"/>
          <w:sz w:val="22"/>
          <w:szCs w:val="22"/>
        </w:rPr>
        <w:t xml:space="preserve"> </w:t>
      </w:r>
      <w:r w:rsidRPr="004536AF">
        <w:rPr>
          <w:rFonts w:ascii="Arial" w:hAnsi="Arial" w:cs="Arial"/>
          <w:sz w:val="22"/>
          <w:szCs w:val="22"/>
        </w:rPr>
        <w:t>According to the framework, seven core domains or areas are constituted by: Demonstrating Personal Qualities, Working with Others, Managing Services, Improving Services, Setting Direction, Creating the Vision, and Delivering the Strategy. These domains can be divided into four functional categories. The first is individual competency, which consists of Demonstrating Personal Qualities. The second is team collaboration, which consists of Working with Others. Operational optimization consists of Managing Services and Improving Services, while strategy implementation consists of Setting Direction, Creating the Vision, and Delivering the Strategy. The framework further articulates, based on the relevant work of (West et al. 2015) and (Storey and Holti 2013), that effective leadership first and foremost focuses on the organizational culture and then on the well-being of the employees, which in turn affects the quality of care that the employees of the organization provide to the customers.</w:t>
      </w:r>
    </w:p>
    <w:p w14:paraId="44EC1216" w14:textId="0AE70EC0" w:rsidR="009017F8" w:rsidRDefault="009017F8" w:rsidP="009017F8">
      <w:pPr>
        <w:rPr>
          <w:rFonts w:ascii="Arial" w:hAnsi="Arial" w:cs="Arial"/>
          <w:sz w:val="22"/>
          <w:szCs w:val="22"/>
        </w:rPr>
      </w:pPr>
      <w:r>
        <w:rPr>
          <w:rFonts w:ascii="Arial" w:hAnsi="Arial" w:cs="Arial"/>
          <w:sz w:val="22"/>
          <w:szCs w:val="22"/>
        </w:rPr>
        <w:t xml:space="preserve">Part 2. Improving Services and care. </w:t>
      </w:r>
    </w:p>
    <w:p w14:paraId="07D6CAEF" w14:textId="144700E6" w:rsidR="009017F8" w:rsidRDefault="004536AF" w:rsidP="009017F8">
      <w:pPr>
        <w:rPr>
          <w:rFonts w:ascii="Arial" w:hAnsi="Arial" w:cs="Arial"/>
          <w:sz w:val="22"/>
          <w:szCs w:val="22"/>
        </w:rPr>
      </w:pPr>
      <w:r w:rsidRPr="004536AF">
        <w:rPr>
          <w:rFonts w:ascii="Arial" w:hAnsi="Arial" w:cs="Arial"/>
          <w:sz w:val="22"/>
          <w:szCs w:val="22"/>
        </w:rPr>
        <w:t xml:space="preserve">Another service improvement valued by staff is the redesign of care pathways using innovation. West et al. (2015), say the most effective method of developing innovation within NHS services is through improvement of services. In the improvement of services, a leader seeks to build psychological safety at a redesign forum and encourages the removal of unnecessary barriers </w:t>
      </w:r>
      <w:r w:rsidR="00534E81">
        <w:rPr>
          <w:rFonts w:ascii="Arial" w:hAnsi="Arial" w:cs="Arial"/>
          <w:sz w:val="22"/>
          <w:szCs w:val="22"/>
        </w:rPr>
        <w:t xml:space="preserve">and championing successful innovations to senior management are equally important, ensuring that good ideas are adopted rather than lost. Applied this way, improving services achieves a dual outcome, raising service quality while restoring staff </w:t>
      </w:r>
      <w:r w:rsidR="00534E81">
        <w:rPr>
          <w:rFonts w:ascii="Arial" w:hAnsi="Arial" w:cs="Arial"/>
          <w:sz w:val="22"/>
          <w:szCs w:val="22"/>
        </w:rPr>
        <w:lastRenderedPageBreak/>
        <w:t xml:space="preserve">professional autonomy and reducing burnout, a conclusion corroborated by the NHS Leadership Academy (2013,). </w:t>
      </w:r>
    </w:p>
    <w:p w14:paraId="1E4F3FD7" w14:textId="77777777" w:rsidR="009017F8" w:rsidRDefault="009017F8" w:rsidP="009017F8">
      <w:pPr>
        <w:rPr>
          <w:rFonts w:ascii="Arial" w:hAnsi="Arial" w:cs="Arial"/>
          <w:sz w:val="22"/>
          <w:szCs w:val="22"/>
        </w:rPr>
      </w:pPr>
    </w:p>
    <w:p w14:paraId="75960A57" w14:textId="5AD74BF9" w:rsidR="009017F8" w:rsidRDefault="009017F8" w:rsidP="009017F8">
      <w:pPr>
        <w:rPr>
          <w:rFonts w:ascii="Arial" w:hAnsi="Arial" w:cs="Arial"/>
          <w:sz w:val="22"/>
          <w:szCs w:val="22"/>
        </w:rPr>
      </w:pPr>
      <w:r>
        <w:rPr>
          <w:rFonts w:ascii="Arial" w:hAnsi="Arial" w:cs="Arial"/>
          <w:sz w:val="22"/>
          <w:szCs w:val="22"/>
        </w:rPr>
        <w:t xml:space="preserve">Task 7. </w:t>
      </w:r>
      <w:proofErr w:type="spellStart"/>
      <w:r>
        <w:rPr>
          <w:rFonts w:ascii="Arial" w:hAnsi="Arial" w:cs="Arial"/>
          <w:sz w:val="22"/>
          <w:szCs w:val="22"/>
        </w:rPr>
        <w:t>Self Reflection</w:t>
      </w:r>
      <w:proofErr w:type="spellEnd"/>
      <w:r>
        <w:rPr>
          <w:rFonts w:ascii="Arial" w:hAnsi="Arial" w:cs="Arial"/>
          <w:sz w:val="22"/>
          <w:szCs w:val="22"/>
        </w:rPr>
        <w:t xml:space="preserve"> Journal Entry. </w:t>
      </w:r>
    </w:p>
    <w:p w14:paraId="4E0D1884" w14:textId="54F708F6" w:rsidR="00F15B28" w:rsidRPr="00F15B28" w:rsidRDefault="00F15B28" w:rsidP="00F15B28">
      <w:pPr>
        <w:rPr>
          <w:rFonts w:ascii="Arial" w:hAnsi="Arial" w:cs="Arial"/>
          <w:sz w:val="22"/>
          <w:szCs w:val="22"/>
        </w:rPr>
      </w:pPr>
      <w:r w:rsidRPr="00F15B28">
        <w:rPr>
          <w:rFonts w:ascii="Arial" w:hAnsi="Arial" w:cs="Arial"/>
          <w:sz w:val="22"/>
          <w:szCs w:val="22"/>
        </w:rPr>
        <w:t>Beginning this module, I understood creativity in health and social care largely in superficial terms as something peripheral to professional practice rather than central to it. That understanding has shifted profoundly. Through engaging with each task, I have come to recognise creativity not as an abstract concept but as a practical, purposeful tool for generating real value within care systems.</w:t>
      </w:r>
    </w:p>
    <w:p w14:paraId="67725359" w14:textId="7DBED855" w:rsidR="00F15B28" w:rsidRPr="00F15B28" w:rsidRDefault="00F15B28" w:rsidP="00F15B28">
      <w:pPr>
        <w:rPr>
          <w:rFonts w:ascii="Arial" w:hAnsi="Arial" w:cs="Arial"/>
          <w:sz w:val="22"/>
          <w:szCs w:val="22"/>
        </w:rPr>
      </w:pPr>
      <w:r w:rsidRPr="00F15B28">
        <w:rPr>
          <w:rFonts w:ascii="Arial" w:hAnsi="Arial" w:cs="Arial"/>
          <w:sz w:val="22"/>
          <w:szCs w:val="22"/>
        </w:rPr>
        <w:t xml:space="preserve">The Paperclip activity was a turning point. Initially hesitant, I discovered that divergent thinking the deliberate suspension of </w:t>
      </w:r>
      <w:proofErr w:type="spellStart"/>
      <w:r w:rsidRPr="00F15B28">
        <w:rPr>
          <w:rFonts w:ascii="Arial" w:hAnsi="Arial" w:cs="Arial"/>
          <w:sz w:val="22"/>
          <w:szCs w:val="22"/>
        </w:rPr>
        <w:t>self</w:t>
      </w:r>
      <w:r w:rsidR="008F7D1B">
        <w:rPr>
          <w:rFonts w:ascii="Arial" w:hAnsi="Arial" w:cs="Arial"/>
          <w:sz w:val="22"/>
          <w:szCs w:val="22"/>
        </w:rPr>
        <w:t xml:space="preserve"> </w:t>
      </w:r>
      <w:r w:rsidRPr="00F15B28">
        <w:rPr>
          <w:rFonts w:ascii="Arial" w:hAnsi="Arial" w:cs="Arial"/>
          <w:sz w:val="22"/>
          <w:szCs w:val="22"/>
        </w:rPr>
        <w:t>judgement</w:t>
      </w:r>
      <w:proofErr w:type="spellEnd"/>
      <w:r w:rsidRPr="00F15B28">
        <w:rPr>
          <w:rFonts w:ascii="Arial" w:hAnsi="Arial" w:cs="Arial"/>
          <w:sz w:val="22"/>
          <w:szCs w:val="22"/>
        </w:rPr>
        <w:t xml:space="preserve"> unlocks possibilities that convergent, risk</w:t>
      </w:r>
      <w:r w:rsidR="008F7D1B">
        <w:rPr>
          <w:rFonts w:ascii="Arial" w:hAnsi="Arial" w:cs="Arial"/>
          <w:sz w:val="22"/>
          <w:szCs w:val="22"/>
        </w:rPr>
        <w:t xml:space="preserve"> </w:t>
      </w:r>
      <w:r w:rsidRPr="00F15B28">
        <w:rPr>
          <w:rFonts w:ascii="Arial" w:hAnsi="Arial" w:cs="Arial"/>
          <w:sz w:val="22"/>
          <w:szCs w:val="22"/>
        </w:rPr>
        <w:t>averse thinking simply cannot access. This resonated deeply with my understanding of health and social care practice, where innovation is frequently stifled by procedural caution rather than nurtured.</w:t>
      </w:r>
    </w:p>
    <w:p w14:paraId="27F45D8B" w14:textId="0FD540CA" w:rsidR="00F15B28" w:rsidRPr="00F15B28" w:rsidRDefault="00F15B28" w:rsidP="00F15B28">
      <w:pPr>
        <w:rPr>
          <w:rFonts w:ascii="Arial" w:hAnsi="Arial" w:cs="Arial"/>
          <w:sz w:val="22"/>
          <w:szCs w:val="22"/>
        </w:rPr>
      </w:pPr>
      <w:r w:rsidRPr="00F15B28">
        <w:rPr>
          <w:rFonts w:ascii="Arial" w:hAnsi="Arial" w:cs="Arial"/>
          <w:sz w:val="22"/>
          <w:szCs w:val="22"/>
        </w:rPr>
        <w:t xml:space="preserve">Exploring staff burnout reinforced that systemic creativity is not a luxury but a necessity. When professionals are exhausted and undervalued, the capacity for innovative, </w:t>
      </w:r>
      <w:proofErr w:type="gramStart"/>
      <w:r w:rsidRPr="00F15B28">
        <w:rPr>
          <w:rFonts w:ascii="Arial" w:hAnsi="Arial" w:cs="Arial"/>
          <w:sz w:val="22"/>
          <w:szCs w:val="22"/>
        </w:rPr>
        <w:t>person</w:t>
      </w:r>
      <w:r w:rsidR="008F7D1B">
        <w:rPr>
          <w:rFonts w:ascii="Arial" w:hAnsi="Arial" w:cs="Arial"/>
          <w:sz w:val="22"/>
          <w:szCs w:val="22"/>
        </w:rPr>
        <w:t xml:space="preserve"> </w:t>
      </w:r>
      <w:r w:rsidRPr="00F15B28">
        <w:rPr>
          <w:rFonts w:ascii="Arial" w:hAnsi="Arial" w:cs="Arial"/>
          <w:sz w:val="22"/>
          <w:szCs w:val="22"/>
        </w:rPr>
        <w:t>centred</w:t>
      </w:r>
      <w:proofErr w:type="gramEnd"/>
      <w:r w:rsidRPr="00F15B28">
        <w:rPr>
          <w:rFonts w:ascii="Arial" w:hAnsi="Arial" w:cs="Arial"/>
          <w:sz w:val="22"/>
          <w:szCs w:val="22"/>
        </w:rPr>
        <w:t xml:space="preserve"> care diminishes significantly. Leadership, as the NHS Leadership Framework demonstrates, must actively cultivate the conditions for creative practice to flourish.</w:t>
      </w:r>
    </w:p>
    <w:p w14:paraId="64B559A9" w14:textId="7785D5E5" w:rsidR="00F15B28" w:rsidRPr="00F15B28" w:rsidRDefault="00F15B28" w:rsidP="00F15B28">
      <w:pPr>
        <w:rPr>
          <w:rFonts w:ascii="Arial" w:hAnsi="Arial" w:cs="Arial"/>
          <w:sz w:val="22"/>
          <w:szCs w:val="22"/>
        </w:rPr>
      </w:pPr>
      <w:r w:rsidRPr="00F15B28">
        <w:rPr>
          <w:rFonts w:ascii="Arial" w:hAnsi="Arial" w:cs="Arial"/>
          <w:sz w:val="22"/>
          <w:szCs w:val="22"/>
        </w:rPr>
        <w:t>Perhaps most significantly, choosing the Hospital to Home Navigator Service as my innovation confirmed that creativity in health and social care is fundamentally an act of social justice identifying those most invisible to the system and designing solutions that restore their dignity and equity.</w:t>
      </w:r>
    </w:p>
    <w:p w14:paraId="2D3AA924" w14:textId="5CC9AFFC" w:rsidR="009017F8" w:rsidRDefault="00F15B28" w:rsidP="00F15B28">
      <w:pPr>
        <w:rPr>
          <w:rFonts w:ascii="Arial" w:hAnsi="Arial" w:cs="Arial"/>
          <w:sz w:val="22"/>
          <w:szCs w:val="22"/>
        </w:rPr>
      </w:pPr>
      <w:r w:rsidRPr="00F15B28">
        <w:rPr>
          <w:rFonts w:ascii="Arial" w:hAnsi="Arial" w:cs="Arial"/>
          <w:sz w:val="22"/>
          <w:szCs w:val="22"/>
        </w:rPr>
        <w:t>This module has not simply informed my academic thinking. It has genuinely shaped how I intend to practise.</w:t>
      </w:r>
      <w:r>
        <w:rPr>
          <w:rFonts w:ascii="Arial" w:hAnsi="Arial" w:cs="Arial"/>
          <w:sz w:val="22"/>
          <w:szCs w:val="22"/>
        </w:rPr>
        <w:t xml:space="preserve">  </w:t>
      </w:r>
    </w:p>
    <w:p w14:paraId="514318AC" w14:textId="77777777" w:rsidR="00F15B28" w:rsidRDefault="00F15B28" w:rsidP="00F15B28">
      <w:pPr>
        <w:rPr>
          <w:rFonts w:ascii="Arial" w:hAnsi="Arial" w:cs="Arial"/>
          <w:sz w:val="22"/>
          <w:szCs w:val="22"/>
        </w:rPr>
      </w:pPr>
    </w:p>
    <w:p w14:paraId="716703E9" w14:textId="4A91974D" w:rsidR="00F15B28" w:rsidRDefault="00F15B28" w:rsidP="00F15B28">
      <w:pPr>
        <w:rPr>
          <w:rFonts w:ascii="Arial" w:hAnsi="Arial" w:cs="Arial"/>
          <w:sz w:val="22"/>
          <w:szCs w:val="22"/>
        </w:rPr>
      </w:pPr>
      <w:r>
        <w:rPr>
          <w:rFonts w:ascii="Arial" w:hAnsi="Arial" w:cs="Arial"/>
          <w:sz w:val="22"/>
          <w:szCs w:val="22"/>
        </w:rPr>
        <w:t xml:space="preserve">References </w:t>
      </w:r>
    </w:p>
    <w:p w14:paraId="3ABC430F" w14:textId="77777777" w:rsidR="00F15B28" w:rsidRPr="00F15B28" w:rsidRDefault="00F15B28" w:rsidP="00F15B28">
      <w:pPr>
        <w:rPr>
          <w:rFonts w:ascii="Arial" w:hAnsi="Arial" w:cs="Arial"/>
          <w:sz w:val="22"/>
          <w:szCs w:val="22"/>
        </w:rPr>
      </w:pPr>
      <w:proofErr w:type="spellStart"/>
      <w:r w:rsidRPr="00F15B28">
        <w:rPr>
          <w:rFonts w:ascii="Arial" w:hAnsi="Arial" w:cs="Arial"/>
          <w:sz w:val="22"/>
          <w:szCs w:val="22"/>
        </w:rPr>
        <w:t>Batalden</w:t>
      </w:r>
      <w:proofErr w:type="spellEnd"/>
      <w:r w:rsidRPr="00F15B28">
        <w:rPr>
          <w:rFonts w:ascii="Arial" w:hAnsi="Arial" w:cs="Arial"/>
          <w:sz w:val="22"/>
          <w:szCs w:val="22"/>
        </w:rPr>
        <w:t xml:space="preserve">, M., </w:t>
      </w:r>
      <w:proofErr w:type="spellStart"/>
      <w:r w:rsidRPr="00F15B28">
        <w:rPr>
          <w:rFonts w:ascii="Arial" w:hAnsi="Arial" w:cs="Arial"/>
          <w:sz w:val="22"/>
          <w:szCs w:val="22"/>
        </w:rPr>
        <w:t>Batalden</w:t>
      </w:r>
      <w:proofErr w:type="spellEnd"/>
      <w:r w:rsidRPr="00F15B28">
        <w:rPr>
          <w:rFonts w:ascii="Arial" w:hAnsi="Arial" w:cs="Arial"/>
          <w:sz w:val="22"/>
          <w:szCs w:val="22"/>
        </w:rPr>
        <w:t xml:space="preserve">, P., Margolis, P., Seid, M., Armstrong, G., </w:t>
      </w:r>
      <w:proofErr w:type="spellStart"/>
      <w:r w:rsidRPr="00F15B28">
        <w:rPr>
          <w:rFonts w:ascii="Arial" w:hAnsi="Arial" w:cs="Arial"/>
          <w:sz w:val="22"/>
          <w:szCs w:val="22"/>
        </w:rPr>
        <w:t>Opipari-Arrigan</w:t>
      </w:r>
      <w:proofErr w:type="spellEnd"/>
      <w:r w:rsidRPr="00F15B28">
        <w:rPr>
          <w:rFonts w:ascii="Arial" w:hAnsi="Arial" w:cs="Arial"/>
          <w:sz w:val="22"/>
          <w:szCs w:val="22"/>
        </w:rPr>
        <w:t>, L. and Hartung, H. (2016) 'Coproduction of healthcare service', BMJ Quality and Safety, 25(7), pp. 509–517.</w:t>
      </w:r>
    </w:p>
    <w:p w14:paraId="63655FE1" w14:textId="77777777" w:rsidR="00F15B28" w:rsidRPr="00F15B28" w:rsidRDefault="00F15B28" w:rsidP="00F15B28">
      <w:pPr>
        <w:rPr>
          <w:rFonts w:ascii="Arial" w:hAnsi="Arial" w:cs="Arial"/>
          <w:sz w:val="22"/>
          <w:szCs w:val="22"/>
        </w:rPr>
      </w:pPr>
      <w:r w:rsidRPr="00F15B28">
        <w:rPr>
          <w:rFonts w:ascii="Arial" w:hAnsi="Arial" w:cs="Arial"/>
          <w:sz w:val="22"/>
          <w:szCs w:val="22"/>
        </w:rPr>
        <w:t>Cropley, A. (2015) Creativity in Education and Learning: A Guide for Teachers and Educators. Abingdon: Routledge.</w:t>
      </w:r>
    </w:p>
    <w:p w14:paraId="431C14E1" w14:textId="77777777" w:rsidR="00F15B28" w:rsidRPr="00F15B28" w:rsidRDefault="00F15B28" w:rsidP="00F15B28">
      <w:pPr>
        <w:rPr>
          <w:rFonts w:ascii="Arial" w:hAnsi="Arial" w:cs="Arial"/>
          <w:sz w:val="22"/>
          <w:szCs w:val="22"/>
        </w:rPr>
      </w:pPr>
      <w:proofErr w:type="spellStart"/>
      <w:r w:rsidRPr="00F15B28">
        <w:rPr>
          <w:rFonts w:ascii="Arial" w:hAnsi="Arial" w:cs="Arial"/>
          <w:sz w:val="22"/>
          <w:szCs w:val="22"/>
        </w:rPr>
        <w:t>Dall'Ora</w:t>
      </w:r>
      <w:proofErr w:type="spellEnd"/>
      <w:r w:rsidRPr="00F15B28">
        <w:rPr>
          <w:rFonts w:ascii="Arial" w:hAnsi="Arial" w:cs="Arial"/>
          <w:sz w:val="22"/>
          <w:szCs w:val="22"/>
        </w:rPr>
        <w:t xml:space="preserve">, C., Ball, J., </w:t>
      </w:r>
      <w:proofErr w:type="spellStart"/>
      <w:r w:rsidRPr="00F15B28">
        <w:rPr>
          <w:rFonts w:ascii="Arial" w:hAnsi="Arial" w:cs="Arial"/>
          <w:sz w:val="22"/>
          <w:szCs w:val="22"/>
        </w:rPr>
        <w:t>Reinius</w:t>
      </w:r>
      <w:proofErr w:type="spellEnd"/>
      <w:r w:rsidRPr="00F15B28">
        <w:rPr>
          <w:rFonts w:ascii="Arial" w:hAnsi="Arial" w:cs="Arial"/>
          <w:sz w:val="22"/>
          <w:szCs w:val="22"/>
        </w:rPr>
        <w:t>, M. and Griffiths, P. (2020) 'Burnout in nursing: a theoretical review', Human Resources for Health, 18(1), pp. 1–17.</w:t>
      </w:r>
    </w:p>
    <w:p w14:paraId="2759C2EC" w14:textId="77777777" w:rsidR="00F15B28" w:rsidRPr="00F15B28" w:rsidRDefault="00F15B28" w:rsidP="00F15B28">
      <w:pPr>
        <w:rPr>
          <w:rFonts w:ascii="Arial" w:hAnsi="Arial" w:cs="Arial"/>
          <w:sz w:val="22"/>
          <w:szCs w:val="22"/>
        </w:rPr>
      </w:pPr>
      <w:r w:rsidRPr="00F15B28">
        <w:rPr>
          <w:rFonts w:ascii="Arial" w:hAnsi="Arial" w:cs="Arial"/>
          <w:sz w:val="22"/>
          <w:szCs w:val="22"/>
        </w:rPr>
        <w:t>Edmondson, A.C. (2018) The Fearless Organization: Creating Psychological Safety in the Workplace for Learning, Innovation and Growth. Hoboken: John Wiley and Sons.</w:t>
      </w:r>
    </w:p>
    <w:p w14:paraId="3997A0A4" w14:textId="77777777" w:rsidR="00F15B28" w:rsidRPr="00F15B28" w:rsidRDefault="00F15B28" w:rsidP="00F15B28">
      <w:pPr>
        <w:rPr>
          <w:rFonts w:ascii="Arial" w:hAnsi="Arial" w:cs="Arial"/>
          <w:sz w:val="22"/>
          <w:szCs w:val="22"/>
        </w:rPr>
      </w:pPr>
      <w:r w:rsidRPr="00F15B28">
        <w:rPr>
          <w:rFonts w:ascii="Arial" w:hAnsi="Arial" w:cs="Arial"/>
          <w:sz w:val="22"/>
          <w:szCs w:val="22"/>
        </w:rPr>
        <w:t>Fazel, S. and Baillargeon, J. (2011) 'The health of prisoners', The Lancet, 377(9769), pp. 956–965.</w:t>
      </w:r>
    </w:p>
    <w:p w14:paraId="08FA834E" w14:textId="77777777" w:rsidR="00F15B28" w:rsidRPr="00F15B28" w:rsidRDefault="00F15B28" w:rsidP="00F15B28">
      <w:pPr>
        <w:rPr>
          <w:rFonts w:ascii="Arial" w:hAnsi="Arial" w:cs="Arial"/>
          <w:sz w:val="22"/>
          <w:szCs w:val="22"/>
        </w:rPr>
      </w:pPr>
      <w:r w:rsidRPr="00F15B28">
        <w:rPr>
          <w:rFonts w:ascii="Arial" w:hAnsi="Arial" w:cs="Arial"/>
          <w:sz w:val="22"/>
          <w:szCs w:val="22"/>
        </w:rPr>
        <w:t>Gibbs, G. (1988) Learning by Doing: A Guide to Teaching and Learning Methods. Oxford: Further Education Unit, Oxford Polytechnic.</w:t>
      </w:r>
    </w:p>
    <w:p w14:paraId="0D8C0501" w14:textId="77777777" w:rsidR="00F15B28" w:rsidRPr="00F15B28" w:rsidRDefault="00F15B28" w:rsidP="00F15B28">
      <w:pPr>
        <w:rPr>
          <w:rFonts w:ascii="Arial" w:hAnsi="Arial" w:cs="Arial"/>
          <w:sz w:val="22"/>
          <w:szCs w:val="22"/>
        </w:rPr>
      </w:pPr>
      <w:r w:rsidRPr="00F15B28">
        <w:rPr>
          <w:rFonts w:ascii="Arial" w:hAnsi="Arial" w:cs="Arial"/>
          <w:sz w:val="22"/>
          <w:szCs w:val="22"/>
        </w:rPr>
        <w:lastRenderedPageBreak/>
        <w:t xml:space="preserve">Greenberg, N., Weston, D., Hall, C., </w:t>
      </w:r>
      <w:proofErr w:type="spellStart"/>
      <w:r w:rsidRPr="00F15B28">
        <w:rPr>
          <w:rFonts w:ascii="Arial" w:hAnsi="Arial" w:cs="Arial"/>
          <w:sz w:val="22"/>
          <w:szCs w:val="22"/>
        </w:rPr>
        <w:t>Stevelink</w:t>
      </w:r>
      <w:proofErr w:type="spellEnd"/>
      <w:r w:rsidRPr="00F15B28">
        <w:rPr>
          <w:rFonts w:ascii="Arial" w:hAnsi="Arial" w:cs="Arial"/>
          <w:sz w:val="22"/>
          <w:szCs w:val="22"/>
        </w:rPr>
        <w:t xml:space="preserve">, S., Williamson, V. and </w:t>
      </w:r>
      <w:proofErr w:type="spellStart"/>
      <w:r w:rsidRPr="00F15B28">
        <w:rPr>
          <w:rFonts w:ascii="Arial" w:hAnsi="Arial" w:cs="Arial"/>
          <w:sz w:val="22"/>
          <w:szCs w:val="22"/>
        </w:rPr>
        <w:t>Bhundia</w:t>
      </w:r>
      <w:proofErr w:type="spellEnd"/>
      <w:r w:rsidRPr="00F15B28">
        <w:rPr>
          <w:rFonts w:ascii="Arial" w:hAnsi="Arial" w:cs="Arial"/>
          <w:sz w:val="22"/>
          <w:szCs w:val="22"/>
        </w:rPr>
        <w:t xml:space="preserve">, R. (2020) 'Mental health of staff working in intensive care during the COVID-19 pandemic', </w:t>
      </w:r>
      <w:proofErr w:type="spellStart"/>
      <w:r w:rsidRPr="00F15B28">
        <w:rPr>
          <w:rFonts w:ascii="Arial" w:hAnsi="Arial" w:cs="Arial"/>
          <w:sz w:val="22"/>
          <w:szCs w:val="22"/>
        </w:rPr>
        <w:t>BJPsych</w:t>
      </w:r>
      <w:proofErr w:type="spellEnd"/>
      <w:r w:rsidRPr="00F15B28">
        <w:rPr>
          <w:rFonts w:ascii="Arial" w:hAnsi="Arial" w:cs="Arial"/>
          <w:sz w:val="22"/>
          <w:szCs w:val="22"/>
        </w:rPr>
        <w:t xml:space="preserve"> Open, 7(1), pp. 1–9.</w:t>
      </w:r>
    </w:p>
    <w:p w14:paraId="4FA8BDA5" w14:textId="77777777" w:rsidR="00F15B28" w:rsidRPr="00F15B28" w:rsidRDefault="00F15B28" w:rsidP="00F15B28">
      <w:pPr>
        <w:rPr>
          <w:rFonts w:ascii="Arial" w:hAnsi="Arial" w:cs="Arial"/>
          <w:sz w:val="22"/>
          <w:szCs w:val="22"/>
        </w:rPr>
      </w:pPr>
      <w:r w:rsidRPr="00F15B28">
        <w:rPr>
          <w:rFonts w:ascii="Arial" w:hAnsi="Arial" w:cs="Arial"/>
          <w:sz w:val="22"/>
          <w:szCs w:val="22"/>
        </w:rPr>
        <w:t>Ham, C. (2014) Reforming the NHS from Within: Beyond Hierarchy, Inspection and Markets. London: The King's Fund.</w:t>
      </w:r>
    </w:p>
    <w:p w14:paraId="17804B52" w14:textId="36DDEB02" w:rsidR="00F15B28" w:rsidRPr="00F15B28" w:rsidRDefault="00F15B28" w:rsidP="00F15B28">
      <w:pPr>
        <w:rPr>
          <w:rFonts w:ascii="Arial" w:hAnsi="Arial" w:cs="Arial"/>
          <w:sz w:val="22"/>
          <w:szCs w:val="22"/>
        </w:rPr>
      </w:pPr>
      <w:r w:rsidRPr="00F15B28">
        <w:rPr>
          <w:rFonts w:ascii="Arial" w:hAnsi="Arial" w:cs="Arial"/>
          <w:sz w:val="22"/>
          <w:szCs w:val="22"/>
        </w:rPr>
        <w:t>NHS England (2023) Virtual Wards and Hospital at Home. Available at: https://www.england.nhs.uk/virtual-wards [Accessed 2</w:t>
      </w:r>
      <w:r>
        <w:rPr>
          <w:rFonts w:ascii="Arial" w:hAnsi="Arial" w:cs="Arial"/>
          <w:sz w:val="22"/>
          <w:szCs w:val="22"/>
        </w:rPr>
        <w:t xml:space="preserve"> July</w:t>
      </w:r>
      <w:r w:rsidRPr="00F15B28">
        <w:rPr>
          <w:rFonts w:ascii="Arial" w:hAnsi="Arial" w:cs="Arial"/>
          <w:sz w:val="22"/>
          <w:szCs w:val="22"/>
        </w:rPr>
        <w:t xml:space="preserve"> 2026].</w:t>
      </w:r>
    </w:p>
    <w:p w14:paraId="2FD63D3D" w14:textId="77777777" w:rsidR="00F15B28" w:rsidRPr="00F15B28" w:rsidRDefault="00F15B28" w:rsidP="00F15B28">
      <w:pPr>
        <w:rPr>
          <w:rFonts w:ascii="Arial" w:hAnsi="Arial" w:cs="Arial"/>
          <w:sz w:val="22"/>
          <w:szCs w:val="22"/>
        </w:rPr>
      </w:pPr>
      <w:r w:rsidRPr="00F15B28">
        <w:rPr>
          <w:rFonts w:ascii="Arial" w:hAnsi="Arial" w:cs="Arial"/>
          <w:sz w:val="22"/>
          <w:szCs w:val="22"/>
        </w:rPr>
        <w:t>NHS Leadership Academy (2013) Healthcare Leadership Model: The Nine Dimensions of Leadership Behaviour. Leeds: NHS Leadership Academy.</w:t>
      </w:r>
    </w:p>
    <w:p w14:paraId="48F82CB2" w14:textId="77777777" w:rsidR="00F15B28" w:rsidRPr="00F15B28" w:rsidRDefault="00F15B28" w:rsidP="00F15B28">
      <w:pPr>
        <w:rPr>
          <w:rFonts w:ascii="Arial" w:hAnsi="Arial" w:cs="Arial"/>
          <w:sz w:val="22"/>
          <w:szCs w:val="22"/>
        </w:rPr>
      </w:pPr>
      <w:r w:rsidRPr="00F15B28">
        <w:rPr>
          <w:rFonts w:ascii="Arial" w:hAnsi="Arial" w:cs="Arial"/>
          <w:sz w:val="22"/>
          <w:szCs w:val="22"/>
        </w:rPr>
        <w:t xml:space="preserve">Runco, M.A. (2014) Creativity: Theories and Themes: Research, Development and Practice. 2nd </w:t>
      </w:r>
      <w:proofErr w:type="spellStart"/>
      <w:r w:rsidRPr="00F15B28">
        <w:rPr>
          <w:rFonts w:ascii="Arial" w:hAnsi="Arial" w:cs="Arial"/>
          <w:sz w:val="22"/>
          <w:szCs w:val="22"/>
        </w:rPr>
        <w:t>edn</w:t>
      </w:r>
      <w:proofErr w:type="spellEnd"/>
      <w:r w:rsidRPr="00F15B28">
        <w:rPr>
          <w:rFonts w:ascii="Arial" w:hAnsi="Arial" w:cs="Arial"/>
          <w:sz w:val="22"/>
          <w:szCs w:val="22"/>
        </w:rPr>
        <w:t>. London: Elsevier Academic Press.</w:t>
      </w:r>
    </w:p>
    <w:p w14:paraId="73D772D7" w14:textId="77777777" w:rsidR="00F15B28" w:rsidRPr="00F15B28" w:rsidRDefault="00F15B28" w:rsidP="00F15B28">
      <w:pPr>
        <w:rPr>
          <w:rFonts w:ascii="Arial" w:hAnsi="Arial" w:cs="Arial"/>
          <w:sz w:val="22"/>
          <w:szCs w:val="22"/>
        </w:rPr>
      </w:pPr>
      <w:r w:rsidRPr="00F15B28">
        <w:rPr>
          <w:rFonts w:ascii="Arial" w:hAnsi="Arial" w:cs="Arial"/>
          <w:sz w:val="22"/>
          <w:szCs w:val="22"/>
        </w:rPr>
        <w:t>Storey, J. and Holti, R. (2013) Towards a New Model of Leadership for the NHS. London: NHS Leadership Academy.</w:t>
      </w:r>
    </w:p>
    <w:p w14:paraId="2B5D9B91" w14:textId="77777777" w:rsidR="00F15B28" w:rsidRPr="00F15B28" w:rsidRDefault="00F15B28" w:rsidP="00F15B28">
      <w:pPr>
        <w:rPr>
          <w:rFonts w:ascii="Arial" w:hAnsi="Arial" w:cs="Arial"/>
          <w:sz w:val="22"/>
          <w:szCs w:val="22"/>
        </w:rPr>
      </w:pPr>
      <w:r w:rsidRPr="00F15B28">
        <w:rPr>
          <w:rFonts w:ascii="Arial" w:hAnsi="Arial" w:cs="Arial"/>
          <w:sz w:val="22"/>
          <w:szCs w:val="22"/>
        </w:rPr>
        <w:t>Torfing, J., Andersen, L.B., Greve, C. and Klausen, K.K. (2019) Public Governance Paradigms: Competing and Co-Existing. Cheltenham: Edward Elgar Publishing.</w:t>
      </w:r>
    </w:p>
    <w:p w14:paraId="4125CE16" w14:textId="77777777" w:rsidR="00F15B28" w:rsidRPr="00F15B28" w:rsidRDefault="00F15B28" w:rsidP="00F15B28">
      <w:pPr>
        <w:rPr>
          <w:rFonts w:ascii="Arial" w:hAnsi="Arial" w:cs="Arial"/>
          <w:sz w:val="22"/>
          <w:szCs w:val="22"/>
        </w:rPr>
      </w:pPr>
      <w:r w:rsidRPr="00F15B28">
        <w:rPr>
          <w:rFonts w:ascii="Arial" w:hAnsi="Arial" w:cs="Arial"/>
          <w:sz w:val="22"/>
          <w:szCs w:val="22"/>
        </w:rPr>
        <w:t>Topol, E.J. (2019) Deep Medicine: How Artificial Intelligence Can Make Healthcare Human Again. New York: Basic Books.</w:t>
      </w:r>
    </w:p>
    <w:p w14:paraId="625FF59C" w14:textId="77777777" w:rsidR="00F15B28" w:rsidRPr="00F15B28" w:rsidRDefault="00F15B28" w:rsidP="00F15B28">
      <w:pPr>
        <w:rPr>
          <w:rFonts w:ascii="Arial" w:hAnsi="Arial" w:cs="Arial"/>
          <w:sz w:val="22"/>
          <w:szCs w:val="22"/>
        </w:rPr>
      </w:pPr>
      <w:r w:rsidRPr="00F15B28">
        <w:rPr>
          <w:rFonts w:ascii="Arial" w:hAnsi="Arial" w:cs="Arial"/>
          <w:sz w:val="22"/>
          <w:szCs w:val="22"/>
        </w:rPr>
        <w:t>West, M., Eckert, R., Steward, K. and Pasmore, B. (2015) Developing Collective Leadership for Healthcare. London: The King's Fund.</w:t>
      </w:r>
    </w:p>
    <w:p w14:paraId="44DA2E53" w14:textId="165E56CA" w:rsidR="00F15B28" w:rsidRDefault="00F15B28" w:rsidP="00F15B28">
      <w:pPr>
        <w:rPr>
          <w:rFonts w:ascii="Arial" w:hAnsi="Arial" w:cs="Arial"/>
          <w:sz w:val="22"/>
          <w:szCs w:val="22"/>
        </w:rPr>
      </w:pPr>
      <w:r w:rsidRPr="00F15B28">
        <w:rPr>
          <w:rFonts w:ascii="Arial" w:hAnsi="Arial" w:cs="Arial"/>
          <w:sz w:val="22"/>
          <w:szCs w:val="22"/>
        </w:rPr>
        <w:t>Williams, B., Poyser, J. and Hopkins, K. (2019) 'Accommodation, homelessness and reoffending of prisoners', Prison Service Journal, 207, pp. 3–9.</w:t>
      </w:r>
    </w:p>
    <w:p w14:paraId="4156DC53" w14:textId="77777777" w:rsidR="00F15B28" w:rsidRDefault="00F15B28" w:rsidP="00F15B28">
      <w:pPr>
        <w:rPr>
          <w:rFonts w:ascii="Arial" w:hAnsi="Arial" w:cs="Arial"/>
          <w:sz w:val="22"/>
          <w:szCs w:val="22"/>
        </w:rPr>
      </w:pPr>
    </w:p>
    <w:p w14:paraId="6BCC6FF4" w14:textId="77777777" w:rsidR="009017F8" w:rsidRPr="009017F8" w:rsidRDefault="009017F8" w:rsidP="009017F8">
      <w:pPr>
        <w:rPr>
          <w:rFonts w:ascii="Arial" w:hAnsi="Arial" w:cs="Arial"/>
          <w:sz w:val="22"/>
          <w:szCs w:val="22"/>
        </w:rPr>
      </w:pPr>
    </w:p>
    <w:p w14:paraId="1C59286D" w14:textId="77777777" w:rsidR="006B2B02" w:rsidRPr="006B2B02" w:rsidRDefault="006B2B02" w:rsidP="00E75D23"/>
    <w:p w14:paraId="200257C8" w14:textId="77777777" w:rsidR="00E75D23" w:rsidRDefault="00E75D23" w:rsidP="00E75D23">
      <w:pPr>
        <w:rPr>
          <w:rFonts w:ascii="Arial" w:hAnsi="Arial" w:cs="Arial"/>
          <w:sz w:val="22"/>
          <w:szCs w:val="22"/>
        </w:rPr>
      </w:pPr>
    </w:p>
    <w:p w14:paraId="702D9F2F" w14:textId="77777777" w:rsidR="003845E6" w:rsidRDefault="003845E6" w:rsidP="00A66C19">
      <w:pPr>
        <w:rPr>
          <w:rFonts w:ascii="Arial" w:hAnsi="Arial" w:cs="Arial"/>
          <w:sz w:val="22"/>
          <w:szCs w:val="22"/>
        </w:rPr>
      </w:pPr>
    </w:p>
    <w:p w14:paraId="5E66AA87" w14:textId="77777777" w:rsidR="00D702ED" w:rsidRDefault="00D702ED" w:rsidP="00A66C19">
      <w:pPr>
        <w:rPr>
          <w:rFonts w:ascii="Arial" w:hAnsi="Arial" w:cs="Arial"/>
          <w:sz w:val="22"/>
          <w:szCs w:val="22"/>
        </w:rPr>
      </w:pPr>
    </w:p>
    <w:p w14:paraId="2AD6B084" w14:textId="77777777" w:rsidR="00DC6EC5" w:rsidRPr="00A62E4A" w:rsidRDefault="00DC6EC5" w:rsidP="00A66C19">
      <w:pPr>
        <w:rPr>
          <w:rFonts w:ascii="Arial" w:hAnsi="Arial" w:cs="Arial"/>
          <w:sz w:val="22"/>
          <w:szCs w:val="22"/>
        </w:rPr>
      </w:pPr>
    </w:p>
    <w:sectPr w:rsidR="00DC6EC5" w:rsidRPr="00A62E4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BFE25" w14:textId="77777777" w:rsidR="005C74CA" w:rsidRDefault="005C74CA" w:rsidP="00A62E4A">
      <w:pPr>
        <w:spacing w:after="0" w:line="240" w:lineRule="auto"/>
      </w:pPr>
      <w:r>
        <w:separator/>
      </w:r>
    </w:p>
  </w:endnote>
  <w:endnote w:type="continuationSeparator" w:id="0">
    <w:p w14:paraId="4E2CE436" w14:textId="77777777" w:rsidR="005C74CA" w:rsidRDefault="005C74CA" w:rsidP="00A62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D46EA" w14:textId="77777777" w:rsidR="005C74CA" w:rsidRDefault="005C74CA" w:rsidP="00A62E4A">
      <w:pPr>
        <w:spacing w:after="0" w:line="240" w:lineRule="auto"/>
      </w:pPr>
      <w:r>
        <w:separator/>
      </w:r>
    </w:p>
  </w:footnote>
  <w:footnote w:type="continuationSeparator" w:id="0">
    <w:p w14:paraId="4F87F868" w14:textId="77777777" w:rsidR="005C74CA" w:rsidRDefault="005C74CA" w:rsidP="00A62E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35506"/>
      <w:docPartObj>
        <w:docPartGallery w:val="Page Numbers (Top of Page)"/>
        <w:docPartUnique/>
      </w:docPartObj>
    </w:sdtPr>
    <w:sdtEndPr>
      <w:rPr>
        <w:noProof/>
      </w:rPr>
    </w:sdtEndPr>
    <w:sdtContent>
      <w:p w14:paraId="60C38B64" w14:textId="22E17B5F" w:rsidR="00A62E4A" w:rsidRDefault="00A62E4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CEA309" w14:textId="77777777" w:rsidR="00A62E4A" w:rsidRDefault="00A62E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4A"/>
    <w:rsid w:val="00047C8F"/>
    <w:rsid w:val="00076046"/>
    <w:rsid w:val="00145BB5"/>
    <w:rsid w:val="0015535C"/>
    <w:rsid w:val="00170B17"/>
    <w:rsid w:val="00170B7A"/>
    <w:rsid w:val="00180DBD"/>
    <w:rsid w:val="001E6642"/>
    <w:rsid w:val="00207850"/>
    <w:rsid w:val="00210175"/>
    <w:rsid w:val="00286E84"/>
    <w:rsid w:val="00297C18"/>
    <w:rsid w:val="002B7367"/>
    <w:rsid w:val="002B7466"/>
    <w:rsid w:val="002D0D05"/>
    <w:rsid w:val="002E469F"/>
    <w:rsid w:val="00305622"/>
    <w:rsid w:val="0031385E"/>
    <w:rsid w:val="00316A49"/>
    <w:rsid w:val="00320508"/>
    <w:rsid w:val="00322919"/>
    <w:rsid w:val="003368B4"/>
    <w:rsid w:val="00374280"/>
    <w:rsid w:val="003845E6"/>
    <w:rsid w:val="00441018"/>
    <w:rsid w:val="00442CEA"/>
    <w:rsid w:val="004536AF"/>
    <w:rsid w:val="004B394A"/>
    <w:rsid w:val="004F2FE7"/>
    <w:rsid w:val="00534E81"/>
    <w:rsid w:val="00555365"/>
    <w:rsid w:val="00555B82"/>
    <w:rsid w:val="00557669"/>
    <w:rsid w:val="00566CCB"/>
    <w:rsid w:val="005C74CA"/>
    <w:rsid w:val="00651DA2"/>
    <w:rsid w:val="006551B7"/>
    <w:rsid w:val="006B2B02"/>
    <w:rsid w:val="006B2F7C"/>
    <w:rsid w:val="006B4ED1"/>
    <w:rsid w:val="006D7B33"/>
    <w:rsid w:val="0071796B"/>
    <w:rsid w:val="007457CB"/>
    <w:rsid w:val="00753216"/>
    <w:rsid w:val="007B5269"/>
    <w:rsid w:val="007C1EA2"/>
    <w:rsid w:val="00814804"/>
    <w:rsid w:val="008E588D"/>
    <w:rsid w:val="008F7D1B"/>
    <w:rsid w:val="009017F8"/>
    <w:rsid w:val="00915B50"/>
    <w:rsid w:val="00924E1F"/>
    <w:rsid w:val="00955355"/>
    <w:rsid w:val="00976EC7"/>
    <w:rsid w:val="009A7149"/>
    <w:rsid w:val="009C4AAC"/>
    <w:rsid w:val="009D7BA3"/>
    <w:rsid w:val="00A62E4A"/>
    <w:rsid w:val="00A66C19"/>
    <w:rsid w:val="00AC327C"/>
    <w:rsid w:val="00B04DC2"/>
    <w:rsid w:val="00B31E4E"/>
    <w:rsid w:val="00B36882"/>
    <w:rsid w:val="00B448DF"/>
    <w:rsid w:val="00B77AC6"/>
    <w:rsid w:val="00BB6FCA"/>
    <w:rsid w:val="00C167F1"/>
    <w:rsid w:val="00C44D37"/>
    <w:rsid w:val="00C51D17"/>
    <w:rsid w:val="00C52D49"/>
    <w:rsid w:val="00C55943"/>
    <w:rsid w:val="00CA0648"/>
    <w:rsid w:val="00CB5E92"/>
    <w:rsid w:val="00CB5F23"/>
    <w:rsid w:val="00CE5F66"/>
    <w:rsid w:val="00CF4DC9"/>
    <w:rsid w:val="00D312D7"/>
    <w:rsid w:val="00D637B6"/>
    <w:rsid w:val="00D702ED"/>
    <w:rsid w:val="00DC6EC5"/>
    <w:rsid w:val="00DF3618"/>
    <w:rsid w:val="00E70168"/>
    <w:rsid w:val="00E71547"/>
    <w:rsid w:val="00E72A22"/>
    <w:rsid w:val="00E72F69"/>
    <w:rsid w:val="00E75D23"/>
    <w:rsid w:val="00EA7D94"/>
    <w:rsid w:val="00F05E62"/>
    <w:rsid w:val="00F15B28"/>
    <w:rsid w:val="00F74C6D"/>
    <w:rsid w:val="00FB0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B606F"/>
  <w15:chartTrackingRefBased/>
  <w15:docId w15:val="{78205F8F-6F38-4AA0-AD91-8B4CDFAF4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E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E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E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E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E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E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E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E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E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E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E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E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E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E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E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E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E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E4A"/>
    <w:rPr>
      <w:rFonts w:eastAsiaTheme="majorEastAsia" w:cstheme="majorBidi"/>
      <w:color w:val="272727" w:themeColor="text1" w:themeTint="D8"/>
    </w:rPr>
  </w:style>
  <w:style w:type="paragraph" w:styleId="Title">
    <w:name w:val="Title"/>
    <w:basedOn w:val="Normal"/>
    <w:next w:val="Normal"/>
    <w:link w:val="TitleChar"/>
    <w:uiPriority w:val="10"/>
    <w:qFormat/>
    <w:rsid w:val="00A62E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E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E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E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E4A"/>
    <w:pPr>
      <w:spacing w:before="160"/>
      <w:jc w:val="center"/>
    </w:pPr>
    <w:rPr>
      <w:i/>
      <w:iCs/>
      <w:color w:val="404040" w:themeColor="text1" w:themeTint="BF"/>
    </w:rPr>
  </w:style>
  <w:style w:type="character" w:customStyle="1" w:styleId="QuoteChar">
    <w:name w:val="Quote Char"/>
    <w:basedOn w:val="DefaultParagraphFont"/>
    <w:link w:val="Quote"/>
    <w:uiPriority w:val="29"/>
    <w:rsid w:val="00A62E4A"/>
    <w:rPr>
      <w:i/>
      <w:iCs/>
      <w:color w:val="404040" w:themeColor="text1" w:themeTint="BF"/>
    </w:rPr>
  </w:style>
  <w:style w:type="paragraph" w:styleId="ListParagraph">
    <w:name w:val="List Paragraph"/>
    <w:basedOn w:val="Normal"/>
    <w:uiPriority w:val="34"/>
    <w:qFormat/>
    <w:rsid w:val="00A62E4A"/>
    <w:pPr>
      <w:ind w:left="720"/>
      <w:contextualSpacing/>
    </w:pPr>
  </w:style>
  <w:style w:type="character" w:styleId="IntenseEmphasis">
    <w:name w:val="Intense Emphasis"/>
    <w:basedOn w:val="DefaultParagraphFont"/>
    <w:uiPriority w:val="21"/>
    <w:qFormat/>
    <w:rsid w:val="00A62E4A"/>
    <w:rPr>
      <w:i/>
      <w:iCs/>
      <w:color w:val="0F4761" w:themeColor="accent1" w:themeShade="BF"/>
    </w:rPr>
  </w:style>
  <w:style w:type="paragraph" w:styleId="IntenseQuote">
    <w:name w:val="Intense Quote"/>
    <w:basedOn w:val="Normal"/>
    <w:next w:val="Normal"/>
    <w:link w:val="IntenseQuoteChar"/>
    <w:uiPriority w:val="30"/>
    <w:qFormat/>
    <w:rsid w:val="00A62E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E4A"/>
    <w:rPr>
      <w:i/>
      <w:iCs/>
      <w:color w:val="0F4761" w:themeColor="accent1" w:themeShade="BF"/>
    </w:rPr>
  </w:style>
  <w:style w:type="character" w:styleId="IntenseReference">
    <w:name w:val="Intense Reference"/>
    <w:basedOn w:val="DefaultParagraphFont"/>
    <w:uiPriority w:val="32"/>
    <w:qFormat/>
    <w:rsid w:val="00A62E4A"/>
    <w:rPr>
      <w:b/>
      <w:bCs/>
      <w:smallCaps/>
      <w:color w:val="0F4761" w:themeColor="accent1" w:themeShade="BF"/>
      <w:spacing w:val="5"/>
    </w:rPr>
  </w:style>
  <w:style w:type="paragraph" w:styleId="Header">
    <w:name w:val="header"/>
    <w:basedOn w:val="Normal"/>
    <w:link w:val="HeaderChar"/>
    <w:uiPriority w:val="99"/>
    <w:unhideWhenUsed/>
    <w:rsid w:val="00A62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E4A"/>
  </w:style>
  <w:style w:type="paragraph" w:styleId="Footer">
    <w:name w:val="footer"/>
    <w:basedOn w:val="Normal"/>
    <w:link w:val="FooterChar"/>
    <w:uiPriority w:val="99"/>
    <w:unhideWhenUsed/>
    <w:rsid w:val="00A62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E4A"/>
  </w:style>
  <w:style w:type="character" w:styleId="Hyperlink">
    <w:name w:val="Hyperlink"/>
    <w:basedOn w:val="DefaultParagraphFont"/>
    <w:uiPriority w:val="99"/>
    <w:unhideWhenUsed/>
    <w:rsid w:val="00316A49"/>
    <w:rPr>
      <w:color w:val="467886" w:themeColor="hyperlink"/>
      <w:u w:val="single"/>
    </w:rPr>
  </w:style>
  <w:style w:type="character" w:styleId="UnresolvedMention">
    <w:name w:val="Unresolved Mention"/>
    <w:basedOn w:val="DefaultParagraphFont"/>
    <w:uiPriority w:val="99"/>
    <w:semiHidden/>
    <w:unhideWhenUsed/>
    <w:rsid w:val="00316A49"/>
    <w:rPr>
      <w:color w:val="605E5C"/>
      <w:shd w:val="clear" w:color="auto" w:fill="E1DFDD"/>
    </w:rPr>
  </w:style>
  <w:style w:type="character" w:styleId="FollowedHyperlink">
    <w:name w:val="FollowedHyperlink"/>
    <w:basedOn w:val="DefaultParagraphFont"/>
    <w:uiPriority w:val="99"/>
    <w:semiHidden/>
    <w:unhideWhenUsed/>
    <w:rsid w:val="00316A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1d2892f15b40d7eeb84b2ad146cbcd">
  <xsd:schema xmlns:xsd="http://www.w3.org/2001/XMLSchema" xmlns:xs="http://www.w3.org/2001/XMLSchema" xmlns:p="http://schemas.microsoft.com/office/2006/metadata/properties" xmlns:ns3="ccfc14db-0f45-423b-b2f5-752f8f8a0ada" targetNamespace="http://schemas.microsoft.com/office/2006/metadata/properties" ma:root="true" ma:fieldsID="2ad51a59005074aa92aa2d973473421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storedTranscription xmlns="http://schemas.microsoft.com/office/transcription/2022">{"storageType":"DocumentXmlStorage","descriptor":{"transcription":{"transcriptSegments":[{"text":"Hello and welcome.","language":"en","start":0.24,"end":1.12,"speakerId":0},{"text":"My name is Nagin, and today I want to introduce you to an innovation I believe has the potential to transform lives and address one of the most of adult health inequalities in the United Kingdom, the hospital-to-home navigator service for adults living in prison with complex health needs.","language":"en","start":1.8399999999999999,"end":17.6,"speakerId":1},{"text":"Consider this, when someone is released from prison, they face an overwhelming transition","language":"en","start":17.96,"end":22.080000000000002,"speakerId":1},{"text":"They may have no fixed address, no GP registration, no prescription, continuity, and no support network.","language":"en","start":22.48,"end":28.560000000000002,"speakerId":1},{"text":"For those living in complex health needs such as diabetes, mental health conditions, or substance dependency, this moment of release can be genuinely life-threatening.","language":"en","start":28.759999999999998,"end":36.8,"speakerId":1},{"text":"Research consistently shows that the period immediately following release from prison carries an especially high risk of hospitalization, overdose, and preventable death .","language":"en","start":37.12,"end":48.089999999999996,"speakerId":1},{"text":"So what is a hospital-to-home navigator service?","language":"en","start":48.48,"end":51.04,"speakerId":1},{"text":"It is an innovative person-centered transitional care model that places a dedicated health navigator alongside individuals from the final weeks of their prison sentence through to settlement in the community.","language":"en","start":51.04,"end":64.48,"speakerId":1},{"text":"The navigator coordinates GP registration, medication continuity, mental health referrals, housing support, and social care connections, ensuring that release does not meet abandonment.","language":"en","start":64.64,"end":75.6,"speakerId":1},{"text":"The initiative directly addresses a critical gap in current service provision.","language":"en","start":76.56,"end":80.88,"speakerId":1},{"text":"It applies creativity and value creation in health and social care by reimagining how existing services connect, collaborate, and communicate across traditional boundaries (NHS England 2023).","language":"en","start":80.88,"end":92.72,"speakerId":1},{"text":"The value created is profound, reducing emergency admission.","language":"en","start":93.44,"end":96.8,"speakerId":1},{"text":"improved health outcome and now importantly restore dignity and equity for one of society's most vulnerable population, William et al 2019.","language":"en","start":97.19999999999999,"end":105.75999999999999,"speakerId":1},{"text":"This is not just innovation, this is compassionate, intelligent care design and it is exactly the kind of thinking our health and social care system needs more of it.","language":"en","start":106.24,"end":117.03999999999999,"speakerId":1},{"text":"Thank you for listening.","language":"en","start":117.36,"end":118.4,"speakerId":2}],"speakerNames":[null,null,null]},"audioOneDriveItem":{"driveId":"b!LL9KpJzQ2USsuPozzeAsltcWBYA4fHVGoUiC262Pd5bbFPzMRQ87QrL1dS-Pigra","itemId":"01D55GTCHZETEAXMTS7ZFISATRDRQUH5PX"}}}</storedTranscription>
</file>

<file path=customXml/itemProps1.xml><?xml version="1.0" encoding="utf-8"?>
<ds:datastoreItem xmlns:ds="http://schemas.openxmlformats.org/officeDocument/2006/customXml" ds:itemID="{7EDA43C5-D2F9-4059-A9FE-2D2CBD400DEB}">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639C2BD3-753C-40E1-AACC-287BA2EE8A3E}">
  <ds:schemaRefs>
    <ds:schemaRef ds:uri="http://schemas.microsoft.com/sharepoint/v3/contenttype/forms"/>
  </ds:schemaRefs>
</ds:datastoreItem>
</file>

<file path=customXml/itemProps3.xml><?xml version="1.0" encoding="utf-8"?>
<ds:datastoreItem xmlns:ds="http://schemas.openxmlformats.org/officeDocument/2006/customXml" ds:itemID="{CD408A19-C52F-427F-B7FE-D490C0EE9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C5D6345-8237-42DD-9E18-69F325AE464B}">
  <ds:schemaRefs>
    <ds:schemaRef ds:uri="http://schemas.openxmlformats.org/officeDocument/2006/bibliography"/>
  </ds:schemaRefs>
</ds:datastoreItem>
</file>

<file path=customXml/itemProps5.xml><?xml version="1.0" encoding="utf-8"?>
<ds:datastoreItem xmlns:ds="http://schemas.openxmlformats.org/officeDocument/2006/customXml" ds:itemID="{2C6A5BA6-CD81-427F-A5AA-1CDA6C290F0D}">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8</Pages>
  <Words>2233</Words>
  <Characters>12729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53</cp:revision>
  <dcterms:created xsi:type="dcterms:W3CDTF">2026-05-20T19:41:00Z</dcterms:created>
  <dcterms:modified xsi:type="dcterms:W3CDTF">2026-06-27T16:17:00Z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