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06E27" w14:textId="77777777" w:rsidR="00DC7081" w:rsidRPr="008928D2" w:rsidRDefault="00DC7081" w:rsidP="008928D2">
      <w:pPr>
        <w:spacing w:line="480" w:lineRule="auto"/>
        <w:jc w:val="both"/>
        <w:rPr>
          <w:b/>
          <w:sz w:val="24"/>
        </w:rPr>
      </w:pPr>
      <w:r w:rsidRPr="008928D2">
        <w:rPr>
          <w:b/>
          <w:sz w:val="24"/>
        </w:rPr>
        <w:t>How effective were medieval representations of the differences between hell and purgatory?</w:t>
      </w:r>
    </w:p>
    <w:p w14:paraId="0373BA83" w14:textId="77777777" w:rsidR="007A1FF2" w:rsidRDefault="007A1FF2" w:rsidP="008928D2">
      <w:pPr>
        <w:spacing w:line="480" w:lineRule="auto"/>
        <w:jc w:val="both"/>
      </w:pPr>
    </w:p>
    <w:p w14:paraId="627DC59D" w14:textId="72F6DC70" w:rsidR="00C97B0A" w:rsidRDefault="009D221F" w:rsidP="008928D2">
      <w:pPr>
        <w:spacing w:line="480" w:lineRule="auto"/>
        <w:jc w:val="both"/>
      </w:pPr>
      <w:r>
        <w:t xml:space="preserve">Medieval representations of the differences between hell and purgatory did vary depending on numerous factors such as artistic movement, location and </w:t>
      </w:r>
      <w:r w:rsidR="00B11127">
        <w:t>position</w:t>
      </w:r>
      <w:r>
        <w:t xml:space="preserve"> during the epoch, but on the whole the two </w:t>
      </w:r>
      <w:r w:rsidR="00957FB3">
        <w:t>concepts of afterlife did tend to</w:t>
      </w:r>
      <w:r>
        <w:t xml:space="preserve"> </w:t>
      </w:r>
      <w:r w:rsidR="00C97B0A">
        <w:t xml:space="preserve">be depicted similarly. </w:t>
      </w:r>
      <w:r w:rsidR="00B11127">
        <w:t>This was likely due, in part, to the similarity of the concepts.</w:t>
      </w:r>
    </w:p>
    <w:p w14:paraId="20CF1865" w14:textId="43683D28" w:rsidR="00256D53" w:rsidRDefault="00A00344" w:rsidP="008928D2">
      <w:pPr>
        <w:spacing w:line="480" w:lineRule="auto"/>
        <w:jc w:val="both"/>
      </w:pPr>
      <w:r>
        <w:t>In Catholic mythology, both hell and purgatory</w:t>
      </w:r>
      <w:r w:rsidR="00256D53">
        <w:t xml:space="preserve"> featured</w:t>
      </w:r>
      <w:r>
        <w:t xml:space="preserve"> </w:t>
      </w:r>
      <w:r w:rsidR="00256D53">
        <w:t xml:space="preserve">considerable amounts of </w:t>
      </w:r>
      <w:r>
        <w:t xml:space="preserve">fire to purge the sins of the deceased. </w:t>
      </w:r>
      <w:r w:rsidR="00256D53">
        <w:t xml:space="preserve">The primary difference lay in the </w:t>
      </w:r>
      <w:r w:rsidR="00CF3EB3">
        <w:t>permanence:</w:t>
      </w:r>
      <w:r w:rsidR="00256D53">
        <w:t xml:space="preserve"> </w:t>
      </w:r>
      <w:r w:rsidR="00CF3EB3">
        <w:t>i</w:t>
      </w:r>
      <w:r w:rsidR="00256D53">
        <w:t xml:space="preserve">n hell, the </w:t>
      </w:r>
      <w:r w:rsidR="007106DA">
        <w:t>burning torment was permanent whereas i</w:t>
      </w:r>
      <w:r w:rsidR="00256D53">
        <w:t>n purgatory, the flames were ostensibly temporary, as the living prayed for the souls of the dead and upon the day of judgement those souls would be removed to heaven.</w:t>
      </w:r>
    </w:p>
    <w:p w14:paraId="43E7A5EB" w14:textId="77777777" w:rsidR="00C3009D" w:rsidRDefault="00256D53" w:rsidP="008928D2">
      <w:pPr>
        <w:spacing w:line="480" w:lineRule="auto"/>
        <w:jc w:val="both"/>
      </w:pPr>
      <w:r>
        <w:t>The concept of purg</w:t>
      </w:r>
      <w:r w:rsidR="0088627D">
        <w:t>atory was added to the Catholic canon in the 1200s and became increasingly pervasive as the middle ages continued</w:t>
      </w:r>
      <w:r w:rsidR="00154D77">
        <w:t>, yet it had roots in Judaism and similar concepts were present in other religions</w:t>
      </w:r>
      <w:r w:rsidR="0088627D">
        <w:t xml:space="preserve"> (Land, 2018). It was closely tied with the troublesome issu</w:t>
      </w:r>
      <w:r w:rsidR="00154D77">
        <w:t>e of indulgence</w:t>
      </w:r>
      <w:r w:rsidR="00A34FCF">
        <w:t>s, a development upon Church attitudes towards sin and indulgences combined with the highly legalistic mindsets of the medieval age: the sinner must still have a ‘debt’ to be paid (Marshall, 2009)</w:t>
      </w:r>
      <w:r w:rsidR="007C7844">
        <w:t>. Notably</w:t>
      </w:r>
      <w:r w:rsidR="00C3009D">
        <w:t xml:space="preserve">, as forgiveness of sins could be forgiven with payment, </w:t>
      </w:r>
      <w:r w:rsidR="007C7844">
        <w:t xml:space="preserve">this became closely associated with </w:t>
      </w:r>
      <w:r w:rsidR="00A34FCF">
        <w:t>C</w:t>
      </w:r>
      <w:r w:rsidR="007C7844">
        <w:t xml:space="preserve">hurch corruption and was a major element </w:t>
      </w:r>
      <w:r w:rsidR="00E17BC4">
        <w:t>of the Reformation.</w:t>
      </w:r>
      <w:r w:rsidR="00C3009D">
        <w:t xml:space="preserve"> With this theological and political backdrop, purgatory could be a trickier concept for the artist to depict than that of hell: its nature was somewhat more fluid.</w:t>
      </w:r>
    </w:p>
    <w:p w14:paraId="28D5104C" w14:textId="04F2DAAD" w:rsidR="00E17BC4" w:rsidRDefault="00C3009D" w:rsidP="008928D2">
      <w:pPr>
        <w:spacing w:line="480" w:lineRule="auto"/>
        <w:jc w:val="both"/>
        <w:rPr>
          <w:b/>
        </w:rPr>
      </w:pPr>
      <w:r>
        <w:t xml:space="preserve">Despite this, there are similar features present in much art depicting the more unpleasant parts of the Catholic afterlife. One such feature, the great black canine-like hell-mouth is present in a great deal of Catholic art dating far back into the early middle ages (long before the official acceptance of </w:t>
      </w:r>
      <w:r>
        <w:lastRenderedPageBreak/>
        <w:t>purgatory), often in illuminated manuscripts. These hell-mouth depictions are present in Anglo-Saxon illuminations and 13</w:t>
      </w:r>
      <w:r w:rsidRPr="00C3009D">
        <w:rPr>
          <w:vertAlign w:val="superscript"/>
        </w:rPr>
        <w:t>th</w:t>
      </w:r>
      <w:r>
        <w:t xml:space="preserve"> century psalters or books of hours alike</w:t>
      </w:r>
      <w:r w:rsidR="00870634">
        <w:t>.</w:t>
      </w:r>
    </w:p>
    <w:p w14:paraId="08166037" w14:textId="3DA4F90E" w:rsidR="008F40D6" w:rsidRDefault="00C97B0A" w:rsidP="008928D2">
      <w:pPr>
        <w:spacing w:line="480" w:lineRule="auto"/>
        <w:jc w:val="both"/>
      </w:pPr>
      <w:r>
        <w:t>The effectiv</w:t>
      </w:r>
      <w:r w:rsidR="008F0010">
        <w:t xml:space="preserve">eness of artistic depictions of the differences between purgatory and hell often depended greatly upon the artist. Even Hieronymus Bosch’s </w:t>
      </w:r>
      <w:r w:rsidR="00870634">
        <w:t xml:space="preserve">vivid </w:t>
      </w:r>
      <w:r w:rsidR="008F0010">
        <w:t xml:space="preserve">work is often dependent on prior knowledge of the viewer as to whether depicting purgatory or hell. Yet, </w:t>
      </w:r>
      <w:r w:rsidR="009D4369">
        <w:t>the contemporary audience for much of the work would have been cognisant of the meaning of the images already</w:t>
      </w:r>
      <w:r w:rsidR="001612FA">
        <w:t>.</w:t>
      </w:r>
      <w:r w:rsidR="007A1FF2">
        <w:t xml:space="preserve"> Medieval religious art was supplementary in nature to th</w:t>
      </w:r>
      <w:r w:rsidR="00870634">
        <w:t xml:space="preserve">e spread of religious knowledge, therefore acting often as a regular reminder of the viewer’s fate. </w:t>
      </w:r>
      <w:r w:rsidR="007106DA">
        <w:t xml:space="preserve">As in pictorial depictions of hell, the deceased souls are depicted as naked, often writhing in various torments (not always flame) </w:t>
      </w:r>
      <w:r w:rsidR="001612FA">
        <w:t>whilst being tortured by devils.</w:t>
      </w:r>
    </w:p>
    <w:p w14:paraId="276FF7FA" w14:textId="7CF36D77" w:rsidR="008F40D6" w:rsidRDefault="00B8432C" w:rsidP="008928D2">
      <w:pPr>
        <w:spacing w:line="480" w:lineRule="auto"/>
        <w:jc w:val="both"/>
      </w:pPr>
      <w:r>
        <w:t xml:space="preserve">Images dealing with the apocryphal gospel of Nicodemus and the Harrowing of Hell episode in particular are a good </w:t>
      </w:r>
      <w:r w:rsidR="001612FA">
        <w:t>area to examine for depictions of hell. Indeed, the gospel itself covers an episode dissimilar to elements of the</w:t>
      </w:r>
      <w:r w:rsidR="007A1FF2">
        <w:t xml:space="preserve"> modern bible (with the notable exception of the day of judgement), where Christ is depicted as a warlike figure appropriately enough for a medieval audience, on crusade to liberate the</w:t>
      </w:r>
      <w:r w:rsidR="00870634">
        <w:t xml:space="preserve"> worthy</w:t>
      </w:r>
      <w:r w:rsidR="007A1FF2">
        <w:t xml:space="preserve"> souls of hell. </w:t>
      </w:r>
      <w:r w:rsidR="00870634">
        <w:t>The hell-mouth is again evident here, often with a mass of naked figures following Christ out of hell</w:t>
      </w:r>
    </w:p>
    <w:p w14:paraId="168D921C" w14:textId="6E00900C" w:rsidR="008F40D6" w:rsidRPr="008F40D6" w:rsidRDefault="008F40D6" w:rsidP="008928D2">
      <w:pPr>
        <w:spacing w:line="480" w:lineRule="auto"/>
        <w:jc w:val="both"/>
        <w:rPr>
          <w:i/>
        </w:rPr>
      </w:pPr>
      <w:r>
        <w:t>There are often elements within medieval images depicting purgatory that set them apart from those depicting hell. One of these is an increased tendency towards depicting holy figures alongside the souls of the penitent</w:t>
      </w:r>
      <w:r w:rsidR="001C7D03">
        <w:t xml:space="preserve">. </w:t>
      </w:r>
      <w:bookmarkStart w:id="0" w:name="_GoBack"/>
      <w:bookmarkEnd w:id="0"/>
      <w:r>
        <w:t>In a number of examples, angels may be depicted actually removing a soul, bodily lifting them upwards. A further tendency is that the tormented souls present may also be in a stance of prayer, even while enshrouded in flame - indicating the process of purification rather than the permanence of the damnation of a soul to hell. Still other indicators can be found in colour choices, su</w:t>
      </w:r>
      <w:r w:rsidR="007A1FF2">
        <w:t>ch as more grey in the image.</w:t>
      </w:r>
    </w:p>
    <w:p w14:paraId="5AFF6F5D" w14:textId="326760B5" w:rsidR="008322E1" w:rsidRDefault="007106DA" w:rsidP="008928D2">
      <w:pPr>
        <w:spacing w:line="480" w:lineRule="auto"/>
        <w:jc w:val="both"/>
      </w:pPr>
      <w:r>
        <w:t>Literary depictions of the differences between purgatory and hell are quite a differe</w:t>
      </w:r>
      <w:r w:rsidR="00870634">
        <w:t xml:space="preserve">nt matter to the pictorial, though they too are varied in their representation. Perhaps the most famous view of purgatory is that found in the writings of Dante, and in some regards this work of fiction has become </w:t>
      </w:r>
      <w:r w:rsidR="00870634">
        <w:lastRenderedPageBreak/>
        <w:t>the formation of much of the popular conception of the “structure” of hell. Yet even at the time of writing, the work was considered to be a work of fiction</w:t>
      </w:r>
      <w:r w:rsidR="007C1512">
        <w:t>, not an attempt to claim absolute knowledge. Other literary sources however, such as</w:t>
      </w:r>
      <w:r w:rsidR="00990FCE">
        <w:t xml:space="preserve"> “eyewitness”</w:t>
      </w:r>
      <w:r w:rsidR="007A1FF2">
        <w:t xml:space="preserve"> reports of those who purported to have had</w:t>
      </w:r>
      <w:r w:rsidR="00990FCE">
        <w:t xml:space="preserve"> visions of </w:t>
      </w:r>
      <w:r w:rsidR="007A1FF2">
        <w:t xml:space="preserve">purgatory such as </w:t>
      </w:r>
      <w:r w:rsidR="00B95E99">
        <w:t xml:space="preserve">the </w:t>
      </w:r>
      <w:r w:rsidR="00031F7E">
        <w:t>V</w:t>
      </w:r>
      <w:r w:rsidR="00B95E99">
        <w:t xml:space="preserve">ision of the </w:t>
      </w:r>
      <w:r w:rsidR="00031F7E">
        <w:t xml:space="preserve">Monk of Enysham, </w:t>
      </w:r>
      <w:r w:rsidR="007C1512">
        <w:t>do indeed attempt to categorically ar</w:t>
      </w:r>
      <w:r w:rsidR="00D83E87">
        <w:t>gue the nature of the afterlife: “…until we came to a certain region that was broad and horrible to look at, like a quagmire of thick clay. There were countless numbers of men and women there, an infinity so it seemed, set to endure diverse and innumerable pains.” (</w:t>
      </w:r>
      <w:r w:rsidR="00D83E87">
        <w:rPr>
          <w:i/>
        </w:rPr>
        <w:t>The Vision of the Monk of Enysham)</w:t>
      </w:r>
      <w:r w:rsidR="00D83E87">
        <w:t xml:space="preserve"> Hellish indeed. Crucially however the piece mentions that “as [the tortured souls] progressed further their suffering was lessened and made easier to bear.” The idea of voluntary suffering being tightly linked with penance is reinforced numerous times in the document, both in the world of life (as monks beat each other with sticks) and in the life </w:t>
      </w:r>
      <w:r w:rsidR="008322E1">
        <w:t>hereafter</w:t>
      </w:r>
      <w:r w:rsidR="00D83E87">
        <w:t>.</w:t>
      </w:r>
      <w:r w:rsidR="008322E1">
        <w:t xml:space="preserve">  Al</w:t>
      </w:r>
      <w:r w:rsidR="00E947FE">
        <w:t>l in all the work which was written in 1196 dramatically reinforces a vision of purgatory.</w:t>
      </w:r>
    </w:p>
    <w:p w14:paraId="20A59D53" w14:textId="5D5D2FCB" w:rsidR="007106DA" w:rsidRPr="00B95E99" w:rsidRDefault="00D83E87" w:rsidP="008928D2">
      <w:pPr>
        <w:spacing w:line="480" w:lineRule="auto"/>
        <w:jc w:val="both"/>
      </w:pPr>
      <w:r>
        <w:t xml:space="preserve"> </w:t>
      </w:r>
      <w:r w:rsidR="00981FB2">
        <w:t>Theologically, medieval commentators such as Catherine of Genoa had highly positive attitudes towards purgatory: “</w:t>
      </w:r>
      <w:r w:rsidR="00981FB2" w:rsidRPr="00981FB2">
        <w:t>There is no peace to be compared with that of the souls in purgatory, save that of the saints in paradise, and this peace is ever augmented by the inflowing of God into these souls, which increases in proportion as the impediments to it are removed.</w:t>
      </w:r>
      <w:r w:rsidR="00981FB2">
        <w:t xml:space="preserve">” </w:t>
      </w:r>
      <w:r w:rsidR="00981FB2" w:rsidRPr="00CA62C3">
        <w:rPr>
          <w:i/>
        </w:rPr>
        <w:t>(</w:t>
      </w:r>
      <w:r w:rsidR="00CA62C3" w:rsidRPr="00CA62C3">
        <w:rPr>
          <w:i/>
        </w:rPr>
        <w:t>Catherine of Genoa, Treatise on purgatory, 1447-1510)</w:t>
      </w:r>
    </w:p>
    <w:p w14:paraId="42D4469F" w14:textId="0204545E" w:rsidR="007A1FF2" w:rsidRPr="007A1FF2" w:rsidRDefault="007A1FF2" w:rsidP="008928D2">
      <w:pPr>
        <w:spacing w:line="480" w:lineRule="auto"/>
        <w:jc w:val="both"/>
      </w:pPr>
      <w:r>
        <w:t xml:space="preserve">Ultimately, the effectiveness of medieval representations of the differences between hell </w:t>
      </w:r>
      <w:r w:rsidR="00D54471">
        <w:t xml:space="preserve">and purgatory varied greatly, particularly to the modern audience. </w:t>
      </w:r>
      <w:r w:rsidR="008322E1">
        <w:t xml:space="preserve">As discussed there are a great deal of similarities between the two states of afterlife, which does cause issues in separating the two. Literary sources are more specific, while artistic representations at first may appear less so – but they are filled with iconography that </w:t>
      </w:r>
      <w:r w:rsidR="00E947FE">
        <w:t xml:space="preserve">would have been contextually far more visible to the medieval audience. </w:t>
      </w:r>
      <w:r w:rsidR="008B2357">
        <w:t>However, the medieval flair for the descriptive phrase or vibrant artwork full of life certainly created artwork on the subject that had impact both then and now.</w:t>
      </w:r>
    </w:p>
    <w:p w14:paraId="1F99923E" w14:textId="712E6F22" w:rsidR="007106DA" w:rsidRPr="00C97B0A" w:rsidRDefault="007106DA" w:rsidP="008928D2">
      <w:pPr>
        <w:spacing w:line="480" w:lineRule="auto"/>
        <w:jc w:val="both"/>
      </w:pPr>
    </w:p>
    <w:sectPr w:rsidR="007106DA" w:rsidRPr="00C97B0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D465E" w14:textId="77777777" w:rsidR="005E22D7" w:rsidRDefault="005E22D7" w:rsidP="008928D2">
      <w:pPr>
        <w:spacing w:after="0" w:line="240" w:lineRule="auto"/>
      </w:pPr>
      <w:r>
        <w:separator/>
      </w:r>
    </w:p>
  </w:endnote>
  <w:endnote w:type="continuationSeparator" w:id="0">
    <w:p w14:paraId="26B367B1" w14:textId="77777777" w:rsidR="005E22D7" w:rsidRDefault="005E22D7" w:rsidP="00892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222693"/>
      <w:docPartObj>
        <w:docPartGallery w:val="Page Numbers (Bottom of Page)"/>
        <w:docPartUnique/>
      </w:docPartObj>
    </w:sdtPr>
    <w:sdtEndPr>
      <w:rPr>
        <w:noProof/>
      </w:rPr>
    </w:sdtEndPr>
    <w:sdtContent>
      <w:p w14:paraId="41C05350" w14:textId="2DD11220" w:rsidR="008928D2" w:rsidRDefault="008928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20DDA" w14:textId="4F065A3A" w:rsidR="008928D2" w:rsidRDefault="0089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C8AD9" w14:textId="77777777" w:rsidR="005E22D7" w:rsidRDefault="005E22D7" w:rsidP="008928D2">
      <w:pPr>
        <w:spacing w:after="0" w:line="240" w:lineRule="auto"/>
      </w:pPr>
      <w:r>
        <w:separator/>
      </w:r>
    </w:p>
  </w:footnote>
  <w:footnote w:type="continuationSeparator" w:id="0">
    <w:p w14:paraId="20D727AD" w14:textId="77777777" w:rsidR="005E22D7" w:rsidRDefault="005E22D7" w:rsidP="00892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C2425" w14:textId="55DA9578" w:rsidR="008928D2" w:rsidRDefault="008928D2">
    <w:pPr>
      <w:pStyle w:val="Header"/>
    </w:pPr>
    <w:r>
      <w:t>1502041</w:t>
    </w:r>
  </w:p>
  <w:p w14:paraId="0968ACB4" w14:textId="501A2A0D" w:rsidR="008928D2" w:rsidRDefault="008928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81"/>
    <w:rsid w:val="00031F7E"/>
    <w:rsid w:val="00131B7D"/>
    <w:rsid w:val="00154D77"/>
    <w:rsid w:val="001612FA"/>
    <w:rsid w:val="001C7D03"/>
    <w:rsid w:val="00256D53"/>
    <w:rsid w:val="0035249B"/>
    <w:rsid w:val="00551A34"/>
    <w:rsid w:val="005E22D7"/>
    <w:rsid w:val="007106DA"/>
    <w:rsid w:val="007A1FF2"/>
    <w:rsid w:val="007C1512"/>
    <w:rsid w:val="007C7844"/>
    <w:rsid w:val="007E6A52"/>
    <w:rsid w:val="008322E1"/>
    <w:rsid w:val="00870634"/>
    <w:rsid w:val="0088627D"/>
    <w:rsid w:val="008928D2"/>
    <w:rsid w:val="008B2357"/>
    <w:rsid w:val="008F0010"/>
    <w:rsid w:val="008F40D6"/>
    <w:rsid w:val="00913A73"/>
    <w:rsid w:val="00931798"/>
    <w:rsid w:val="00957FB3"/>
    <w:rsid w:val="00981FB2"/>
    <w:rsid w:val="00990FCE"/>
    <w:rsid w:val="009C15F9"/>
    <w:rsid w:val="009D221F"/>
    <w:rsid w:val="009D4369"/>
    <w:rsid w:val="00A00344"/>
    <w:rsid w:val="00A34FCF"/>
    <w:rsid w:val="00B11127"/>
    <w:rsid w:val="00B8432C"/>
    <w:rsid w:val="00B95E99"/>
    <w:rsid w:val="00BF4CEA"/>
    <w:rsid w:val="00C3009D"/>
    <w:rsid w:val="00C97B0A"/>
    <w:rsid w:val="00CA62C3"/>
    <w:rsid w:val="00CF3EB3"/>
    <w:rsid w:val="00D54471"/>
    <w:rsid w:val="00D83E87"/>
    <w:rsid w:val="00DC7081"/>
    <w:rsid w:val="00E17BC4"/>
    <w:rsid w:val="00E947FE"/>
    <w:rsid w:val="00F95791"/>
    <w:rsid w:val="00FA1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3814"/>
  <w15:chartTrackingRefBased/>
  <w15:docId w15:val="{D5106D3D-A538-41CF-92AB-925E1880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09D"/>
    <w:rPr>
      <w:sz w:val="16"/>
      <w:szCs w:val="16"/>
    </w:rPr>
  </w:style>
  <w:style w:type="paragraph" w:styleId="CommentText">
    <w:name w:val="annotation text"/>
    <w:basedOn w:val="Normal"/>
    <w:link w:val="CommentTextChar"/>
    <w:uiPriority w:val="99"/>
    <w:semiHidden/>
    <w:unhideWhenUsed/>
    <w:rsid w:val="00C3009D"/>
    <w:pPr>
      <w:spacing w:line="240" w:lineRule="auto"/>
    </w:pPr>
    <w:rPr>
      <w:sz w:val="20"/>
      <w:szCs w:val="20"/>
    </w:rPr>
  </w:style>
  <w:style w:type="character" w:customStyle="1" w:styleId="CommentTextChar">
    <w:name w:val="Comment Text Char"/>
    <w:basedOn w:val="DefaultParagraphFont"/>
    <w:link w:val="CommentText"/>
    <w:uiPriority w:val="99"/>
    <w:semiHidden/>
    <w:rsid w:val="00C3009D"/>
    <w:rPr>
      <w:sz w:val="20"/>
      <w:szCs w:val="20"/>
    </w:rPr>
  </w:style>
  <w:style w:type="paragraph" w:styleId="CommentSubject">
    <w:name w:val="annotation subject"/>
    <w:basedOn w:val="CommentText"/>
    <w:next w:val="CommentText"/>
    <w:link w:val="CommentSubjectChar"/>
    <w:uiPriority w:val="99"/>
    <w:semiHidden/>
    <w:unhideWhenUsed/>
    <w:rsid w:val="00C3009D"/>
    <w:rPr>
      <w:b/>
      <w:bCs/>
    </w:rPr>
  </w:style>
  <w:style w:type="character" w:customStyle="1" w:styleId="CommentSubjectChar">
    <w:name w:val="Comment Subject Char"/>
    <w:basedOn w:val="CommentTextChar"/>
    <w:link w:val="CommentSubject"/>
    <w:uiPriority w:val="99"/>
    <w:semiHidden/>
    <w:rsid w:val="00C3009D"/>
    <w:rPr>
      <w:b/>
      <w:bCs/>
      <w:sz w:val="20"/>
      <w:szCs w:val="20"/>
    </w:rPr>
  </w:style>
  <w:style w:type="paragraph" w:styleId="BalloonText">
    <w:name w:val="Balloon Text"/>
    <w:basedOn w:val="Normal"/>
    <w:link w:val="BalloonTextChar"/>
    <w:uiPriority w:val="99"/>
    <w:semiHidden/>
    <w:unhideWhenUsed/>
    <w:rsid w:val="00C300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09D"/>
    <w:rPr>
      <w:rFonts w:ascii="Segoe UI" w:hAnsi="Segoe UI" w:cs="Segoe UI"/>
      <w:sz w:val="18"/>
      <w:szCs w:val="18"/>
    </w:rPr>
  </w:style>
  <w:style w:type="paragraph" w:styleId="Header">
    <w:name w:val="header"/>
    <w:basedOn w:val="Normal"/>
    <w:link w:val="HeaderChar"/>
    <w:uiPriority w:val="99"/>
    <w:unhideWhenUsed/>
    <w:rsid w:val="00892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8D2"/>
  </w:style>
  <w:style w:type="paragraph" w:styleId="Footer">
    <w:name w:val="footer"/>
    <w:basedOn w:val="Normal"/>
    <w:link w:val="FooterChar"/>
    <w:uiPriority w:val="99"/>
    <w:unhideWhenUsed/>
    <w:rsid w:val="00892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370"/>
    <w:rsid w:val="007E6370"/>
    <w:rsid w:val="009D7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D2C834FC544D688380F615FEB5AB4A">
    <w:name w:val="34D2C834FC544D688380F615FEB5AB4A"/>
    <w:rsid w:val="007E6370"/>
  </w:style>
  <w:style w:type="paragraph" w:customStyle="1" w:styleId="1CCFED73EA7B4EB2B47056A3C59B8529">
    <w:name w:val="1CCFED73EA7B4EB2B47056A3C59B8529"/>
    <w:rsid w:val="007E6370"/>
  </w:style>
  <w:style w:type="paragraph" w:customStyle="1" w:styleId="B6DE83D1AC4343F8AB0EC2B9D0D501D6">
    <w:name w:val="B6DE83D1AC4343F8AB0EC2B9D0D501D6"/>
    <w:rsid w:val="007E63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7C80A-E425-4CD2-9D98-FE68C910F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Ben</cp:lastModifiedBy>
  <cp:revision>2</cp:revision>
  <dcterms:created xsi:type="dcterms:W3CDTF">2019-02-01T13:03:00Z</dcterms:created>
  <dcterms:modified xsi:type="dcterms:W3CDTF">2019-02-01T13:03:00Z</dcterms:modified>
</cp:coreProperties>
</file>