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029DF" w:rsidRDefault="00F029DF"/>
    <w:p w14:paraId="00000002" w14:textId="77777777" w:rsidR="00F029DF" w:rsidRDefault="001A2F7E">
      <w:pPr>
        <w:numPr>
          <w:ilvl w:val="0"/>
          <w:numId w:val="1"/>
        </w:numPr>
        <w:rPr>
          <w:b/>
        </w:rPr>
      </w:pPr>
      <w:r>
        <w:rPr>
          <w:b/>
        </w:rPr>
        <w:t>How have the different values and cultural norms within diverse communities impacted upon policing?</w:t>
      </w:r>
    </w:p>
    <w:p w14:paraId="00000003" w14:textId="77777777" w:rsidR="00F029DF" w:rsidRDefault="00F029DF"/>
    <w:p w14:paraId="00000004" w14:textId="66CF298A" w:rsidR="00F029DF" w:rsidRDefault="001A2F7E">
      <w:r>
        <w:t xml:space="preserve">You should </w:t>
      </w:r>
      <w:r>
        <w:rPr>
          <w:u w:val="single"/>
        </w:rPr>
        <w:t>evaluate</w:t>
      </w:r>
      <w:r>
        <w:t xml:space="preserve"> how multiculturalism has affected professional policies and standards. E.g. PACE (Police and Criminal Evidence Act), and Code of Ethics, as well as policing practice - e.g. neighbo</w:t>
      </w:r>
      <w:r w:rsidR="00DF5A9D">
        <w:t>u</w:t>
      </w:r>
      <w:r>
        <w:t>rhood policing. Rather than relying on personal experience, support your answer with relevant evidence drawn from academic sources. Word limit: 1,000 words.</w:t>
      </w:r>
    </w:p>
    <w:p w14:paraId="00000005" w14:textId="77777777" w:rsidR="00F029DF" w:rsidRDefault="00F029DF"/>
    <w:p w14:paraId="00000006" w14:textId="77777777" w:rsidR="00F029DF" w:rsidRDefault="00F029DF"/>
    <w:p w14:paraId="00000007" w14:textId="77777777" w:rsidR="00F029DF" w:rsidRDefault="001A2F7E">
      <w:r>
        <w:t>The UK is becoming a more multicultural society, which is seen in the latest Census ethnicity figures. According to the 2021 Census data, 82% of people in Wales and England are white and 18% of people belong to black, Asian, mixed or other ethnic groups. This has changed since the 2011 Census, where 86% of people in Wales and England were white, with 14% from other ethnic groups. This essay will evaluate the impact on policing due to the effect of multiculturalism, concentrating on diversity in the workforce and neighbourhood policing.</w:t>
      </w:r>
    </w:p>
    <w:p w14:paraId="00000008" w14:textId="77777777" w:rsidR="00F029DF" w:rsidRDefault="001A2F7E">
      <w:pPr>
        <w:ind w:firstLine="720"/>
      </w:pPr>
      <w:r>
        <w:t xml:space="preserve">Firstly, I will look at how multiculturalism has impacted policing through the need for more diversity within the workforce. As previously mentioned, there has been an increase of 4% in the number of people in Wales and England from ethnic groups other than white. By comparison, in March 2019, 93.1% of police officers were white and 6.9% were from other ethnic groups, which shows that it is disproportionate with the ethnic demographic of the population. There are different cultures, religions and languages, which can make it difficult for the police to engage effectively with some communities. Added to this, there have been numerous high profile cases, such as the racist murder of Stephen Lawrence in 1993, that have contributed to distrust of the police in certain ethnic communities. </w:t>
      </w:r>
    </w:p>
    <w:p w14:paraId="00000009" w14:textId="77777777" w:rsidR="00F029DF" w:rsidRDefault="001A2F7E">
      <w:pPr>
        <w:ind w:firstLine="720"/>
      </w:pPr>
      <w:r>
        <w:t xml:space="preserve">One of the recommendations of the Macpherson Report that followed the Stephen Lawrence murder, was that police forces should be representative of the communities they serve (Macpherson, 1999). The Report went on to state that: </w:t>
      </w:r>
    </w:p>
    <w:p w14:paraId="0000000A" w14:textId="77777777" w:rsidR="00F029DF" w:rsidRDefault="00F029DF"/>
    <w:p w14:paraId="0000000B" w14:textId="77777777" w:rsidR="00F029DF" w:rsidRDefault="001A2F7E">
      <w:pPr>
        <w:ind w:firstLine="720"/>
      </w:pPr>
      <w:r>
        <w:t>“the Home Secretary and Police Authorities' policing plans should</w:t>
      </w:r>
    </w:p>
    <w:p w14:paraId="0000000C" w14:textId="77777777" w:rsidR="00F029DF" w:rsidRDefault="001A2F7E">
      <w:pPr>
        <w:ind w:firstLine="720"/>
      </w:pPr>
      <w:r>
        <w:t>include targets for recruitment, progression and retention of minority ethnic</w:t>
      </w:r>
    </w:p>
    <w:p w14:paraId="0000000D" w14:textId="77777777" w:rsidR="00F029DF" w:rsidRDefault="001A2F7E">
      <w:pPr>
        <w:ind w:firstLine="720"/>
      </w:pPr>
      <w:r>
        <w:t>staff...”  (Macpherson, 1999, p.381)</w:t>
      </w:r>
    </w:p>
    <w:p w14:paraId="0000000E" w14:textId="77777777" w:rsidR="00F029DF" w:rsidRDefault="00F029DF"/>
    <w:p w14:paraId="0000000F" w14:textId="77777777" w:rsidR="00F029DF" w:rsidRDefault="001A2F7E">
      <w:r>
        <w:t xml:space="preserve">However, in ‘The Macpherson Report: Twenty-two years on’ (House of Commons Home Affairs Committee, 2021), the ten-year target set by the then Home Secretary, which included overall minority ethnic representation of 7% in the service by 2009, was not met. </w:t>
      </w:r>
    </w:p>
    <w:p w14:paraId="00000010" w14:textId="77777777" w:rsidR="00F029DF" w:rsidRDefault="001A2F7E">
      <w:pPr>
        <w:ind w:firstLine="720"/>
      </w:pPr>
      <w:r>
        <w:t xml:space="preserve">In the report ‘Enhancing Diversity in Policing’ (Bury et al., 2018), it is argued that although there have been official strategies, appropriate protocols and representatives to advocate for groups with protected characteristics in place, </w:t>
      </w:r>
    </w:p>
    <w:p w14:paraId="00000011" w14:textId="77777777" w:rsidR="00F029DF" w:rsidRDefault="00F029DF"/>
    <w:p w14:paraId="00000012" w14:textId="77777777" w:rsidR="00F029DF" w:rsidRDefault="001A2F7E">
      <w:r>
        <w:tab/>
        <w:t xml:space="preserve">“for a number of reasons, notably resource issues and the perceived low priority </w:t>
      </w:r>
    </w:p>
    <w:p w14:paraId="00000013" w14:textId="77777777" w:rsidR="00F029DF" w:rsidRDefault="001A2F7E">
      <w:r>
        <w:t xml:space="preserve"> </w:t>
      </w:r>
      <w:r>
        <w:tab/>
        <w:t xml:space="preserve">accorded to the diversity agenda within the police workforce, these strategies often </w:t>
      </w:r>
    </w:p>
    <w:p w14:paraId="00000014" w14:textId="77777777" w:rsidR="00F029DF" w:rsidRDefault="001A2F7E">
      <w:pPr>
        <w:ind w:firstLine="720"/>
      </w:pPr>
      <w:r>
        <w:t>lack meaningful impact and the ability to push change.” (Bury et al., 2018, p.40)</w:t>
      </w:r>
    </w:p>
    <w:p w14:paraId="00000015" w14:textId="77777777" w:rsidR="00F029DF" w:rsidRDefault="00F029DF"/>
    <w:p w14:paraId="00000016" w14:textId="77777777" w:rsidR="00F029DF" w:rsidRDefault="001A2F7E">
      <w:r>
        <w:t>One of the barriers to recruiting officers from minority ethnic backgrounds may be due to historic negative views of police and policing. In the paper titled ‘Diversity in the British police: adapting to a multicultural society’ (</w:t>
      </w:r>
      <w:proofErr w:type="spellStart"/>
      <w:r>
        <w:t>Bhugowandeen</w:t>
      </w:r>
      <w:proofErr w:type="spellEnd"/>
      <w:r>
        <w:t xml:space="preserve">, 2013), the author argues that a </w:t>
      </w:r>
      <w:r>
        <w:lastRenderedPageBreak/>
        <w:t>lack of role models in the police force is a barrier for the recruitment of black and minority ethnic people:</w:t>
      </w:r>
    </w:p>
    <w:p w14:paraId="00000017" w14:textId="77777777" w:rsidR="00F029DF" w:rsidRDefault="00F029DF"/>
    <w:p w14:paraId="00000018" w14:textId="77777777" w:rsidR="00F029DF" w:rsidRDefault="001A2F7E">
      <w:pPr>
        <w:ind w:firstLine="720"/>
      </w:pPr>
      <w:r>
        <w:t xml:space="preserve">‘A vicious circle exists, whereby people do not apply unless they see more diversity </w:t>
      </w:r>
    </w:p>
    <w:p w14:paraId="00000019" w14:textId="77777777" w:rsidR="00F029DF" w:rsidRDefault="001A2F7E">
      <w:pPr>
        <w:ind w:firstLine="720"/>
      </w:pPr>
      <w:r>
        <w:t>in the force but it will never be diverse unless people apply.’ (</w:t>
      </w:r>
      <w:proofErr w:type="spellStart"/>
      <w:r>
        <w:t>Bhugowandeen</w:t>
      </w:r>
      <w:proofErr w:type="spellEnd"/>
      <w:r>
        <w:t>, 2013)</w:t>
      </w:r>
    </w:p>
    <w:p w14:paraId="0000001A" w14:textId="77777777" w:rsidR="00F029DF" w:rsidRDefault="00F029DF"/>
    <w:p w14:paraId="0000001B" w14:textId="77777777" w:rsidR="00F029DF" w:rsidRDefault="001A2F7E">
      <w:r>
        <w:t>The total percentage of police officers from the Asian, black, mixed and other ethnic groups went up from 3.9% to 6.9% between 2007 and 2019 (Home Office, 2020). This increase suggests that there has been some success in recruiting non-white officers, but this is still much lower than the figure of 18% of the population of Wales and England who belong to black, Asian, mixed or other ethnic groups.</w:t>
      </w:r>
    </w:p>
    <w:p w14:paraId="0000001C" w14:textId="7C1E6EF4" w:rsidR="00F029DF" w:rsidRDefault="001A2F7E">
      <w:pPr>
        <w:ind w:firstLine="720"/>
      </w:pPr>
      <w:r>
        <w:t xml:space="preserve">I will now look at the impact of multiculturalism on policing where neighbourhood policing is used to engage with diverse communities. </w:t>
      </w:r>
      <w:r w:rsidR="00DF5A9D">
        <w:t>Neighbourhood</w:t>
      </w:r>
      <w:r>
        <w:t xml:space="preserve"> policing was introduced in Wales and England in 2005, and it can be argued that it has become an essential part of policing in a multicultural society. Neighbourhood policing was developed to promote three factors - police visibility, community involvement in identifying local priorities, and collaborative problem-solving with partners and the public to tackle those priorities (Quinton and Morris, 2008) - not because of an increase in multiculturalism. However, neighbourhood policing is also key to gaining the trust and confidence of diverse communities in the police and to build and develop relationships within those communities. In ‘The Case for the Acceptable ‘Other’: The Impact of Partnerships, PCSOs, and Neighbourhood Policing on Diversity in Policing’ (O’Neill, 2015), the author highlights the fact that with neighbourhood policing, members of the community inform the police of what issues matter to them locally and the police then address these issues. This is often in partnership with other agencies.</w:t>
      </w:r>
    </w:p>
    <w:p w14:paraId="0000001D" w14:textId="77777777" w:rsidR="00F029DF" w:rsidRDefault="001A2F7E">
      <w:pPr>
        <w:ind w:firstLine="720"/>
      </w:pPr>
      <w:r>
        <w:t>The importance of having a diverse workforce can also be seen in neighbourhood policing, particularly when the communities have a high proportion of non-white members. In order to successfully develop the relationship between the police and the community, it is again important that the workforce reflects the community it serves. O’Neill states that community policing is very different from that which was in place when Stephen Lawrence was murdered in 1993, and that the:</w:t>
      </w:r>
    </w:p>
    <w:p w14:paraId="0000001E" w14:textId="77777777" w:rsidR="00F029DF" w:rsidRDefault="00F029DF"/>
    <w:p w14:paraId="0000001F" w14:textId="77777777" w:rsidR="00F029DF" w:rsidRDefault="001A2F7E">
      <w:pPr>
        <w:ind w:firstLine="720"/>
      </w:pPr>
      <w:r>
        <w:t xml:space="preserve">“police have developed from being a rather isolated and insular force to being </w:t>
      </w:r>
    </w:p>
    <w:p w14:paraId="00000020" w14:textId="77777777" w:rsidR="00F029DF" w:rsidRDefault="001A2F7E">
      <w:pPr>
        <w:ind w:firstLine="720"/>
      </w:pPr>
      <w:r>
        <w:t xml:space="preserve">integrated members of the public sector and their communities, working </w:t>
      </w:r>
    </w:p>
    <w:p w14:paraId="00000021" w14:textId="77777777" w:rsidR="00F029DF" w:rsidRDefault="001A2F7E">
      <w:pPr>
        <w:ind w:firstLine="720"/>
      </w:pPr>
      <w:r>
        <w:t xml:space="preserve">collaboratively with partner agencies, community groups and with a dedicated team </w:t>
      </w:r>
    </w:p>
    <w:p w14:paraId="00000022" w14:textId="77777777" w:rsidR="00F029DF" w:rsidRDefault="001A2F7E">
      <w:pPr>
        <w:ind w:left="720"/>
      </w:pPr>
      <w:r>
        <w:t>of mobile support staff to address local issues of crime and disorder.” (O’Neill, 2015, p.10)</w:t>
      </w:r>
    </w:p>
    <w:p w14:paraId="00000023" w14:textId="77777777" w:rsidR="00F029DF" w:rsidRDefault="00F029DF"/>
    <w:p w14:paraId="00000024" w14:textId="77777777" w:rsidR="00F029DF" w:rsidRDefault="001A2F7E">
      <w:r>
        <w:t xml:space="preserve">However, she also warns that although there have been improvements, that the services and resources that are best placed to keep police in touch with partners and communities, such as neighbourhood policing, are at risk due to the police’s current budgeting situation. Although this article was written in 2016, budgets are still a real issue for police forces in 2023. </w:t>
      </w:r>
    </w:p>
    <w:p w14:paraId="00000025" w14:textId="77777777" w:rsidR="00F029DF" w:rsidRDefault="001A2F7E">
      <w:pPr>
        <w:ind w:firstLine="720"/>
      </w:pPr>
      <w:r>
        <w:t xml:space="preserve">The introduction explained that Wales and England are becoming more multicultural, and this essay has shown some of the impact that multiculturalism has had on policing. In terms of neighbourhood policing, this aspect of policing policy has proved to be a positive way of dealing with multiculturalism and engaging with diverse communities. The concern is that, as mentioned previously, the police’s current budgeting situation could mean that fewer </w:t>
      </w:r>
      <w:r>
        <w:lastRenderedPageBreak/>
        <w:t>resources are available for neighbourhood policing. And while there have been improvements in the recruitment of ethnic minorities to the workforce, the increase in the percentage of black, Asian, mixed or other ethnic groups in the police is small and slow. As the percentage of the ethnic minority population increases, as seen in the figures mentioned in the introduction, the concern is that the increase in the figures for ethnic minority recruitment in the police will fall further behind, causing greater problems for the police when serving diverse communities, and may mean that the police fail to deal effectively with the impact of multiculturalism.</w:t>
      </w:r>
    </w:p>
    <w:p w14:paraId="00000026" w14:textId="77777777" w:rsidR="00F029DF" w:rsidRDefault="00F029DF"/>
    <w:p w14:paraId="00000027" w14:textId="77777777" w:rsidR="00F029DF" w:rsidRDefault="001A2F7E">
      <w:r>
        <w:t>Word count: 1,086</w:t>
      </w:r>
    </w:p>
    <w:p w14:paraId="00000028" w14:textId="77777777" w:rsidR="00F029DF" w:rsidRDefault="00F029DF"/>
    <w:p w14:paraId="00000029" w14:textId="77777777" w:rsidR="00F029DF" w:rsidRDefault="00F029DF"/>
    <w:p w14:paraId="0000002A" w14:textId="77777777" w:rsidR="00F029DF" w:rsidRDefault="00F029DF"/>
    <w:p w14:paraId="0000002B" w14:textId="77777777" w:rsidR="00F029DF" w:rsidRDefault="00F029DF"/>
    <w:p w14:paraId="0000002C" w14:textId="77777777" w:rsidR="00F029DF" w:rsidRDefault="00F029DF"/>
    <w:p w14:paraId="0000002D" w14:textId="77777777" w:rsidR="00F029DF" w:rsidRDefault="00F029DF"/>
    <w:p w14:paraId="0000002E" w14:textId="77777777" w:rsidR="00F029DF" w:rsidRDefault="00F029DF"/>
    <w:p w14:paraId="0000002F" w14:textId="77777777" w:rsidR="00F029DF" w:rsidRDefault="00F029DF"/>
    <w:p w14:paraId="00000030" w14:textId="77777777" w:rsidR="00F029DF" w:rsidRDefault="00F029DF"/>
    <w:p w14:paraId="00000031" w14:textId="77777777" w:rsidR="00F029DF" w:rsidRDefault="00F029DF"/>
    <w:p w14:paraId="00000032" w14:textId="77777777" w:rsidR="00F029DF" w:rsidRDefault="00F029DF"/>
    <w:p w14:paraId="00000033" w14:textId="77777777" w:rsidR="00F029DF" w:rsidRDefault="00F029DF"/>
    <w:p w14:paraId="00000034" w14:textId="77777777" w:rsidR="00F029DF" w:rsidRDefault="00F029DF"/>
    <w:p w14:paraId="00000035" w14:textId="77777777" w:rsidR="00F029DF" w:rsidRDefault="00F029DF"/>
    <w:p w14:paraId="00000036" w14:textId="77777777" w:rsidR="00F029DF" w:rsidRDefault="00F029DF"/>
    <w:p w14:paraId="00000037" w14:textId="77777777" w:rsidR="00F029DF" w:rsidRDefault="00F029DF"/>
    <w:p w14:paraId="00000038" w14:textId="77777777" w:rsidR="00F029DF" w:rsidRDefault="00F029DF"/>
    <w:p w14:paraId="00000039" w14:textId="77777777" w:rsidR="00F029DF" w:rsidRDefault="00F029DF"/>
    <w:p w14:paraId="0000003A" w14:textId="77777777" w:rsidR="00F029DF" w:rsidRDefault="00F029DF"/>
    <w:p w14:paraId="0000003B" w14:textId="77777777" w:rsidR="00F029DF" w:rsidRDefault="00F029DF"/>
    <w:p w14:paraId="0000003C" w14:textId="77777777" w:rsidR="00F029DF" w:rsidRDefault="00F029DF"/>
    <w:p w14:paraId="0000003D" w14:textId="77777777" w:rsidR="00F029DF" w:rsidRDefault="00F029DF"/>
    <w:p w14:paraId="0000003E" w14:textId="77777777" w:rsidR="00F029DF" w:rsidRDefault="00F029DF"/>
    <w:p w14:paraId="0000003F" w14:textId="77777777" w:rsidR="00F029DF" w:rsidRDefault="00F029DF"/>
    <w:p w14:paraId="00000040" w14:textId="77777777" w:rsidR="00F029DF" w:rsidRDefault="00F029DF"/>
    <w:p w14:paraId="00000041" w14:textId="77777777" w:rsidR="00F029DF" w:rsidRDefault="00F029DF"/>
    <w:p w14:paraId="00000042" w14:textId="77777777" w:rsidR="00F029DF" w:rsidRDefault="00F029DF"/>
    <w:p w14:paraId="00000043" w14:textId="77777777" w:rsidR="00F029DF" w:rsidRDefault="00F029DF"/>
    <w:p w14:paraId="00000044" w14:textId="77777777" w:rsidR="00F029DF" w:rsidRDefault="00F029DF"/>
    <w:p w14:paraId="00000045" w14:textId="77777777" w:rsidR="00F029DF" w:rsidRDefault="00F029DF"/>
    <w:p w14:paraId="00000046" w14:textId="77777777" w:rsidR="00F029DF" w:rsidRDefault="00F029DF"/>
    <w:p w14:paraId="00000047" w14:textId="77777777" w:rsidR="00F029DF" w:rsidRDefault="00F029DF"/>
    <w:p w14:paraId="00000048" w14:textId="77777777" w:rsidR="00F029DF" w:rsidRDefault="00F029DF"/>
    <w:p w14:paraId="00000049" w14:textId="77777777" w:rsidR="00F029DF" w:rsidRDefault="00F029DF"/>
    <w:p w14:paraId="0000004A" w14:textId="77777777" w:rsidR="00F029DF" w:rsidRDefault="00F029DF"/>
    <w:p w14:paraId="0000004B" w14:textId="77777777" w:rsidR="00F029DF" w:rsidRDefault="00F029DF"/>
    <w:p w14:paraId="0000004C" w14:textId="77777777" w:rsidR="00F029DF" w:rsidRDefault="00F029DF"/>
    <w:p w14:paraId="0000004D" w14:textId="77777777" w:rsidR="00F029DF" w:rsidRDefault="00F029DF"/>
    <w:p w14:paraId="0000004E" w14:textId="77777777" w:rsidR="00F029DF" w:rsidRDefault="001A2F7E">
      <w:pPr>
        <w:numPr>
          <w:ilvl w:val="0"/>
          <w:numId w:val="1"/>
        </w:numPr>
        <w:rPr>
          <w:b/>
        </w:rPr>
      </w:pPr>
      <w:r>
        <w:rPr>
          <w:b/>
        </w:rPr>
        <w:lastRenderedPageBreak/>
        <w:t xml:space="preserve">What makes vulnerable young people and adults more at risk of exploitation by criminal gangs? </w:t>
      </w:r>
    </w:p>
    <w:p w14:paraId="0000004F" w14:textId="77777777" w:rsidR="00F029DF" w:rsidRDefault="00F029DF"/>
    <w:p w14:paraId="00000050" w14:textId="77777777" w:rsidR="00F029DF" w:rsidRDefault="001A2F7E">
      <w:r>
        <w:rPr>
          <w:u w:val="single"/>
        </w:rPr>
        <w:t>Examine</w:t>
      </w:r>
      <w:r>
        <w:t xml:space="preserve"> both psychological and socio-economic characteristics of victims of exploitation. Your answer should be based on academic research, but you may make reference to relevant case studies. Word limit: 1,000.</w:t>
      </w:r>
    </w:p>
    <w:p w14:paraId="00000051" w14:textId="77777777" w:rsidR="00F029DF" w:rsidRDefault="00F029DF"/>
    <w:p w14:paraId="00000052" w14:textId="77777777" w:rsidR="00F029DF" w:rsidRDefault="00F029DF"/>
    <w:p w14:paraId="00000053" w14:textId="77777777" w:rsidR="00F029DF" w:rsidRDefault="001A2F7E">
      <w:r>
        <w:t>In this essay I will be focusing on what makes vulnerable young people and adults more at risk of exploitation by criminal gangs. I will examine both the psychological and socio-economic characteristics of victims of exploitation, focusing on County Lines as a case study.</w:t>
      </w:r>
    </w:p>
    <w:p w14:paraId="00000054" w14:textId="77777777" w:rsidR="00F029DF" w:rsidRDefault="001A2F7E">
      <w:pPr>
        <w:ind w:firstLine="720"/>
      </w:pPr>
      <w:r>
        <w:t>The characteristics that make young people and adults more at risk are economic vulnerability, being homeless or having insecure accommodation status, having experience of neglect or abuse, the lack of a safe or stable home environment, social isolation, having a physical or learning disability, mental health or substance abuse, being in care, being excluded from mainstream education, and to have connections with people who are involved in crime or gangs. I will firstly examine the socio-economic factors.</w:t>
      </w:r>
    </w:p>
    <w:p w14:paraId="00000055" w14:textId="77777777" w:rsidR="00F029DF" w:rsidRDefault="001A2F7E">
      <w:pPr>
        <w:ind w:firstLine="720"/>
      </w:pPr>
      <w:r>
        <w:t>An article in The Guardian titled ‘Burgers and coats: county lines gangs exploit hardship to recruit UK kids’ (</w:t>
      </w:r>
      <w:proofErr w:type="spellStart"/>
      <w:r>
        <w:t>Fazackerley</w:t>
      </w:r>
      <w:proofErr w:type="spellEnd"/>
      <w:r>
        <w:t>, 2022) gives a shocking account of how criminal gangs are using the poverty that many young people are experiencing to their advantage:</w:t>
      </w:r>
    </w:p>
    <w:p w14:paraId="00000056" w14:textId="77777777" w:rsidR="00F029DF" w:rsidRDefault="00F029DF"/>
    <w:p w14:paraId="00000057" w14:textId="77777777" w:rsidR="00F029DF" w:rsidRDefault="001A2F7E">
      <w:pPr>
        <w:ind w:firstLine="720"/>
      </w:pPr>
      <w:r>
        <w:t xml:space="preserve">“You’ve got children whose families can’t afford school meals, and they are outside, </w:t>
      </w:r>
    </w:p>
    <w:p w14:paraId="00000058" w14:textId="77777777" w:rsidR="00F029DF" w:rsidRDefault="001A2F7E">
      <w:pPr>
        <w:ind w:firstLine="720"/>
      </w:pPr>
      <w:r>
        <w:t xml:space="preserve">hungry and cold. Someone in nice trainers turns up and gets them a burger or a </w:t>
      </w:r>
    </w:p>
    <w:p w14:paraId="00000059" w14:textId="77777777" w:rsidR="00F029DF" w:rsidRDefault="001A2F7E">
      <w:pPr>
        <w:ind w:firstLine="720"/>
      </w:pPr>
      <w:r>
        <w:t>warm coat. That’s often how they are being recruited.”</w:t>
      </w:r>
    </w:p>
    <w:p w14:paraId="0000005A" w14:textId="77777777" w:rsidR="00F029DF" w:rsidRDefault="00F029DF"/>
    <w:p w14:paraId="0000005B" w14:textId="77777777" w:rsidR="00F029DF" w:rsidRDefault="001A2F7E">
      <w:r>
        <w:t>Poverty can lead to many difficult situations and issues for young people and their families. Lack of money can lead to more stress at home, which can also lead to domestic abuse and violence. Parents may also take on more work to try and earn more money, meaning that there is less supervision of young people at home. It can also lead to both adults and young people misusing substances, such as drugs and alcohol, as they struggle to cope with their situation. Poverty can lead to children and young people feeling socially isolated, as they can’t afford to take part in activities, or they can be bullied at school for being different. Criminals can use this and befriend young people, offering them protection and empowering them and offering a way of making money for the family. These are many factors highlighted by Safeguarding Network as they note the impact of poverty on children, young people and adults (Safeguarding Network, no date).</w:t>
      </w:r>
    </w:p>
    <w:p w14:paraId="0000005C" w14:textId="77777777" w:rsidR="00F029DF" w:rsidRDefault="001A2F7E">
      <w:pPr>
        <w:ind w:firstLine="720"/>
      </w:pPr>
      <w:r>
        <w:t>In a BBC report (O’Brien and McMenemy, 2022), the CEO of charity Refocus, Lennox Rogers, said that he is worried that:</w:t>
      </w:r>
    </w:p>
    <w:p w14:paraId="0000005D" w14:textId="77777777" w:rsidR="00F029DF" w:rsidRDefault="00F029DF"/>
    <w:p w14:paraId="0000005E" w14:textId="77777777" w:rsidR="00F029DF" w:rsidRDefault="001A2F7E">
      <w:pPr>
        <w:ind w:firstLine="720"/>
      </w:pPr>
      <w:r>
        <w:t xml:space="preserve">“more young people will become trapped as they accept help with buying food or </w:t>
      </w:r>
    </w:p>
    <w:p w14:paraId="0000005F" w14:textId="77777777" w:rsidR="00F029DF" w:rsidRDefault="001A2F7E">
      <w:pPr>
        <w:ind w:firstLine="720"/>
      </w:pPr>
      <w:r>
        <w:t>other financial shortages as the cost of living crisis deepens.”</w:t>
      </w:r>
    </w:p>
    <w:p w14:paraId="00000060" w14:textId="77777777" w:rsidR="00F029DF" w:rsidRDefault="00F029DF"/>
    <w:p w14:paraId="00000061" w14:textId="77777777" w:rsidR="00F029DF" w:rsidRDefault="001A2F7E">
      <w:r>
        <w:t>He goes on to mention that some of the gang members also come from poorer backgrounds, which makes it easier for them to identify and target people to recruit, and also that an increased number of vulnerable people who struggle to eat and heat their homes will be targets for cuckooing.</w:t>
      </w:r>
    </w:p>
    <w:p w14:paraId="00000062" w14:textId="7AA430D0" w:rsidR="00F029DF" w:rsidRDefault="001A2F7E">
      <w:pPr>
        <w:ind w:firstLine="720"/>
      </w:pPr>
      <w:r>
        <w:lastRenderedPageBreak/>
        <w:t xml:space="preserve">There are many charities and public services who offer early intervention to try and deal with young people and adults who are vulnerable to exploitation by criminal gangs, </w:t>
      </w:r>
      <w:r w:rsidR="00DF5A9D">
        <w:t>however,</w:t>
      </w:r>
      <w:r>
        <w:t xml:space="preserve"> there have been large cuts to public services over the past 12 years. The current cost of living crisis, which follows 10 years of austerity measures following the 2008 financial crash, and economic pressures due to the COVID-19 pandemic. These economic factors have meant drastic cuts to public services. The report ‘Devalued: a Decade of Cuts to Youth Services’ (YMCA, 2022) reveals that local authority youth services spending in England has seen a £1.1bn cut over the last 10 years. The Guardian article mentioned above includes reports from various stakeholders about the problems that young people face because of the lack of funding in the public sector: a charity director reports that many schools have had to cut back on the number of staff members on duty on the playground during lunchtime because of financial pressures, and that gangs approach young people then. The Association of School and College Leaders union is concerned that vulnerable pupils are now more likely to become disengaged because schools across the country are struggling to recruit and hold on to pastoral and support staff due to low pay, and the article also reports that gangs are benefitting from reduced public services, and that the police and children’s services in areas outside big cities do not have sufficient funding to deal effectively with gangs or violence. The YMCA report that since 2010 more than 4,500 youth work jobs have been cut and 760 youth centres have closed</w:t>
      </w:r>
    </w:p>
    <w:p w14:paraId="00000063" w14:textId="77777777" w:rsidR="00F029DF" w:rsidRDefault="001A2F7E">
      <w:pPr>
        <w:ind w:firstLine="720"/>
      </w:pPr>
      <w:r>
        <w:t>A report for CASCADE Wales (Maxwell, Nina et al. 2019) states that individually the factors mentioned earlier make young people vulnerable to criminal exploitation, but that having multiple vulnerabilities heightens the risk. Socio-economic and psychological factors often overlap or go together.</w:t>
      </w:r>
    </w:p>
    <w:p w14:paraId="00000064" w14:textId="77777777" w:rsidR="00F029DF" w:rsidRDefault="001A2F7E">
      <w:pPr>
        <w:ind w:firstLine="720"/>
      </w:pPr>
      <w:r>
        <w:t>Young people and adults who suffer from mental health issues or substance abuse, are more vulnerable due to these psychological factors. The COVID-19 pandemic has had a bad effect on the mental health of many adults and young people. Researchers from Nottingham University found that lockdown meant that people were more isolated, and by spending more time at home many young people faced an increased risk of exposure to domestic violence (Brewster et al. 2021, p.8). They also found that youth work practitioners described:</w:t>
      </w:r>
    </w:p>
    <w:p w14:paraId="00000065" w14:textId="77777777" w:rsidR="00F029DF" w:rsidRDefault="00F029DF"/>
    <w:p w14:paraId="00000066" w14:textId="77777777" w:rsidR="00F029DF" w:rsidRDefault="001A2F7E">
      <w:pPr>
        <w:ind w:firstLine="720"/>
      </w:pPr>
      <w:r>
        <w:t xml:space="preserve">“having ongoing concerns regarding deteriorating mental health in children and  </w:t>
      </w:r>
    </w:p>
    <w:p w14:paraId="00000067" w14:textId="77777777" w:rsidR="00F029DF" w:rsidRDefault="001A2F7E">
      <w:pPr>
        <w:ind w:firstLine="720"/>
      </w:pPr>
      <w:r>
        <w:t xml:space="preserve">young people, and recognised an increase in the potential for exploitation and harm – </w:t>
      </w:r>
    </w:p>
    <w:p w14:paraId="00000068" w14:textId="77777777" w:rsidR="00F029DF" w:rsidRDefault="001A2F7E">
      <w:pPr>
        <w:ind w:firstLine="720"/>
      </w:pPr>
      <w:r>
        <w:t>particularly via online social media platforms.” (Brewster et al. 2021, p.11)</w:t>
      </w:r>
    </w:p>
    <w:p w14:paraId="00000069" w14:textId="77777777" w:rsidR="00F029DF" w:rsidRDefault="00F029DF">
      <w:pPr>
        <w:ind w:firstLine="720"/>
      </w:pPr>
    </w:p>
    <w:p w14:paraId="0000006A" w14:textId="77777777" w:rsidR="00F029DF" w:rsidRDefault="001A2F7E">
      <w:r>
        <w:t>Many non-statutory organisations also withdrew face to face interactions with young people during lockdown. The charity Mind has found that 9 in 10 of young people had said that loneliness made their mental health worse during the pandemic (Mind, no date). Vulnerable adults with addictions or disabilities are also being exploited by having their properties cuckooed by County Lines gangs - their homes are taken over and used to package and distribute drugs, or are used as a drug den (Brewster et al. 2021, p.5).</w:t>
      </w:r>
    </w:p>
    <w:p w14:paraId="0000006B" w14:textId="77777777" w:rsidR="00F029DF" w:rsidRDefault="001A2F7E">
      <w:pPr>
        <w:ind w:firstLine="720"/>
      </w:pPr>
      <w:r>
        <w:t xml:space="preserve">After doing a lot of research from different sources, I have come to the conclusion that if adults and young people have more than one of the socio-economic and psychological factors that make them vulnerable, then they are more at risk of being exploited by criminal gangs. Poverty or economic vulnerability seems to be a factor that can influence psychological characteristics, such as social isolation because of poverty, or mental health problems or substance abuse caused by the stress of poverty. These factors are characteristics of the vulnerable people, but the cuts to public and youth services have </w:t>
      </w:r>
      <w:r>
        <w:lastRenderedPageBreak/>
        <w:t>meant that the most vulnerable people are being failed or missed as the services available to help them continue to decrease.</w:t>
      </w:r>
    </w:p>
    <w:p w14:paraId="0000006C" w14:textId="77777777" w:rsidR="00F029DF" w:rsidRDefault="00F029DF"/>
    <w:p w14:paraId="0000006D" w14:textId="77777777" w:rsidR="00F029DF" w:rsidRDefault="001A2F7E">
      <w:r>
        <w:t>Word count: 1,096</w:t>
      </w:r>
    </w:p>
    <w:p w14:paraId="0000006E" w14:textId="77777777" w:rsidR="00F029DF" w:rsidRDefault="00F029DF"/>
    <w:p w14:paraId="0000006F" w14:textId="77777777" w:rsidR="00F029DF" w:rsidRDefault="00F029DF"/>
    <w:p w14:paraId="00000070" w14:textId="77777777" w:rsidR="00F029DF" w:rsidRDefault="00F029DF"/>
    <w:p w14:paraId="00000071" w14:textId="77777777" w:rsidR="00F029DF" w:rsidRDefault="00F029DF"/>
    <w:p w14:paraId="00000072" w14:textId="77777777" w:rsidR="00F029DF" w:rsidRDefault="00F029DF"/>
    <w:p w14:paraId="00000073" w14:textId="77777777" w:rsidR="00F029DF" w:rsidRDefault="00F029DF"/>
    <w:p w14:paraId="00000074" w14:textId="77777777" w:rsidR="00F029DF" w:rsidRDefault="00F029DF"/>
    <w:p w14:paraId="00000075" w14:textId="77777777" w:rsidR="00F029DF" w:rsidRDefault="00F029DF"/>
    <w:p w14:paraId="00000076" w14:textId="77777777" w:rsidR="00F029DF" w:rsidRDefault="00F029DF"/>
    <w:p w14:paraId="00000077" w14:textId="77777777" w:rsidR="00F029DF" w:rsidRDefault="00F029DF"/>
    <w:p w14:paraId="00000078" w14:textId="77777777" w:rsidR="00F029DF" w:rsidRDefault="00F029DF"/>
    <w:p w14:paraId="00000079" w14:textId="77777777" w:rsidR="00F029DF" w:rsidRDefault="00F029DF"/>
    <w:p w14:paraId="0000007A" w14:textId="77777777" w:rsidR="00F029DF" w:rsidRDefault="00F029DF"/>
    <w:p w14:paraId="0000007B" w14:textId="77777777" w:rsidR="00F029DF" w:rsidRDefault="00F029DF"/>
    <w:p w14:paraId="0000007C" w14:textId="77777777" w:rsidR="00F029DF" w:rsidRDefault="00F029DF"/>
    <w:p w14:paraId="0000007D" w14:textId="77777777" w:rsidR="00F029DF" w:rsidRDefault="00F029DF"/>
    <w:p w14:paraId="0000007E" w14:textId="77777777" w:rsidR="00F029DF" w:rsidRDefault="00F029DF"/>
    <w:p w14:paraId="0000007F" w14:textId="77777777" w:rsidR="00F029DF" w:rsidRDefault="00F029DF"/>
    <w:p w14:paraId="00000080" w14:textId="77777777" w:rsidR="00F029DF" w:rsidRDefault="00F029DF"/>
    <w:p w14:paraId="00000081" w14:textId="77777777" w:rsidR="00F029DF" w:rsidRDefault="00F029DF"/>
    <w:p w14:paraId="00000082" w14:textId="77777777" w:rsidR="00F029DF" w:rsidRDefault="00F029DF"/>
    <w:p w14:paraId="00000083" w14:textId="77777777" w:rsidR="00F029DF" w:rsidRDefault="00F029DF"/>
    <w:p w14:paraId="00000084" w14:textId="77777777" w:rsidR="00F029DF" w:rsidRDefault="00F029DF"/>
    <w:p w14:paraId="00000085" w14:textId="77777777" w:rsidR="00F029DF" w:rsidRDefault="00F029DF"/>
    <w:p w14:paraId="00000086" w14:textId="77777777" w:rsidR="00F029DF" w:rsidRDefault="00F029DF"/>
    <w:p w14:paraId="00000087" w14:textId="77777777" w:rsidR="00F029DF" w:rsidRDefault="00F029DF"/>
    <w:p w14:paraId="00000088" w14:textId="77777777" w:rsidR="00F029DF" w:rsidRDefault="00F029DF"/>
    <w:p w14:paraId="00000089" w14:textId="77777777" w:rsidR="00F029DF" w:rsidRDefault="00F029DF"/>
    <w:p w14:paraId="0000008A" w14:textId="77777777" w:rsidR="00F029DF" w:rsidRDefault="00F029DF"/>
    <w:p w14:paraId="0000008B" w14:textId="77777777" w:rsidR="00F029DF" w:rsidRDefault="00F029DF"/>
    <w:p w14:paraId="0000008C" w14:textId="77777777" w:rsidR="00F029DF" w:rsidRDefault="00F029DF"/>
    <w:p w14:paraId="0000008D" w14:textId="77777777" w:rsidR="00F029DF" w:rsidRDefault="00F029DF"/>
    <w:p w14:paraId="0000008E" w14:textId="77777777" w:rsidR="00F029DF" w:rsidRDefault="00F029DF"/>
    <w:p w14:paraId="0000008F" w14:textId="77777777" w:rsidR="00F029DF" w:rsidRDefault="00F029DF"/>
    <w:p w14:paraId="00000090" w14:textId="77777777" w:rsidR="00F029DF" w:rsidRDefault="00F029DF"/>
    <w:p w14:paraId="00000091" w14:textId="77777777" w:rsidR="00F029DF" w:rsidRDefault="00F029DF"/>
    <w:p w14:paraId="00000092" w14:textId="77777777" w:rsidR="00F029DF" w:rsidRDefault="00F029DF"/>
    <w:p w14:paraId="00000093" w14:textId="77777777" w:rsidR="00F029DF" w:rsidRDefault="00F029DF"/>
    <w:p w14:paraId="00000094" w14:textId="77777777" w:rsidR="00F029DF" w:rsidRDefault="00F029DF"/>
    <w:p w14:paraId="00000095" w14:textId="77777777" w:rsidR="00F029DF" w:rsidRDefault="00F029DF"/>
    <w:p w14:paraId="00000096" w14:textId="77777777" w:rsidR="00F029DF" w:rsidRDefault="00F029DF"/>
    <w:p w14:paraId="00000097" w14:textId="77777777" w:rsidR="00F029DF" w:rsidRDefault="00F029DF"/>
    <w:p w14:paraId="00000098" w14:textId="77777777" w:rsidR="00F029DF" w:rsidRDefault="00F029DF"/>
    <w:p w14:paraId="00000099" w14:textId="77777777" w:rsidR="00F029DF" w:rsidRDefault="00F029DF"/>
    <w:p w14:paraId="0000009A" w14:textId="77777777" w:rsidR="00F029DF" w:rsidRDefault="001A2F7E">
      <w:pPr>
        <w:numPr>
          <w:ilvl w:val="0"/>
          <w:numId w:val="1"/>
        </w:numPr>
        <w:rPr>
          <w:b/>
        </w:rPr>
      </w:pPr>
      <w:r>
        <w:rPr>
          <w:b/>
        </w:rPr>
        <w:lastRenderedPageBreak/>
        <w:t>How effective is MAPPA as a means of managing offenders?</w:t>
      </w:r>
    </w:p>
    <w:p w14:paraId="0000009B" w14:textId="77777777" w:rsidR="00F029DF" w:rsidRDefault="00F029DF"/>
    <w:p w14:paraId="0000009C" w14:textId="77777777" w:rsidR="00F029DF" w:rsidRDefault="001A2F7E">
      <w:r>
        <w:t>Rather than relying on personal experience, support your answer with relevant evidence drawn from academic sources. Word limit: 1,000.</w:t>
      </w:r>
    </w:p>
    <w:p w14:paraId="0000009D" w14:textId="77777777" w:rsidR="00F029DF" w:rsidRDefault="00F029DF"/>
    <w:p w14:paraId="0000009E" w14:textId="77777777" w:rsidR="00F029DF" w:rsidRDefault="00F029DF"/>
    <w:p w14:paraId="0000009F" w14:textId="77777777" w:rsidR="00F029DF" w:rsidRDefault="001A2F7E">
      <w:r>
        <w:t>The Multi-Agency Public Protection Arrangements (MAPPA) were established in Wales and England in 2001, and strengthened in 2003 following the Criminal Justice Act 2003. The aim of establishing MAPPA was to improve inter-agency collaboration, particularly between the police, probation and the prison service. The arrangements are there to make sure that violent and sexual offenders are effectively managed. In this essay I will examine how effective MAPPA is as a means of managing offenders.</w:t>
      </w:r>
    </w:p>
    <w:p w14:paraId="000000A0" w14:textId="77777777" w:rsidR="00F029DF" w:rsidRDefault="001A2F7E">
      <w:r>
        <w:tab/>
        <w:t>The collaboration of agencies on MAPPA is seen as key to successfully managing offenders. Other organisations involved with the police, probation and the prison service include social services, social landlords, youth offending teams, local health services and Jobcentre Plus (Bryant and Bryant, 2021, p.315). HM Inspectorate of Probation notes that effective communication between agencies is a critical success factor for Level 2 and 3 for effective MAPPA management. It also mentions other key factors, including the importance of the systematic exchange of information, the enhanced access to services, and that rapid response is required for escalating risk or deteriorating behaviour (HM Inspectorate of Probation, 2021).</w:t>
      </w:r>
    </w:p>
    <w:p w14:paraId="000000A1" w14:textId="77777777" w:rsidR="00F029DF" w:rsidRDefault="001A2F7E">
      <w:pPr>
        <w:ind w:firstLine="720"/>
      </w:pPr>
      <w:r>
        <w:t xml:space="preserve">In order to confidentially exchange information with partner agencies, relevant officers used the </w:t>
      </w:r>
      <w:proofErr w:type="spellStart"/>
      <w:r>
        <w:t>ViSOR</w:t>
      </w:r>
      <w:proofErr w:type="spellEnd"/>
      <w:r>
        <w:t xml:space="preserve"> secure national database, which was developed to support MAPPA (Norfolk MAPPA, no date). In an inspection report (Criminal Justice Joint Inspection, 2022) it was stated that in their last inspection of MAPPA, they found that prisons and probation were not using </w:t>
      </w:r>
      <w:proofErr w:type="spellStart"/>
      <w:r>
        <w:t>ViSOR</w:t>
      </w:r>
      <w:proofErr w:type="spellEnd"/>
      <w:r>
        <w:t xml:space="preserve"> as a shared working tool. The report notes that even when they did use the </w:t>
      </w:r>
      <w:proofErr w:type="spellStart"/>
      <w:r>
        <w:t>ViSOR</w:t>
      </w:r>
      <w:proofErr w:type="spellEnd"/>
      <w:r>
        <w:t xml:space="preserve"> system, the information was usually of a low standard, and that it was only used in 38% of the cases inspected. This is compared to the police’s use of the system, which the report stated was well-established, and that they added information to the system in almost all of the cases inspected. The report said that:</w:t>
      </w:r>
    </w:p>
    <w:p w14:paraId="000000A2" w14:textId="77777777" w:rsidR="00F029DF" w:rsidRDefault="00F029DF"/>
    <w:p w14:paraId="000000A3" w14:textId="77777777" w:rsidR="00F029DF" w:rsidRDefault="001A2F7E">
      <w:pPr>
        <w:ind w:firstLine="720"/>
      </w:pPr>
      <w:r>
        <w:t xml:space="preserve">“The impact of failing to use </w:t>
      </w:r>
      <w:proofErr w:type="spellStart"/>
      <w:r>
        <w:t>ViSOR</w:t>
      </w:r>
      <w:proofErr w:type="spellEnd"/>
      <w:r>
        <w:t xml:space="preserve"> was highlighted in several cases we inspected.  </w:t>
      </w:r>
    </w:p>
    <w:p w14:paraId="000000A4" w14:textId="77777777" w:rsidR="00F029DF" w:rsidRDefault="001A2F7E">
      <w:pPr>
        <w:ind w:firstLine="720"/>
      </w:pPr>
      <w:r>
        <w:t xml:space="preserve">We found examples where probation practitioners were unaware of crucial </w:t>
      </w:r>
    </w:p>
    <w:p w14:paraId="000000A5" w14:textId="77777777" w:rsidR="00F029DF" w:rsidRDefault="001A2F7E">
      <w:pPr>
        <w:ind w:firstLine="720"/>
      </w:pPr>
      <w:r>
        <w:t xml:space="preserve">risk-related information contained in </w:t>
      </w:r>
      <w:proofErr w:type="spellStart"/>
      <w:r>
        <w:t>ViSOR</w:t>
      </w:r>
      <w:proofErr w:type="spellEnd"/>
      <w:r>
        <w:t xml:space="preserve"> and cases where police had not been </w:t>
      </w:r>
    </w:p>
    <w:p w14:paraId="000000A6" w14:textId="77777777" w:rsidR="00F029DF" w:rsidRDefault="001A2F7E">
      <w:pPr>
        <w:ind w:firstLine="720"/>
      </w:pPr>
      <w:r>
        <w:t xml:space="preserve">updated about important changes.” (Criminal Justice Joint Inspection, 2022, p.33) </w:t>
      </w:r>
    </w:p>
    <w:p w14:paraId="000000A7" w14:textId="77777777" w:rsidR="00F029DF" w:rsidRDefault="00F029DF"/>
    <w:p w14:paraId="000000A8" w14:textId="77777777" w:rsidR="00F029DF" w:rsidRDefault="001A2F7E">
      <w:r>
        <w:t xml:space="preserve">One case study included in the report revealed that a convicted murderer released on a life licence, who was at risk of harm from the community where the murder took place, moved address, but that the probation officer didn’t record the change of address on </w:t>
      </w:r>
      <w:proofErr w:type="spellStart"/>
      <w:r>
        <w:t>ViSOR</w:t>
      </w:r>
      <w:proofErr w:type="spellEnd"/>
      <w:r>
        <w:t xml:space="preserve"> or inform the police of the change. This meant that a trigger plan, which directed police actions if the person in question contacted them in an emergency, was no longer effective. The report also found that in prisons, </w:t>
      </w:r>
      <w:proofErr w:type="spellStart"/>
      <w:r>
        <w:t>ViSOR</w:t>
      </w:r>
      <w:proofErr w:type="spellEnd"/>
      <w:r>
        <w:t xml:space="preserve"> use was limited for most MAPPA prisoners, and didn’t support inter-agency working. </w:t>
      </w:r>
    </w:p>
    <w:p w14:paraId="000000A9" w14:textId="77777777" w:rsidR="00F029DF" w:rsidRDefault="001A2F7E">
      <w:pPr>
        <w:ind w:firstLine="720"/>
      </w:pPr>
      <w:r>
        <w:t>Not all the findings regarding sharing information were negative. In general the Inspectorate found that there was good communication between the authority agencies, but that in areas where there are often changes to teams and staff, finding the relevant people to contact could be difficult.</w:t>
      </w:r>
    </w:p>
    <w:p w14:paraId="000000AA" w14:textId="77777777" w:rsidR="00F029DF" w:rsidRDefault="001A2F7E">
      <w:r>
        <w:lastRenderedPageBreak/>
        <w:tab/>
        <w:t xml:space="preserve">Another way of assessing the effectiveness of MAPPA in managing offenders is by looking at the reoffending rates. MAPPA supervision starts as soon as the offender is released from prison, and the purpose of MAPPA is to reduce the risks posed by offenders to protect the public, including previous victims, from serious harm (Leicester Safeguarding Adults Board, no date). The report ‘Reoffending Analysis of MAPPA Eligible Offenders’ (Ministry of Justice, 2015) provides data on one year reoffending rates of offenders under MAPPA supervision between 2000 and 2010. The report also compares the one year reoffending rates of offenders under MAPPA with a group of similar offenders but who weren’t supervised by MAPPA. </w:t>
      </w:r>
    </w:p>
    <w:p w14:paraId="000000AB" w14:textId="77777777" w:rsidR="00F029DF" w:rsidRDefault="001A2F7E">
      <w:pPr>
        <w:ind w:firstLine="720"/>
      </w:pPr>
      <w:r>
        <w:t>The research found that the rate of one year reoffending among MAPPA offenders classed as high risk decreased by 20% between 2000 and 2010, and that serious reoffending among the same group decreased by 45%. Of the three levels of MAPPA supervision, the offenders at the highest risk of reoffending receive Level 3 management, which includes risk management oversight by senior management at various relevant agencies. Therefore, one of the possible reasons for the decrease in one year reoffending may be because of the intensive oversight that these offenders receive. To compare with offenders not supervised by MAPPA, the report notes that the reduction in reoffending rates for MAPPA offenders, which was down from 30% to 26% between 2000 and 2004 then stable until 2010, was bigger than the reduction in the same rate for non-MAPPA offenders between 2000 and 2010, which was down from 26% to 25%.</w:t>
      </w:r>
    </w:p>
    <w:p w14:paraId="000000AC" w14:textId="77777777" w:rsidR="00F029DF" w:rsidRDefault="001A2F7E">
      <w:pPr>
        <w:ind w:firstLine="720"/>
      </w:pPr>
      <w:r>
        <w:t xml:space="preserve">In terms of conclusions, the 2015 report researchers admit that there are limitations to the data and the analysis method which means that it isn’t possible to isolate the effect of MAPPA. However, the researchers show that the statistics suggest that MAPPA may be contributing to reducing the one year reoffending rates. </w:t>
      </w:r>
    </w:p>
    <w:p w14:paraId="000000AD" w14:textId="77777777" w:rsidR="00F029DF" w:rsidRDefault="001A2F7E">
      <w:pPr>
        <w:ind w:firstLine="720"/>
      </w:pPr>
      <w:r>
        <w:t>The Multi-Agency Public Protection Arrangements (MAPPA) Annual Report 2021/22 (Ministry of Justice, 2022) does not include detailed figures regarding reoffending rates or any specified one year reoffending rates to compare with the figures in the 2015 reoffending analysis report, but it does report that the licence recall returns were up by 11% in 2021/22, which is the fourth successive annual increase.</w:t>
      </w:r>
    </w:p>
    <w:p w14:paraId="000000AE" w14:textId="77777777" w:rsidR="00F029DF" w:rsidRDefault="001A2F7E">
      <w:pPr>
        <w:ind w:firstLine="720"/>
      </w:pPr>
      <w:r>
        <w:t xml:space="preserve">It could be argued that the core authorities of MAPPA - the police, probation and the prison service - believe that MAPPA is a good and effective way of managing offenders, as the number of offenders managed by MAPPA on 31 March 2022 was 89,438, which is an increase of 61% since 2012. But this could also mean that more offenders fit the criteria needed to be included in the framework. It is fair to think that better co-operation between authorities and agencies to manage offenders should be more successful than having all the relevant agencies working separately. But in order to work together effectively, all partners should show the same commitment to sharing information and updating the database. </w:t>
      </w:r>
      <w:proofErr w:type="spellStart"/>
      <w:r>
        <w:t>ViSOR</w:t>
      </w:r>
      <w:proofErr w:type="spellEnd"/>
      <w:r>
        <w:t xml:space="preserve"> was developed to support MAPPA, and should be used as it was designed in order to make MAPPA more effective.</w:t>
      </w:r>
    </w:p>
    <w:p w14:paraId="000000AF" w14:textId="77777777" w:rsidR="00F029DF" w:rsidRDefault="001A2F7E">
      <w:pPr>
        <w:ind w:firstLine="720"/>
      </w:pPr>
      <w:r>
        <w:t>I believe that MAPPA is a good way of managing offenders, but from the research mentioned in this essay, it seems that there needs to be improvements in collaboration and information sharing for it to be more successful.</w:t>
      </w:r>
    </w:p>
    <w:p w14:paraId="000000B0" w14:textId="77777777" w:rsidR="00F029DF" w:rsidRDefault="001A2F7E">
      <w:r>
        <w:tab/>
      </w:r>
    </w:p>
    <w:p w14:paraId="000000B1" w14:textId="77777777" w:rsidR="00F029DF" w:rsidRDefault="001A2F7E">
      <w:r>
        <w:t>Word count: 1,049</w:t>
      </w:r>
    </w:p>
    <w:p w14:paraId="000000B2" w14:textId="77777777" w:rsidR="00F029DF" w:rsidRDefault="00F029DF"/>
    <w:p w14:paraId="000000B3" w14:textId="77777777" w:rsidR="00F029DF" w:rsidRDefault="00F029DF"/>
    <w:p w14:paraId="000000B4" w14:textId="77777777" w:rsidR="00F029DF" w:rsidRDefault="00F029DF"/>
    <w:p w14:paraId="000000B5" w14:textId="77777777" w:rsidR="00F029DF" w:rsidRDefault="00F029DF"/>
    <w:p w14:paraId="000000B6" w14:textId="77777777" w:rsidR="00F029DF" w:rsidRDefault="001A2F7E">
      <w:pPr>
        <w:numPr>
          <w:ilvl w:val="0"/>
          <w:numId w:val="1"/>
        </w:numPr>
        <w:rPr>
          <w:b/>
        </w:rPr>
      </w:pPr>
      <w:r>
        <w:rPr>
          <w:b/>
        </w:rPr>
        <w:lastRenderedPageBreak/>
        <w:t>Why is it necessary for independent bodies, i.e. IOPC, to hold police officers accountable?</w:t>
      </w:r>
    </w:p>
    <w:p w14:paraId="000000B7" w14:textId="77777777" w:rsidR="00F029DF" w:rsidRDefault="00F029DF"/>
    <w:p w14:paraId="000000B8" w14:textId="77777777" w:rsidR="00F029DF" w:rsidRDefault="001A2F7E">
      <w:r>
        <w:t>You must use academic research to support your answer. Word count: 1,000.</w:t>
      </w:r>
    </w:p>
    <w:p w14:paraId="000000B9" w14:textId="77777777" w:rsidR="00F029DF" w:rsidRDefault="00F029DF"/>
    <w:p w14:paraId="000000BA" w14:textId="77777777" w:rsidR="00F029DF" w:rsidRDefault="00F029DF"/>
    <w:p w14:paraId="000000BB" w14:textId="77777777" w:rsidR="00F029DF" w:rsidRDefault="001A2F7E">
      <w:r>
        <w:t>The Independent Office for Police Conduct (IOPC) replaced the Independent Police Complaints Commission (IPCC) in 2018, following the Police and Crime Act 2017. In an article in the Independent, it was stated that one of the reasons for the change was the public dissatisfaction about deaths in custody (Dearden, 2018), and that the Home Office claimed that the IOPC would ensure greater accountability to the public. The new body was given new powers, including the ability to launch its own investigations without waiting for a referral from police forces. In this essay I will be highlighting some of the key factors why it is necessary for the IOPC to hold police officers accountable.</w:t>
      </w:r>
    </w:p>
    <w:p w14:paraId="000000BC" w14:textId="77777777" w:rsidR="00F029DF" w:rsidRDefault="001A2F7E">
      <w:r>
        <w:tab/>
        <w:t>‘Policing the Police in the United Kingdom’ (Seneviratne, 2010) argues that:</w:t>
      </w:r>
    </w:p>
    <w:p w14:paraId="000000BD" w14:textId="77777777" w:rsidR="00F029DF" w:rsidRDefault="001A2F7E">
      <w:pPr>
        <w:ind w:firstLine="720"/>
      </w:pPr>
      <w:r>
        <w:tab/>
      </w:r>
    </w:p>
    <w:p w14:paraId="000000BE" w14:textId="77777777" w:rsidR="00F029DF" w:rsidRDefault="001A2F7E">
      <w:pPr>
        <w:ind w:firstLine="720"/>
      </w:pPr>
      <w:r>
        <w:t xml:space="preserve">Accountability is an essential prerequisite of public confidence in the police service, </w:t>
      </w:r>
    </w:p>
    <w:p w14:paraId="000000BF" w14:textId="77777777" w:rsidR="00F029DF" w:rsidRDefault="001A2F7E">
      <w:pPr>
        <w:ind w:firstLine="720"/>
      </w:pPr>
      <w:r>
        <w:t xml:space="preserve">because, as already noted, police misconduct, if unfettered, can threaten the </w:t>
      </w:r>
    </w:p>
    <w:p w14:paraId="000000C0" w14:textId="77777777" w:rsidR="00F029DF" w:rsidRDefault="001A2F7E">
      <w:pPr>
        <w:ind w:left="720"/>
      </w:pPr>
      <w:r>
        <w:t>credibility of the criminal justice system and the effectiveness of the police. (Seneviratne, 2010, p.5)</w:t>
      </w:r>
    </w:p>
    <w:p w14:paraId="000000C1" w14:textId="77777777" w:rsidR="00F029DF" w:rsidRDefault="00F029DF">
      <w:pPr>
        <w:ind w:firstLine="720"/>
      </w:pPr>
    </w:p>
    <w:p w14:paraId="000000C2" w14:textId="77777777" w:rsidR="00F029DF" w:rsidRDefault="001A2F7E">
      <w:r>
        <w:t xml:space="preserve">There have been many cases over the years where the police were seen by many to be either untrustworthy or even corrupt. The Macpherson Report which followed the Stephen Lawrence Inquiry found that the Metropolitan Police Service was ‘institutionally racist’ (Macpherson, 1999, p.181) and there have been numerous reports of police officers being charged or imprisoned for serious crimes, including rape and murder. The most well-known of these recent cases is the murder of Sarah Everard, killed by a serving police officer in 2021. </w:t>
      </w:r>
    </w:p>
    <w:p w14:paraId="000000C3" w14:textId="77777777" w:rsidR="00F029DF" w:rsidRDefault="001A2F7E">
      <w:r>
        <w:tab/>
        <w:t>A more recent case that has drawn a lot of attention is the case of PC David Carrick, who admitted to being a serial rapist. The officer pleaded guilty to 49 offences over twenty years (BBC News, 2023), including rape, false imprisonment and indecent assault. But an important detail in the case is that the Metropolitan Police Service was previously aware of nine incidents involving the officer. The IOPC’s statement (IOPC, 2023) following the guilty pleas revealed that the Metropolitan Police Service had referred itself to the IOPC because of concerns around the MPS’s handling of:</w:t>
      </w:r>
    </w:p>
    <w:p w14:paraId="000000C4" w14:textId="77777777" w:rsidR="00F029DF" w:rsidRDefault="00F029DF"/>
    <w:p w14:paraId="000000C5" w14:textId="77777777" w:rsidR="00F029DF" w:rsidRDefault="001A2F7E">
      <w:r>
        <w:tab/>
        <w:t>“allegations of assault and harassment made against him in 2002.” (IOPC, 2023)</w:t>
      </w:r>
    </w:p>
    <w:p w14:paraId="000000C6" w14:textId="77777777" w:rsidR="00F029DF" w:rsidRDefault="00F029DF"/>
    <w:p w14:paraId="000000C7" w14:textId="77777777" w:rsidR="00F029DF" w:rsidRDefault="001A2F7E">
      <w:r>
        <w:t>The MPS only gave the officer ‘words of advice’ on that occasion. It is fair to think from this information that if the IOPC existed in 2002, it could have launched its own investigation into the allegations, and the MPS’s actions, and the outcome could have been different. If it looks like the previous allegations were not dealt with properly, then the public could wonder if further offences could have been avoided, and also if they can trust officers within their own communities. It could be argued that it isn’t fair to victims if the police that they distrust are investigating themselves and could be biased in favour of their colleagues. It could also be argued that it could put pressure on officers who may not feel comfortable investigating the accountability of other officers.</w:t>
      </w:r>
      <w:r>
        <w:tab/>
      </w:r>
    </w:p>
    <w:p w14:paraId="000000C8" w14:textId="77777777" w:rsidR="00F029DF" w:rsidRDefault="001A2F7E">
      <w:pPr>
        <w:ind w:firstLine="720"/>
      </w:pPr>
      <w:r>
        <w:t>The report ‘Police Conduct and Complaints’ highlights in the conclusions that:</w:t>
      </w:r>
    </w:p>
    <w:p w14:paraId="000000C9" w14:textId="77777777" w:rsidR="00F029DF" w:rsidRDefault="00F029DF"/>
    <w:p w14:paraId="000000CA" w14:textId="77777777" w:rsidR="00F029DF" w:rsidRDefault="001A2F7E">
      <w:pPr>
        <w:ind w:left="720"/>
      </w:pPr>
      <w:r>
        <w:t>“The police service upholds the law on behalf of the public and holds a unique position with a need for legitimacy in its use of power.” (House of Commons Home Affairs Committee, 2022, p.45)</w:t>
      </w:r>
    </w:p>
    <w:p w14:paraId="000000CB" w14:textId="77777777" w:rsidR="00F029DF" w:rsidRDefault="00F029DF"/>
    <w:p w14:paraId="000000CC" w14:textId="77777777" w:rsidR="00F029DF" w:rsidRDefault="001A2F7E">
      <w:r>
        <w:t>It goes on to say that a number of policing bodies and other organisations have praised the IOPC for the efforts of trying to build public trust by listening to policing bodies and communities about their concerns, and by being more transparent when publishing the findings of investigations.</w:t>
      </w:r>
    </w:p>
    <w:p w14:paraId="000000CD" w14:textId="77777777" w:rsidR="00F029DF" w:rsidRDefault="001A2F7E">
      <w:pPr>
        <w:ind w:firstLine="720"/>
      </w:pPr>
      <w:r>
        <w:t>Even though the IOPC is trying to build public confidence and trust in the police, according to an article in The Guardian (Taylor, 2020) titled ‘Racism campaigners call for police watchdog to be abolished’, communities and in particular families of people who have died after police contact argue that when the IOPC fails to prosecute officers, it sends the message that the state can act with impunity. One of the demands of the United Families &amp; Friends Campaign (UFFC) is the abolition of the IOPC, and for it to be replaced with a ‘truly’ independent body.</w:t>
      </w:r>
    </w:p>
    <w:p w14:paraId="000000CE" w14:textId="77777777" w:rsidR="00F029DF" w:rsidRDefault="001A2F7E">
      <w:r>
        <w:tab/>
        <w:t>The House of Commons Home Affairs Committee report refers to the issue of whether or not former police officers should be employed as IOPC investigators. It states that the worry is that former officers would be seen to be potentially ‘marking their own homework’. But the other side of the argument is that former officers understand police culture, and bring the skills they learned in the police to investigations at the IOPC. It concluded that:</w:t>
      </w:r>
    </w:p>
    <w:p w14:paraId="000000CF" w14:textId="77777777" w:rsidR="00F029DF" w:rsidRDefault="00F029DF"/>
    <w:p w14:paraId="000000D0" w14:textId="77777777" w:rsidR="00F029DF" w:rsidRDefault="001A2F7E">
      <w:pPr>
        <w:ind w:left="720"/>
      </w:pPr>
      <w:r>
        <w:t>“It seems that an appropriate balance of former serving officers and investigators with other backgrounds is the right one to strike.” (House of Commons Home Affairs Committee, 2022, p.46)</w:t>
      </w:r>
    </w:p>
    <w:p w14:paraId="000000D1" w14:textId="77777777" w:rsidR="00F029DF" w:rsidRDefault="00F029DF"/>
    <w:p w14:paraId="000000D2" w14:textId="77777777" w:rsidR="00F029DF" w:rsidRDefault="001A2F7E">
      <w:r>
        <w:t>However, the report suggests that the IOPC should recruit wider to include candidates from other investigative backgrounds, such as former military personnel. According to a Freedom of Information (FOI) request (IOPC, 2020), in November 2020 there were 136 former officers employed by the IOPC, which was 13% of the workforce. But it is important to point out that by law, the Director General of the IOPC can never have worked for the police, and also none of the IOPC’s executive team, regional directors or the Director for Wales are former police employees.</w:t>
      </w:r>
    </w:p>
    <w:p w14:paraId="000000D3" w14:textId="77777777" w:rsidR="00F029DF" w:rsidRDefault="001A2F7E">
      <w:r>
        <w:tab/>
        <w:t xml:space="preserve">In the IOPC’s latest performance information (IOPC, 2022), the organisation seems to have passed its targets in terms of completing investigations in a timely manner within its ‘Strategic Objective 2: Accountability’, e.g. currently 89% of investigations were completed within 12 months, and the target was 85%. Overall the results in this section are showing successful outcomes across the board. However, the information shows that the IOPC still needs to increase people’s awareness about the complaints system - it narrowly missed its target of increasing awareness to 65%, with the result currently being 62%. </w:t>
      </w:r>
      <w:r>
        <w:tab/>
      </w:r>
    </w:p>
    <w:p w14:paraId="000000D4" w14:textId="77777777" w:rsidR="00F029DF" w:rsidRDefault="001A2F7E">
      <w:pPr>
        <w:ind w:firstLine="720"/>
      </w:pPr>
      <w:r>
        <w:t xml:space="preserve">There are many reasons why police officers should be held accountable by an independent body. As the quote earlier by Mary Seneviratne says, you cannot have public confidence in the police without accountability. However the public also needs to have better knowledge about how the complaints system works, and to have confidence in the IOPC and its investigations. More transparent accountability may be a way of trying to repair some of the damage caused to public confidence in the police highlighted by various high profile cases of serious crimes committed by officers. It is necessary for the IOPC to hold officers </w:t>
      </w:r>
      <w:r>
        <w:lastRenderedPageBreak/>
        <w:t>accountable for the public to have confidence that the police aren’t expected to ‘mark their own homework’.</w:t>
      </w:r>
    </w:p>
    <w:p w14:paraId="000000D5" w14:textId="77777777" w:rsidR="00F029DF" w:rsidRDefault="00F029DF"/>
    <w:p w14:paraId="000000D6" w14:textId="77777777" w:rsidR="00F029DF" w:rsidRDefault="001A2F7E">
      <w:r>
        <w:t>Word count: 1,087</w:t>
      </w:r>
    </w:p>
    <w:p w14:paraId="000000D7" w14:textId="77777777" w:rsidR="00F029DF" w:rsidRDefault="00F029DF"/>
    <w:p w14:paraId="000000D8" w14:textId="77777777" w:rsidR="00F029DF" w:rsidRDefault="00F029DF"/>
    <w:p w14:paraId="000000D9" w14:textId="77777777" w:rsidR="00F029DF" w:rsidRDefault="00F029DF"/>
    <w:p w14:paraId="000000DA" w14:textId="77777777" w:rsidR="00F029DF" w:rsidRDefault="00F029DF"/>
    <w:p w14:paraId="000000DB" w14:textId="77777777" w:rsidR="00F029DF" w:rsidRDefault="00F029DF"/>
    <w:p w14:paraId="000000DC" w14:textId="77777777" w:rsidR="00F029DF" w:rsidRDefault="00F029DF"/>
    <w:p w14:paraId="000000DD" w14:textId="77777777" w:rsidR="00F029DF" w:rsidRDefault="00F029DF"/>
    <w:p w14:paraId="000000DE" w14:textId="77777777" w:rsidR="00F029DF" w:rsidRDefault="00F029DF"/>
    <w:p w14:paraId="000000DF" w14:textId="77777777" w:rsidR="00F029DF" w:rsidRDefault="00F029DF"/>
    <w:p w14:paraId="000000E0" w14:textId="77777777" w:rsidR="00F029DF" w:rsidRDefault="00F029DF"/>
    <w:p w14:paraId="000000E1" w14:textId="77777777" w:rsidR="00F029DF" w:rsidRDefault="00F029DF"/>
    <w:p w14:paraId="000000E2" w14:textId="77777777" w:rsidR="00F029DF" w:rsidRDefault="00F029DF"/>
    <w:p w14:paraId="000000E3" w14:textId="77777777" w:rsidR="00F029DF" w:rsidRDefault="00F029DF"/>
    <w:p w14:paraId="000000E4" w14:textId="77777777" w:rsidR="00F029DF" w:rsidRDefault="00F029DF"/>
    <w:p w14:paraId="000000E5" w14:textId="77777777" w:rsidR="00F029DF" w:rsidRDefault="00F029DF"/>
    <w:p w14:paraId="000000E6" w14:textId="77777777" w:rsidR="00F029DF" w:rsidRDefault="00F029DF"/>
    <w:p w14:paraId="000000E7" w14:textId="77777777" w:rsidR="00F029DF" w:rsidRDefault="00F029DF"/>
    <w:p w14:paraId="000000E8" w14:textId="77777777" w:rsidR="00F029DF" w:rsidRDefault="00F029DF"/>
    <w:p w14:paraId="000000E9" w14:textId="77777777" w:rsidR="00F029DF" w:rsidRDefault="00F029DF"/>
    <w:p w14:paraId="000000EA" w14:textId="77777777" w:rsidR="00F029DF" w:rsidRDefault="00F029DF"/>
    <w:p w14:paraId="000000EB" w14:textId="77777777" w:rsidR="00F029DF" w:rsidRDefault="00F029DF"/>
    <w:p w14:paraId="000000EC" w14:textId="77777777" w:rsidR="00F029DF" w:rsidRDefault="00F029DF"/>
    <w:p w14:paraId="000000ED" w14:textId="77777777" w:rsidR="00F029DF" w:rsidRDefault="00F029DF"/>
    <w:p w14:paraId="000000EE" w14:textId="77777777" w:rsidR="00F029DF" w:rsidRDefault="00F029DF"/>
    <w:p w14:paraId="000000EF" w14:textId="77777777" w:rsidR="00F029DF" w:rsidRDefault="00F029DF"/>
    <w:p w14:paraId="000000F0" w14:textId="77777777" w:rsidR="00F029DF" w:rsidRDefault="00F029DF"/>
    <w:p w14:paraId="000000F1" w14:textId="77777777" w:rsidR="00F029DF" w:rsidRDefault="00F029DF"/>
    <w:p w14:paraId="000000F2" w14:textId="77777777" w:rsidR="00F029DF" w:rsidRDefault="00F029DF"/>
    <w:p w14:paraId="000000F3" w14:textId="77777777" w:rsidR="00F029DF" w:rsidRDefault="00F029DF"/>
    <w:p w14:paraId="000000F4" w14:textId="77777777" w:rsidR="00F029DF" w:rsidRDefault="00F029DF"/>
    <w:p w14:paraId="000000F5" w14:textId="77777777" w:rsidR="00F029DF" w:rsidRDefault="00F029DF"/>
    <w:p w14:paraId="000000F6" w14:textId="77777777" w:rsidR="00F029DF" w:rsidRDefault="00F029DF"/>
    <w:p w14:paraId="000000F7" w14:textId="77777777" w:rsidR="00F029DF" w:rsidRDefault="00F029DF"/>
    <w:p w14:paraId="000000F8" w14:textId="77777777" w:rsidR="00F029DF" w:rsidRDefault="00F029DF"/>
    <w:p w14:paraId="000000F9" w14:textId="77777777" w:rsidR="00F029DF" w:rsidRDefault="00F029DF"/>
    <w:p w14:paraId="000000FA" w14:textId="77777777" w:rsidR="00F029DF" w:rsidRDefault="00F029DF"/>
    <w:p w14:paraId="000000FB" w14:textId="77777777" w:rsidR="00F029DF" w:rsidRDefault="00F029DF"/>
    <w:p w14:paraId="000000FC" w14:textId="77777777" w:rsidR="00F029DF" w:rsidRDefault="00F029DF"/>
    <w:p w14:paraId="000000FD" w14:textId="77777777" w:rsidR="00F029DF" w:rsidRDefault="00F029DF"/>
    <w:p w14:paraId="000000FE" w14:textId="77777777" w:rsidR="00F029DF" w:rsidRDefault="00F029DF"/>
    <w:p w14:paraId="000000FF" w14:textId="77777777" w:rsidR="00F029DF" w:rsidRDefault="00F029DF"/>
    <w:p w14:paraId="00000100" w14:textId="77777777" w:rsidR="00F029DF" w:rsidRDefault="00F029DF"/>
    <w:p w14:paraId="00000101" w14:textId="77777777" w:rsidR="00F029DF" w:rsidRDefault="00F029DF"/>
    <w:p w14:paraId="00000102" w14:textId="77777777" w:rsidR="00F029DF" w:rsidRDefault="00F029DF"/>
    <w:p w14:paraId="00000103" w14:textId="77777777" w:rsidR="00F029DF" w:rsidRDefault="001A2F7E">
      <w:pPr>
        <w:rPr>
          <w:b/>
          <w:sz w:val="26"/>
          <w:szCs w:val="26"/>
        </w:rPr>
      </w:pPr>
      <w:r>
        <w:rPr>
          <w:b/>
          <w:sz w:val="26"/>
          <w:szCs w:val="26"/>
        </w:rPr>
        <w:lastRenderedPageBreak/>
        <w:t>Bibliography</w:t>
      </w:r>
    </w:p>
    <w:p w14:paraId="00000104" w14:textId="77777777" w:rsidR="00F029DF" w:rsidRDefault="00F029DF"/>
    <w:p w14:paraId="00000105" w14:textId="77777777" w:rsidR="00F029DF" w:rsidRDefault="001A2F7E">
      <w:pPr>
        <w:spacing w:line="240" w:lineRule="auto"/>
      </w:pPr>
      <w:r>
        <w:t xml:space="preserve">BBC News (2023) ‘Met Police officer David Carrick admits to being serial rapist’, </w:t>
      </w:r>
      <w:r>
        <w:rPr>
          <w:i/>
        </w:rPr>
        <w:t>BBC News,</w:t>
      </w:r>
      <w:r>
        <w:t xml:space="preserve"> 16th January. Available at: </w:t>
      </w:r>
      <w:hyperlink r:id="rId7">
        <w:r>
          <w:rPr>
            <w:color w:val="1155CC"/>
            <w:u w:val="single"/>
          </w:rPr>
          <w:t>www.bbc.co.uk/news/uk-england-beds-bucks-herts-64289461</w:t>
        </w:r>
      </w:hyperlink>
      <w:r>
        <w:t xml:space="preserve"> (Accessed: 4 February 2023)</w:t>
      </w:r>
    </w:p>
    <w:p w14:paraId="00000106" w14:textId="77777777" w:rsidR="00F029DF" w:rsidRDefault="00F029DF">
      <w:pPr>
        <w:spacing w:line="240" w:lineRule="auto"/>
      </w:pPr>
    </w:p>
    <w:p w14:paraId="00000107" w14:textId="77777777" w:rsidR="00F029DF" w:rsidRDefault="001A2F7E">
      <w:pPr>
        <w:spacing w:line="240" w:lineRule="auto"/>
      </w:pPr>
      <w:proofErr w:type="spellStart"/>
      <w:r>
        <w:t>Bhugowandeen</w:t>
      </w:r>
      <w:proofErr w:type="spellEnd"/>
      <w:r>
        <w:t xml:space="preserve">, Bela (2013) </w:t>
      </w:r>
      <w:r>
        <w:rPr>
          <w:i/>
        </w:rPr>
        <w:t>Diversity in the British police: adapting to a multicultural society</w:t>
      </w:r>
      <w:r>
        <w:t xml:space="preserve">. Available at: </w:t>
      </w:r>
      <w:hyperlink r:id="rId8" w:anchor="tocto1n2">
        <w:r>
          <w:rPr>
            <w:color w:val="1155CC"/>
            <w:u w:val="single"/>
          </w:rPr>
          <w:t>journals.openedition.org/</w:t>
        </w:r>
        <w:proofErr w:type="spellStart"/>
        <w:r>
          <w:rPr>
            <w:color w:val="1155CC"/>
            <w:u w:val="single"/>
          </w:rPr>
          <w:t>mimmoc</w:t>
        </w:r>
        <w:proofErr w:type="spellEnd"/>
        <w:r>
          <w:rPr>
            <w:color w:val="1155CC"/>
            <w:u w:val="single"/>
          </w:rPr>
          <w:t>/1340#tocto1n2</w:t>
        </w:r>
      </w:hyperlink>
      <w:r>
        <w:t xml:space="preserve"> (Accessed: 23 January 2023)</w:t>
      </w:r>
    </w:p>
    <w:p w14:paraId="00000108" w14:textId="77777777" w:rsidR="00F029DF" w:rsidRDefault="00F029DF">
      <w:pPr>
        <w:spacing w:line="240" w:lineRule="auto"/>
      </w:pPr>
    </w:p>
    <w:p w14:paraId="00000109" w14:textId="77777777" w:rsidR="00F029DF" w:rsidRDefault="001A2F7E">
      <w:r>
        <w:t xml:space="preserve">Bowling, Ben et al. (2003) ‘Policing ethnic minority communities’, in Newburn, T. (ed.) </w:t>
      </w:r>
      <w:r>
        <w:rPr>
          <w:i/>
        </w:rPr>
        <w:t>Handbook of Policing</w:t>
      </w:r>
      <w:r>
        <w:t xml:space="preserve">. Devon: Willan Publishing. Available at: </w:t>
      </w:r>
      <w:hyperlink r:id="rId9">
        <w:r>
          <w:rPr>
            <w:color w:val="1155CC"/>
            <w:u w:val="single"/>
          </w:rPr>
          <w:t>thinkethnic.com/wp-content/uploads/2012/02/Policing%20ethnic%20minority%20communities.pdf</w:t>
        </w:r>
      </w:hyperlink>
      <w:r>
        <w:t xml:space="preserve"> (Accessed: 23 January 2023)</w:t>
      </w:r>
    </w:p>
    <w:p w14:paraId="0000010A" w14:textId="77777777" w:rsidR="00F029DF" w:rsidRDefault="00F029DF">
      <w:pPr>
        <w:rPr>
          <w:highlight w:val="yellow"/>
        </w:rPr>
      </w:pPr>
    </w:p>
    <w:p w14:paraId="0000010B" w14:textId="77777777" w:rsidR="00F029DF" w:rsidRDefault="001A2F7E">
      <w:pPr>
        <w:spacing w:line="240" w:lineRule="auto"/>
      </w:pPr>
      <w:r>
        <w:t xml:space="preserve">Brewster, Ben. et al (2021) </w:t>
      </w:r>
      <w:r>
        <w:rPr>
          <w:i/>
        </w:rPr>
        <w:t xml:space="preserve">Child Criminal Exploitation and County Lines drug distribution: Understanding the impact of Covid-19. </w:t>
      </w:r>
      <w:r>
        <w:t xml:space="preserve">Available at: </w:t>
      </w:r>
      <w:hyperlink r:id="rId10">
        <w:r>
          <w:rPr>
            <w:color w:val="1155CC"/>
            <w:u w:val="single"/>
          </w:rPr>
          <w:t>www.nottingham.ac.uk/research/beacons-of-excellence/rights-lab/resources/reports-and-briefings/2022/april/child-criminal-exploitation-and-county-lines-drug-distribution.pdf</w:t>
        </w:r>
      </w:hyperlink>
      <w:r>
        <w:t xml:space="preserve"> (Accessed: 27 January 2023)</w:t>
      </w:r>
    </w:p>
    <w:p w14:paraId="0000010C" w14:textId="77777777" w:rsidR="00F029DF" w:rsidRDefault="00F029DF">
      <w:pPr>
        <w:spacing w:line="240" w:lineRule="auto"/>
      </w:pPr>
    </w:p>
    <w:p w14:paraId="0000010D" w14:textId="77777777" w:rsidR="00F029DF" w:rsidRDefault="001A2F7E">
      <w:r>
        <w:t xml:space="preserve">Brewster, Ben. et al. (2021) </w:t>
      </w:r>
      <w:r>
        <w:rPr>
          <w:i/>
        </w:rPr>
        <w:t>Covid-19 and child criminal exploitation in the UK: implications of the pandemic for county lines.</w:t>
      </w:r>
      <w:r>
        <w:t xml:space="preserve"> Available at:</w:t>
      </w:r>
    </w:p>
    <w:p w14:paraId="0000010E" w14:textId="77777777" w:rsidR="00F029DF" w:rsidRDefault="00B25791">
      <w:pPr>
        <w:spacing w:line="240" w:lineRule="auto"/>
      </w:pPr>
      <w:hyperlink r:id="rId11">
        <w:r w:rsidR="001A2F7E">
          <w:rPr>
            <w:color w:val="1155CC"/>
            <w:u w:val="single"/>
          </w:rPr>
          <w:t>www.nottingham.ac.uk/research/beacons-of-excellence/rights-lab/resources/academic-publications/2021/covid-19-and-child-criminal-exploitation-in-the-uk-implications-of-the-pandemic-for-county-lines.pdf</w:t>
        </w:r>
      </w:hyperlink>
      <w:r w:rsidR="001A2F7E">
        <w:t xml:space="preserve"> (Accessed: 29 January 2023)</w:t>
      </w:r>
    </w:p>
    <w:p w14:paraId="0000010F" w14:textId="77777777" w:rsidR="00F029DF" w:rsidRDefault="00F029DF">
      <w:pPr>
        <w:rPr>
          <w:highlight w:val="yellow"/>
        </w:rPr>
      </w:pPr>
    </w:p>
    <w:p w14:paraId="00000110" w14:textId="77777777" w:rsidR="00F029DF" w:rsidRDefault="001A2F7E">
      <w:pPr>
        <w:rPr>
          <w:highlight w:val="yellow"/>
        </w:rPr>
      </w:pPr>
      <w:r>
        <w:t xml:space="preserve">Bryant, R. and Bryant, S. (2021) </w:t>
      </w:r>
      <w:r>
        <w:rPr>
          <w:i/>
        </w:rPr>
        <w:t>Blackstone's Handbook for Policing Students. 15th ed.</w:t>
      </w:r>
      <w:r>
        <w:t>, Oxford: Oxford University Press.</w:t>
      </w:r>
    </w:p>
    <w:p w14:paraId="00000111" w14:textId="77777777" w:rsidR="00F029DF" w:rsidRDefault="00F029DF">
      <w:pPr>
        <w:spacing w:line="240" w:lineRule="auto"/>
        <w:rPr>
          <w:sz w:val="20"/>
          <w:szCs w:val="20"/>
        </w:rPr>
      </w:pPr>
    </w:p>
    <w:p w14:paraId="00000112" w14:textId="77777777" w:rsidR="00F029DF" w:rsidRDefault="001A2F7E">
      <w:pPr>
        <w:spacing w:line="240" w:lineRule="auto"/>
      </w:pPr>
      <w:r>
        <w:t xml:space="preserve">Bury, Jonah et al. (2018) </w:t>
      </w:r>
      <w:r>
        <w:rPr>
          <w:i/>
        </w:rPr>
        <w:t>Enhancing Diversity in Policing</w:t>
      </w:r>
      <w:r>
        <w:t xml:space="preserve">. Available at: </w:t>
      </w:r>
      <w:hyperlink r:id="rId12">
        <w:r>
          <w:rPr>
            <w:color w:val="1155CC"/>
            <w:u w:val="single"/>
          </w:rPr>
          <w:t>www.npcc.police.uk/documents/edhr/2018/NatCen%20Enhancing%20Diversity%20in%20Policing%20Report.pdf</w:t>
        </w:r>
      </w:hyperlink>
      <w:r>
        <w:t xml:space="preserve"> (Accessed: 24 January 2023)</w:t>
      </w:r>
    </w:p>
    <w:p w14:paraId="00000113" w14:textId="77777777" w:rsidR="00F029DF" w:rsidRDefault="00F029DF">
      <w:pPr>
        <w:spacing w:line="240" w:lineRule="auto"/>
      </w:pPr>
    </w:p>
    <w:p w14:paraId="00000114" w14:textId="77777777" w:rsidR="00F029DF" w:rsidRDefault="001A2F7E">
      <w:pPr>
        <w:spacing w:line="240" w:lineRule="auto"/>
      </w:pPr>
      <w:r>
        <w:t xml:space="preserve">Criminal Justice Joint Inspection (2022) </w:t>
      </w:r>
      <w:r>
        <w:rPr>
          <w:i/>
        </w:rPr>
        <w:t>Twenty years on, is MAPPA achieving its objectives?</w:t>
      </w:r>
      <w:r>
        <w:t xml:space="preserve"> Available at: </w:t>
      </w:r>
      <w:hyperlink r:id="rId13">
        <w:r>
          <w:rPr>
            <w:color w:val="1155CC"/>
            <w:u w:val="single"/>
          </w:rPr>
          <w:t>www.justiceinspectorates.gov.uk/hmiprobation/wp-content/uploads/sites/5/2022/07/A-joint-thematic-inspection-of-Multi-Agency-Public-Protection-Arrangements.pdf</w:t>
        </w:r>
      </w:hyperlink>
      <w:r>
        <w:t xml:space="preserve"> (Accessed: 30 January 2023)</w:t>
      </w:r>
    </w:p>
    <w:p w14:paraId="00000115" w14:textId="77777777" w:rsidR="00F029DF" w:rsidRDefault="00F029DF">
      <w:pPr>
        <w:spacing w:line="240" w:lineRule="auto"/>
      </w:pPr>
    </w:p>
    <w:p w14:paraId="00000116" w14:textId="77777777" w:rsidR="00F029DF" w:rsidRDefault="001A2F7E">
      <w:pPr>
        <w:spacing w:line="240" w:lineRule="auto"/>
      </w:pPr>
      <w:r>
        <w:t xml:space="preserve">Dearden, Lizzie (2018) ‘New police watchdog launches to replace IPCC and ensure 'greater accountability to public'’, </w:t>
      </w:r>
      <w:r>
        <w:rPr>
          <w:i/>
        </w:rPr>
        <w:t>Independent</w:t>
      </w:r>
      <w:r>
        <w:t xml:space="preserve">, 8th January. Available at: </w:t>
      </w:r>
      <w:hyperlink r:id="rId14">
        <w:r>
          <w:rPr>
            <w:color w:val="1155CC"/>
            <w:u w:val="single"/>
          </w:rPr>
          <w:t>www.independent.co.uk/news/uk/crime/police-watchdog-launch-iopc-replace-ipcc-independent-office-for-police-conduct-uk-public-accountability-a8147696.html</w:t>
        </w:r>
      </w:hyperlink>
      <w:r>
        <w:t xml:space="preserve"> (Accessed: 4 February 2023)</w:t>
      </w:r>
    </w:p>
    <w:p w14:paraId="00000117" w14:textId="77777777" w:rsidR="00F029DF" w:rsidRDefault="00F029DF">
      <w:pPr>
        <w:spacing w:line="240" w:lineRule="auto"/>
      </w:pPr>
    </w:p>
    <w:p w14:paraId="00000118" w14:textId="77777777" w:rsidR="00F029DF" w:rsidRDefault="001A2F7E">
      <w:r>
        <w:t xml:space="preserve">Devon County Council (no date) </w:t>
      </w:r>
      <w:r>
        <w:rPr>
          <w:i/>
        </w:rPr>
        <w:t>Preventing Exploitation Toolkit</w:t>
      </w:r>
      <w:r>
        <w:t>. Available at:</w:t>
      </w:r>
    </w:p>
    <w:p w14:paraId="00000119" w14:textId="77777777" w:rsidR="00F029DF" w:rsidRDefault="00B25791">
      <w:hyperlink r:id="rId15">
        <w:r w:rsidR="001A2F7E">
          <w:rPr>
            <w:color w:val="1155CC"/>
            <w:u w:val="single"/>
          </w:rPr>
          <w:t>https://www.preventingexploitationtoolkit.org.uk/identifying-exploitation/county-lines/</w:t>
        </w:r>
      </w:hyperlink>
      <w:r w:rsidR="001A2F7E">
        <w:t xml:space="preserve"> (Accessed: 27 January 2023)</w:t>
      </w:r>
    </w:p>
    <w:p w14:paraId="0000011A" w14:textId="77777777" w:rsidR="00F029DF" w:rsidRDefault="00F029DF">
      <w:pPr>
        <w:spacing w:line="240" w:lineRule="auto"/>
      </w:pPr>
    </w:p>
    <w:p w14:paraId="0000011B" w14:textId="77777777" w:rsidR="00F029DF" w:rsidRDefault="001A2F7E">
      <w:pPr>
        <w:spacing w:line="240" w:lineRule="auto"/>
      </w:pPr>
      <w:proofErr w:type="spellStart"/>
      <w:r>
        <w:t>Fazackerley</w:t>
      </w:r>
      <w:proofErr w:type="spellEnd"/>
      <w:r>
        <w:t xml:space="preserve">, A. (2022) ‘Burgers and coats: county lines gangs exploit hardship to recruit UK kids’, </w:t>
      </w:r>
      <w:r>
        <w:rPr>
          <w:i/>
        </w:rPr>
        <w:t>The Guardian</w:t>
      </w:r>
      <w:r>
        <w:t xml:space="preserve">, 10th December. Available at: </w:t>
      </w:r>
      <w:hyperlink r:id="rId16">
        <w:r>
          <w:rPr>
            <w:color w:val="1155CC"/>
            <w:u w:val="single"/>
          </w:rPr>
          <w:t>www.theguardian.com/uk-news/2022/dec/10/county-lines-gangs-cost-of-living-crisis</w:t>
        </w:r>
      </w:hyperlink>
      <w:r>
        <w:t xml:space="preserve"> (Accessed: 29 January 2023)</w:t>
      </w:r>
    </w:p>
    <w:p w14:paraId="0000011C" w14:textId="77777777" w:rsidR="00F029DF" w:rsidRDefault="00F029DF">
      <w:pPr>
        <w:spacing w:line="240" w:lineRule="auto"/>
      </w:pPr>
    </w:p>
    <w:p w14:paraId="0000011D" w14:textId="77777777" w:rsidR="00F029DF" w:rsidRDefault="001A2F7E">
      <w:pPr>
        <w:spacing w:line="240" w:lineRule="auto"/>
      </w:pPr>
      <w:r>
        <w:t xml:space="preserve">HM Inspectorate of Probation (2021) </w:t>
      </w:r>
      <w:r>
        <w:rPr>
          <w:i/>
        </w:rPr>
        <w:t>Multi-agency public protection arrangements.</w:t>
      </w:r>
      <w:r>
        <w:t xml:space="preserve"> Available at: </w:t>
      </w:r>
      <w:hyperlink r:id="rId17">
        <w:r>
          <w:rPr>
            <w:color w:val="1155CC"/>
            <w:u w:val="single"/>
          </w:rPr>
          <w:t>www.justiceinspectorates.gov.uk/hmiprobation/research/the-evidence-base-probation/specific-types-of-delivery/mappa/https://www.justiceinspectorates.gov.uk/hmiprobation/research/the-evidence-base-probation/specific-types-of-delivery/mappa/</w:t>
        </w:r>
      </w:hyperlink>
      <w:r>
        <w:t xml:space="preserve"> (Accessed: 30 January 2023)</w:t>
      </w:r>
    </w:p>
    <w:p w14:paraId="0000011E" w14:textId="77777777" w:rsidR="00F029DF" w:rsidRDefault="00F029DF">
      <w:pPr>
        <w:spacing w:line="240" w:lineRule="auto"/>
      </w:pPr>
    </w:p>
    <w:p w14:paraId="0000011F" w14:textId="77777777" w:rsidR="00F029DF" w:rsidRDefault="001A2F7E">
      <w:r>
        <w:t xml:space="preserve">Home Office (2018) </w:t>
      </w:r>
      <w:r>
        <w:rPr>
          <w:i/>
        </w:rPr>
        <w:t>Criminal Exploitation of children and vulnerable adults: County Lines guidance.</w:t>
      </w:r>
      <w:r>
        <w:t xml:space="preserve"> Available at:</w:t>
      </w:r>
    </w:p>
    <w:p w14:paraId="00000120" w14:textId="77777777" w:rsidR="00F029DF" w:rsidRDefault="00B25791">
      <w:hyperlink r:id="rId18">
        <w:r w:rsidR="001A2F7E">
          <w:rPr>
            <w:color w:val="1155CC"/>
            <w:u w:val="single"/>
          </w:rPr>
          <w:t>assets.publishing.service.gov.uk/government/uploads/system/uploads/attachment_data/file/863323/HOCountyLinesGuidance_-_Sept2018.pdf</w:t>
        </w:r>
      </w:hyperlink>
      <w:r w:rsidR="001A2F7E">
        <w:t xml:space="preserve">  (Accessed: 26 January 2023)</w:t>
      </w:r>
    </w:p>
    <w:p w14:paraId="00000121" w14:textId="77777777" w:rsidR="00F029DF" w:rsidRDefault="00F029DF"/>
    <w:p w14:paraId="00000122" w14:textId="77777777" w:rsidR="00F029DF" w:rsidRDefault="001A2F7E">
      <w:pPr>
        <w:spacing w:line="240" w:lineRule="auto"/>
      </w:pPr>
      <w:r>
        <w:t xml:space="preserve">Home Office (2020) </w:t>
      </w:r>
      <w:r>
        <w:rPr>
          <w:i/>
        </w:rPr>
        <w:t>Police workforce</w:t>
      </w:r>
      <w:r>
        <w:t xml:space="preserve">. Available at </w:t>
      </w:r>
      <w:hyperlink r:id="rId19">
        <w:r>
          <w:rPr>
            <w:color w:val="1155CC"/>
            <w:u w:val="single"/>
          </w:rPr>
          <w:t>www.ethnicity-facts-figures.service.gov.uk/workforce-and-business/workforce-diversity/police-workforce/latest</w:t>
        </w:r>
      </w:hyperlink>
      <w:r>
        <w:t xml:space="preserve"> (Accessed: 23 January 2023)</w:t>
      </w:r>
    </w:p>
    <w:p w14:paraId="00000123" w14:textId="77777777" w:rsidR="00F029DF" w:rsidRDefault="00F029DF">
      <w:pPr>
        <w:spacing w:line="240" w:lineRule="auto"/>
      </w:pPr>
    </w:p>
    <w:p w14:paraId="00000124" w14:textId="77777777" w:rsidR="00F029DF" w:rsidRDefault="001A2F7E">
      <w:pPr>
        <w:spacing w:line="240" w:lineRule="auto"/>
        <w:rPr>
          <w:i/>
        </w:rPr>
      </w:pPr>
      <w:r>
        <w:t xml:space="preserve">House of Commons Home Affairs Committee (2021) </w:t>
      </w:r>
      <w:r>
        <w:rPr>
          <w:i/>
        </w:rPr>
        <w:t>The Macpherson</w:t>
      </w:r>
    </w:p>
    <w:p w14:paraId="00000125" w14:textId="77777777" w:rsidR="00F029DF" w:rsidRDefault="001A2F7E">
      <w:pPr>
        <w:spacing w:line="240" w:lineRule="auto"/>
      </w:pPr>
      <w:r>
        <w:rPr>
          <w:i/>
        </w:rPr>
        <w:t>Report: Twenty-two years on</w:t>
      </w:r>
      <w:r>
        <w:t xml:space="preserve">. Available at: </w:t>
      </w:r>
      <w:hyperlink r:id="rId20">
        <w:r>
          <w:rPr>
            <w:color w:val="1155CC"/>
            <w:u w:val="single"/>
          </w:rPr>
          <w:t>committees.parliament.uk/publications/7012/documents/89144/default/</w:t>
        </w:r>
      </w:hyperlink>
      <w:r>
        <w:t xml:space="preserve"> (Accessed: 24 January 2023)</w:t>
      </w:r>
    </w:p>
    <w:p w14:paraId="00000126" w14:textId="77777777" w:rsidR="00F029DF" w:rsidRDefault="00F029DF">
      <w:pPr>
        <w:spacing w:line="240" w:lineRule="auto"/>
      </w:pPr>
    </w:p>
    <w:p w14:paraId="00000127" w14:textId="77777777" w:rsidR="00F029DF" w:rsidRDefault="001A2F7E">
      <w:pPr>
        <w:spacing w:line="240" w:lineRule="auto"/>
        <w:rPr>
          <w:i/>
        </w:rPr>
      </w:pPr>
      <w:r>
        <w:t xml:space="preserve">House of Commons Home Affairs Committee (2022) </w:t>
      </w:r>
      <w:r>
        <w:rPr>
          <w:i/>
        </w:rPr>
        <w:t>Police Conduct and</w:t>
      </w:r>
    </w:p>
    <w:p w14:paraId="00000128" w14:textId="77777777" w:rsidR="00F029DF" w:rsidRDefault="001A2F7E">
      <w:pPr>
        <w:spacing w:line="240" w:lineRule="auto"/>
      </w:pPr>
      <w:r>
        <w:rPr>
          <w:i/>
        </w:rPr>
        <w:t>Complaints</w:t>
      </w:r>
      <w:r>
        <w:t xml:space="preserve">. Available at: </w:t>
      </w:r>
      <w:hyperlink r:id="rId21">
        <w:r>
          <w:rPr>
            <w:color w:val="1155CC"/>
            <w:u w:val="single"/>
          </w:rPr>
          <w:t>committees.parliament.uk/publications/9006/documents/166181/default/</w:t>
        </w:r>
      </w:hyperlink>
      <w:r>
        <w:t xml:space="preserve"> (Accessed: 3 February 2023)</w:t>
      </w:r>
    </w:p>
    <w:p w14:paraId="00000129" w14:textId="77777777" w:rsidR="00F029DF" w:rsidRDefault="00F029DF">
      <w:pPr>
        <w:spacing w:line="240" w:lineRule="auto"/>
      </w:pPr>
    </w:p>
    <w:p w14:paraId="0000012A" w14:textId="77777777" w:rsidR="00F029DF" w:rsidRDefault="001A2F7E">
      <w:pPr>
        <w:spacing w:line="240" w:lineRule="auto"/>
      </w:pPr>
      <w:r>
        <w:t xml:space="preserve">IOPC (no date) </w:t>
      </w:r>
      <w:r>
        <w:rPr>
          <w:i/>
        </w:rPr>
        <w:t>Our people.</w:t>
      </w:r>
      <w:r>
        <w:t xml:space="preserve"> Available at: </w:t>
      </w:r>
      <w:hyperlink r:id="rId22">
        <w:r>
          <w:rPr>
            <w:color w:val="1155CC"/>
            <w:u w:val="single"/>
          </w:rPr>
          <w:t>www.policeconduct.gov.uk/who-we-are/our-people</w:t>
        </w:r>
      </w:hyperlink>
      <w:r>
        <w:t xml:space="preserve"> (Accessed: 6 February 2023)</w:t>
      </w:r>
    </w:p>
    <w:p w14:paraId="0000012B" w14:textId="77777777" w:rsidR="00F029DF" w:rsidRDefault="00F029DF">
      <w:pPr>
        <w:spacing w:line="240" w:lineRule="auto"/>
      </w:pPr>
    </w:p>
    <w:p w14:paraId="0000012C" w14:textId="77777777" w:rsidR="00F029DF" w:rsidRDefault="001A2F7E">
      <w:pPr>
        <w:spacing w:line="240" w:lineRule="auto"/>
      </w:pPr>
      <w:r>
        <w:t xml:space="preserve">IOPC (2018) </w:t>
      </w:r>
      <w:r>
        <w:rPr>
          <w:i/>
        </w:rPr>
        <w:t>Becoming the IOPC.</w:t>
      </w:r>
      <w:r>
        <w:t xml:space="preserve"> Available at: </w:t>
      </w:r>
      <w:hyperlink r:id="rId23">
        <w:r>
          <w:rPr>
            <w:color w:val="1155CC"/>
            <w:u w:val="single"/>
          </w:rPr>
          <w:t>www.policeconduct.gov.uk/becoming-iopc</w:t>
        </w:r>
      </w:hyperlink>
      <w:r>
        <w:t xml:space="preserve"> (Accessed: 1 February 2023)</w:t>
      </w:r>
    </w:p>
    <w:p w14:paraId="0000012D" w14:textId="77777777" w:rsidR="00F029DF" w:rsidRDefault="00F029DF">
      <w:pPr>
        <w:spacing w:line="240" w:lineRule="auto"/>
      </w:pPr>
    </w:p>
    <w:p w14:paraId="0000012E" w14:textId="77777777" w:rsidR="00F029DF" w:rsidRDefault="001A2F7E">
      <w:pPr>
        <w:spacing w:line="240" w:lineRule="auto"/>
      </w:pPr>
      <w:r>
        <w:t xml:space="preserve">IOPC (2020) </w:t>
      </w:r>
      <w:r>
        <w:rPr>
          <w:i/>
        </w:rPr>
        <w:t>FOI Disclosures November 2020</w:t>
      </w:r>
      <w:r>
        <w:t xml:space="preserve">. Available at: </w:t>
      </w:r>
      <w:hyperlink r:id="rId24">
        <w:r>
          <w:rPr>
            <w:color w:val="1155CC"/>
            <w:u w:val="single"/>
          </w:rPr>
          <w:t>www.policeconduct.gov.uk/sites/default/files/Documents/Who-we-are/accountability-performance/foi/November_2020_Disclosure_Log.pdf</w:t>
        </w:r>
      </w:hyperlink>
      <w:r>
        <w:t xml:space="preserve">  (Accessed: 5 February 2023)</w:t>
      </w:r>
    </w:p>
    <w:p w14:paraId="0000012F" w14:textId="77777777" w:rsidR="00F029DF" w:rsidRDefault="00F029DF">
      <w:pPr>
        <w:spacing w:line="240" w:lineRule="auto"/>
      </w:pPr>
    </w:p>
    <w:p w14:paraId="00000130" w14:textId="77777777" w:rsidR="00F029DF" w:rsidRDefault="001A2F7E">
      <w:pPr>
        <w:spacing w:line="240" w:lineRule="auto"/>
      </w:pPr>
      <w:r>
        <w:t>IOPC (2022)</w:t>
      </w:r>
      <w:r>
        <w:rPr>
          <w:i/>
        </w:rPr>
        <w:t xml:space="preserve"> IOPC Performance Framework Dashboard 2022/23</w:t>
      </w:r>
      <w:r>
        <w:t xml:space="preserve">. Available at: </w:t>
      </w:r>
      <w:hyperlink r:id="rId25">
        <w:r>
          <w:rPr>
            <w:color w:val="1155CC"/>
            <w:u w:val="single"/>
          </w:rPr>
          <w:t>www.policeconduct.gov.uk/sites/default/files/Documents/Who-we-are/accountability-performance/outcomes-framework/Performance_Framework_July.pdf</w:t>
        </w:r>
      </w:hyperlink>
      <w:r>
        <w:t xml:space="preserve"> (Accessed: 6 February 2023)</w:t>
      </w:r>
    </w:p>
    <w:p w14:paraId="00000131" w14:textId="77777777" w:rsidR="00F029DF" w:rsidRDefault="00F029DF">
      <w:pPr>
        <w:spacing w:line="240" w:lineRule="auto"/>
      </w:pPr>
    </w:p>
    <w:p w14:paraId="00000132" w14:textId="77777777" w:rsidR="00F029DF" w:rsidRDefault="001A2F7E">
      <w:pPr>
        <w:spacing w:line="240" w:lineRule="auto"/>
      </w:pPr>
      <w:r>
        <w:t xml:space="preserve">IOPC (2023) </w:t>
      </w:r>
      <w:r>
        <w:rPr>
          <w:i/>
        </w:rPr>
        <w:t>IOPC statement following PC David Carrick's guilty pleas</w:t>
      </w:r>
      <w:r>
        <w:t xml:space="preserve">. Available at: </w:t>
      </w:r>
      <w:hyperlink r:id="rId26">
        <w:r>
          <w:rPr>
            <w:color w:val="1155CC"/>
            <w:u w:val="single"/>
          </w:rPr>
          <w:t>www.policeconduct.gov.uk/news/iopc-statement-following-pc-david-carricks-guilty-pleas</w:t>
        </w:r>
      </w:hyperlink>
      <w:r>
        <w:t xml:space="preserve"> (Accessed: 4 February 2023)</w:t>
      </w:r>
    </w:p>
    <w:p w14:paraId="00000133" w14:textId="77777777" w:rsidR="00F029DF" w:rsidRDefault="00F029DF">
      <w:pPr>
        <w:spacing w:line="240" w:lineRule="auto"/>
      </w:pPr>
    </w:p>
    <w:p w14:paraId="00000134" w14:textId="77777777" w:rsidR="00F029DF" w:rsidRDefault="001A2F7E">
      <w:r>
        <w:t xml:space="preserve">Joseph Rowntree Foundation (2023) </w:t>
      </w:r>
      <w:r>
        <w:rPr>
          <w:i/>
        </w:rPr>
        <w:t>UK Poverty 2023: The essential guide to understanding poverty in the UK.</w:t>
      </w:r>
      <w:r>
        <w:t xml:space="preserve"> Available at: </w:t>
      </w:r>
      <w:hyperlink r:id="rId27">
        <w:r>
          <w:rPr>
            <w:color w:val="1155CC"/>
            <w:u w:val="single"/>
          </w:rPr>
          <w:t>www.jrf.org.uk/sites/default/files/jrf/uk_poverty_2023_-_the_essential_guide_to_understanding_poverty_in_the_uk_0_0.pdf</w:t>
        </w:r>
      </w:hyperlink>
      <w:r>
        <w:t xml:space="preserve"> (Accessed: 27 January 2023)</w:t>
      </w:r>
    </w:p>
    <w:p w14:paraId="00000135" w14:textId="77777777" w:rsidR="00F029DF" w:rsidRDefault="00F029DF"/>
    <w:p w14:paraId="00000136" w14:textId="77777777" w:rsidR="00F029DF" w:rsidRDefault="001A2F7E">
      <w:r>
        <w:t xml:space="preserve">Kingsley, T. (2022) ‘Cost of living crisis will lead to increase in youth violence, experts warn’, </w:t>
      </w:r>
      <w:r>
        <w:rPr>
          <w:i/>
        </w:rPr>
        <w:t>Independent</w:t>
      </w:r>
      <w:r>
        <w:t xml:space="preserve">, 3rd April. Available at: </w:t>
      </w:r>
      <w:hyperlink r:id="rId28">
        <w:r>
          <w:rPr>
            <w:color w:val="1155CC"/>
            <w:u w:val="single"/>
          </w:rPr>
          <w:t>www.independent.co.uk/news/uk/home-news/cost-of-living-youth-violence-poverty-b2046448.html</w:t>
        </w:r>
      </w:hyperlink>
      <w:r>
        <w:t xml:space="preserve"> (Accessed: 27 January 2023)</w:t>
      </w:r>
    </w:p>
    <w:p w14:paraId="00000137" w14:textId="77777777" w:rsidR="00F029DF" w:rsidRDefault="00F029DF">
      <w:pPr>
        <w:spacing w:line="240" w:lineRule="auto"/>
      </w:pPr>
    </w:p>
    <w:p w14:paraId="00000138" w14:textId="77777777" w:rsidR="00F029DF" w:rsidRDefault="001A2F7E">
      <w:pPr>
        <w:spacing w:line="240" w:lineRule="auto"/>
      </w:pPr>
      <w:r>
        <w:t xml:space="preserve">Leicester Safeguarding Adults Board (no date) </w:t>
      </w:r>
      <w:r>
        <w:rPr>
          <w:i/>
        </w:rPr>
        <w:t xml:space="preserve">Multi-Agency Public Protection Arrangements (MAPPA). </w:t>
      </w:r>
      <w:r>
        <w:t xml:space="preserve">Available at: </w:t>
      </w:r>
      <w:hyperlink r:id="rId29" w:anchor="5_MAPPA_Meetings">
        <w:r>
          <w:rPr>
            <w:color w:val="1155CC"/>
            <w:u w:val="single"/>
          </w:rPr>
          <w:t>www.llradultsafeguarding.co.uk/multi-agency-public-protection-arrangements-mappa/#5_MAPPA_Meetings</w:t>
        </w:r>
      </w:hyperlink>
      <w:r>
        <w:t xml:space="preserve"> (Accessed: 2 February 2023)</w:t>
      </w:r>
    </w:p>
    <w:p w14:paraId="00000139" w14:textId="77777777" w:rsidR="00F029DF" w:rsidRDefault="00F029DF">
      <w:pPr>
        <w:spacing w:line="240" w:lineRule="auto"/>
      </w:pPr>
    </w:p>
    <w:p w14:paraId="0000013A" w14:textId="77777777" w:rsidR="00F029DF" w:rsidRDefault="001A2F7E">
      <w:r>
        <w:t xml:space="preserve">Macpherson, Sir William (1999) </w:t>
      </w:r>
      <w:r>
        <w:rPr>
          <w:i/>
        </w:rPr>
        <w:t>The Stephen Lawrence Inquiry</w:t>
      </w:r>
      <w:r>
        <w:t>. Available at:</w:t>
      </w:r>
    </w:p>
    <w:p w14:paraId="0000013B" w14:textId="77777777" w:rsidR="00F029DF" w:rsidRDefault="00B25791">
      <w:hyperlink r:id="rId30">
        <w:r w:rsidR="001A2F7E">
          <w:rPr>
            <w:color w:val="1155CC"/>
            <w:u w:val="single"/>
          </w:rPr>
          <w:t>assets.publishing.service.gov.uk/government/uploads/system/uploads/attachm</w:t>
        </w:r>
      </w:hyperlink>
    </w:p>
    <w:p w14:paraId="0000013C" w14:textId="77777777" w:rsidR="00F029DF" w:rsidRDefault="00B25791">
      <w:hyperlink r:id="rId31">
        <w:proofErr w:type="spellStart"/>
        <w:r w:rsidR="001A2F7E">
          <w:rPr>
            <w:color w:val="1155CC"/>
            <w:u w:val="single"/>
          </w:rPr>
          <w:t>ent_data</w:t>
        </w:r>
        <w:proofErr w:type="spellEnd"/>
        <w:r w:rsidR="001A2F7E">
          <w:rPr>
            <w:color w:val="1155CC"/>
            <w:u w:val="single"/>
          </w:rPr>
          <w:t>/file/277111/4262.pdf</w:t>
        </w:r>
      </w:hyperlink>
      <w:r w:rsidR="001A2F7E">
        <w:t xml:space="preserve"> (Accessed: 24 January 2023)</w:t>
      </w:r>
    </w:p>
    <w:p w14:paraId="0000013D" w14:textId="77777777" w:rsidR="00F029DF" w:rsidRDefault="00F029DF"/>
    <w:p w14:paraId="0000013E" w14:textId="77777777" w:rsidR="00F029DF" w:rsidRDefault="001A2F7E">
      <w:r>
        <w:t xml:space="preserve">Maxwell, Nina et al. (2019) </w:t>
      </w:r>
      <w:r>
        <w:rPr>
          <w:i/>
        </w:rPr>
        <w:t>A systematic map and synthesis review of Child Criminal Exploitation.</w:t>
      </w:r>
      <w:r>
        <w:t xml:space="preserve"> Available at: </w:t>
      </w:r>
      <w:hyperlink r:id="rId32">
        <w:r>
          <w:rPr>
            <w:color w:val="1155CC"/>
            <w:u w:val="single"/>
          </w:rPr>
          <w:t>cascadewales.org/wp-content/uploads/sites/3/2020/11/A-systematic-map-and-synthesis-review-of-Child-Criminal-Exploitation-October-2019-1.pdf</w:t>
        </w:r>
      </w:hyperlink>
      <w:r>
        <w:t xml:space="preserve"> (Accessed: 27 January 2023)</w:t>
      </w:r>
    </w:p>
    <w:p w14:paraId="0000013F" w14:textId="77777777" w:rsidR="00F029DF" w:rsidRDefault="00F029DF"/>
    <w:p w14:paraId="00000140" w14:textId="77777777" w:rsidR="00F029DF" w:rsidRDefault="001A2F7E">
      <w:r>
        <w:t xml:space="preserve">Metropolitan Police Service (no date) </w:t>
      </w:r>
      <w:r>
        <w:rPr>
          <w:i/>
        </w:rPr>
        <w:t>County lines.</w:t>
      </w:r>
      <w:r>
        <w:t xml:space="preserve"> Available at: </w:t>
      </w:r>
      <w:hyperlink r:id="rId33">
        <w:r>
          <w:rPr>
            <w:color w:val="1155CC"/>
            <w:u w:val="single"/>
          </w:rPr>
          <w:t>www.met.police.uk/advice/advice-and-information/cl/county-lines/</w:t>
        </w:r>
      </w:hyperlink>
      <w:r>
        <w:t xml:space="preserve"> (Accessed: 27 January 2023)</w:t>
      </w:r>
    </w:p>
    <w:p w14:paraId="00000141" w14:textId="77777777" w:rsidR="00F029DF" w:rsidRDefault="00F029DF"/>
    <w:p w14:paraId="00000142" w14:textId="77777777" w:rsidR="00F029DF" w:rsidRDefault="001A2F7E">
      <w:pPr>
        <w:spacing w:line="240" w:lineRule="auto"/>
      </w:pPr>
      <w:r>
        <w:t xml:space="preserve">Mind (no date) </w:t>
      </w:r>
      <w:r>
        <w:rPr>
          <w:i/>
        </w:rPr>
        <w:t>What has the impact of coronavirus been on mental health?</w:t>
      </w:r>
      <w:r>
        <w:t xml:space="preserve"> Available at:</w:t>
      </w:r>
    </w:p>
    <w:p w14:paraId="00000143" w14:textId="77777777" w:rsidR="00F029DF" w:rsidRDefault="00B25791">
      <w:pPr>
        <w:spacing w:line="240" w:lineRule="auto"/>
      </w:pPr>
      <w:hyperlink r:id="rId34">
        <w:r w:rsidR="001A2F7E">
          <w:rPr>
            <w:color w:val="1155CC"/>
            <w:u w:val="single"/>
          </w:rPr>
          <w:t>www.mind.org.uk/coronavirus-we-are-here-for-you/coronavirus-research/</w:t>
        </w:r>
      </w:hyperlink>
      <w:r w:rsidR="001A2F7E">
        <w:t xml:space="preserve"> (Accessed: 27 January 2023)</w:t>
      </w:r>
    </w:p>
    <w:p w14:paraId="00000144" w14:textId="77777777" w:rsidR="00F029DF" w:rsidRDefault="00F029DF">
      <w:pPr>
        <w:spacing w:line="240" w:lineRule="auto"/>
      </w:pPr>
    </w:p>
    <w:p w14:paraId="00000145" w14:textId="77777777" w:rsidR="00F029DF" w:rsidRDefault="001A2F7E">
      <w:pPr>
        <w:spacing w:line="240" w:lineRule="auto"/>
      </w:pPr>
      <w:r>
        <w:t xml:space="preserve">Ministry of Justice (2015) </w:t>
      </w:r>
      <w:r>
        <w:rPr>
          <w:i/>
        </w:rPr>
        <w:t>Reoffending Analysis of MAPPA Eligible Offenders.</w:t>
      </w:r>
      <w:r>
        <w:t xml:space="preserve"> Available at: </w:t>
      </w:r>
      <w:hyperlink r:id="rId35">
        <w:r>
          <w:rPr>
            <w:color w:val="1155CC"/>
            <w:u w:val="single"/>
          </w:rPr>
          <w:t>https://assets.publishing.service.gov.uk/government/uploads/system/uploads/attachment_data/file/407139/reoffending-analysis-of-mappa-eligible-offenders.pdf</w:t>
        </w:r>
      </w:hyperlink>
      <w:r>
        <w:t xml:space="preserve"> (Accessed: 31 January 2023)</w:t>
      </w:r>
    </w:p>
    <w:p w14:paraId="00000146" w14:textId="77777777" w:rsidR="00F029DF" w:rsidRDefault="00F029DF">
      <w:pPr>
        <w:spacing w:line="240" w:lineRule="auto"/>
      </w:pPr>
    </w:p>
    <w:p w14:paraId="00000147" w14:textId="77777777" w:rsidR="00F029DF" w:rsidRDefault="001A2F7E">
      <w:pPr>
        <w:spacing w:line="240" w:lineRule="auto"/>
      </w:pPr>
      <w:r>
        <w:t xml:space="preserve">Ministry of Justice (2022) </w:t>
      </w:r>
      <w:r>
        <w:rPr>
          <w:i/>
        </w:rPr>
        <w:t xml:space="preserve">Multi-Agency Public Protection Arrangements (MAPPA) Annual Report 2021/22. </w:t>
      </w:r>
      <w:r>
        <w:t xml:space="preserve">Available at: </w:t>
      </w:r>
      <w:hyperlink r:id="rId36">
        <w:r>
          <w:rPr>
            <w:color w:val="1155CC"/>
            <w:u w:val="single"/>
          </w:rPr>
          <w:t>https://assets.publishing.service.gov.uk/government/uploads/system/uploads/attachment_data/file/1113769/MAPPA_Annual_Report_2022.pdf</w:t>
        </w:r>
      </w:hyperlink>
      <w:r>
        <w:t xml:space="preserve"> (Accessed: 31 January 2023)</w:t>
      </w:r>
    </w:p>
    <w:p w14:paraId="00000148" w14:textId="77777777" w:rsidR="00F029DF" w:rsidRDefault="00F029DF">
      <w:pPr>
        <w:spacing w:line="240" w:lineRule="auto"/>
      </w:pPr>
    </w:p>
    <w:p w14:paraId="00000149" w14:textId="77777777" w:rsidR="00F029DF" w:rsidRDefault="001A2F7E">
      <w:r>
        <w:t xml:space="preserve">National Crime Agency (no date) </w:t>
      </w:r>
      <w:r>
        <w:rPr>
          <w:i/>
        </w:rPr>
        <w:t>County Lines</w:t>
      </w:r>
      <w:r>
        <w:t>. Available at:</w:t>
      </w:r>
    </w:p>
    <w:p w14:paraId="0000014A" w14:textId="77777777" w:rsidR="00F029DF" w:rsidRDefault="00B25791">
      <w:hyperlink r:id="rId37">
        <w:r w:rsidR="001A2F7E">
          <w:rPr>
            <w:color w:val="1155CC"/>
            <w:u w:val="single"/>
          </w:rPr>
          <w:t>www.nationalcrimeagency.gov.uk/what-we-do/crime-threats/drug-trafficking/county-lines</w:t>
        </w:r>
      </w:hyperlink>
      <w:r w:rsidR="001A2F7E">
        <w:t xml:space="preserve"> (Accessed: 27 January 2023)</w:t>
      </w:r>
    </w:p>
    <w:p w14:paraId="0000014B" w14:textId="77777777" w:rsidR="00F029DF" w:rsidRDefault="00F029DF"/>
    <w:p w14:paraId="0000014C" w14:textId="77777777" w:rsidR="00F029DF" w:rsidRDefault="001A2F7E">
      <w:r>
        <w:t xml:space="preserve">Norfolk MAPPA (no date) </w:t>
      </w:r>
      <w:r>
        <w:rPr>
          <w:i/>
        </w:rPr>
        <w:t>Visor and Risk Management.</w:t>
      </w:r>
      <w:r>
        <w:t xml:space="preserve"> Available at: </w:t>
      </w:r>
      <w:hyperlink r:id="rId38">
        <w:r>
          <w:rPr>
            <w:color w:val="1155CC"/>
            <w:u w:val="single"/>
          </w:rPr>
          <w:t>https://norfolkmappa.org.uk/visor-and-risk-management/</w:t>
        </w:r>
      </w:hyperlink>
      <w:r>
        <w:t xml:space="preserve"> (Accessed: 31 January 2023)</w:t>
      </w:r>
    </w:p>
    <w:p w14:paraId="0000014D" w14:textId="77777777" w:rsidR="00F029DF" w:rsidRDefault="00F029DF"/>
    <w:p w14:paraId="0000014E" w14:textId="77777777" w:rsidR="00F029DF" w:rsidRDefault="001A2F7E">
      <w:r>
        <w:t xml:space="preserve">NSPCC (no date) </w:t>
      </w:r>
      <w:r>
        <w:rPr>
          <w:i/>
        </w:rPr>
        <w:t>Criminal exploitation and gangs.</w:t>
      </w:r>
      <w:r>
        <w:t xml:space="preserve"> Available at:</w:t>
      </w:r>
    </w:p>
    <w:p w14:paraId="0000014F" w14:textId="77777777" w:rsidR="00F029DF" w:rsidRDefault="00B25791">
      <w:hyperlink r:id="rId39" w:anchor="countylines">
        <w:r w:rsidR="001A2F7E">
          <w:rPr>
            <w:color w:val="1155CC"/>
            <w:u w:val="single"/>
          </w:rPr>
          <w:t>www.nspcc.org.uk/what-is-child-abuse/types-of-abuse/gangs-criminal-exploitation/#countylines</w:t>
        </w:r>
      </w:hyperlink>
      <w:r w:rsidR="001A2F7E">
        <w:t xml:space="preserve"> (Accessed: 26 January 2023)</w:t>
      </w:r>
    </w:p>
    <w:p w14:paraId="00000150" w14:textId="77777777" w:rsidR="00F029DF" w:rsidRDefault="00F029DF"/>
    <w:p w14:paraId="00000151" w14:textId="77777777" w:rsidR="00F029DF" w:rsidRDefault="001A2F7E">
      <w:r>
        <w:t xml:space="preserve">O’Brien, Z. and McMenemy, R. (2022) ‘County Lines: Cost of living crisis used by gangs to lure new recruits’, </w:t>
      </w:r>
      <w:r>
        <w:rPr>
          <w:i/>
        </w:rPr>
        <w:t>BBC News</w:t>
      </w:r>
      <w:r>
        <w:t>, 16th August. Available at:</w:t>
      </w:r>
    </w:p>
    <w:p w14:paraId="00000152" w14:textId="77777777" w:rsidR="00F029DF" w:rsidRDefault="00B25791">
      <w:hyperlink r:id="rId40">
        <w:r w:rsidR="001A2F7E">
          <w:rPr>
            <w:color w:val="1155CC"/>
            <w:u w:val="single"/>
          </w:rPr>
          <w:t>www.bbc.co.uk/news/uk-england-suffolk-62491750</w:t>
        </w:r>
      </w:hyperlink>
      <w:r w:rsidR="001A2F7E">
        <w:t xml:space="preserve"> (Accessed: 29 January 2023)</w:t>
      </w:r>
    </w:p>
    <w:p w14:paraId="00000153" w14:textId="77777777" w:rsidR="00F029DF" w:rsidRDefault="00F029DF"/>
    <w:p w14:paraId="00000154" w14:textId="77777777" w:rsidR="00F029DF" w:rsidRDefault="001A2F7E">
      <w:pPr>
        <w:spacing w:line="240" w:lineRule="auto"/>
      </w:pPr>
      <w:r>
        <w:t xml:space="preserve">O’Neill, Megan (2015) ‘The Case for the Acceptable ‘Other’: The Impact of Partnerships, PCSOs, and Neighbourhood Policing on Diversity in Policing’, </w:t>
      </w:r>
      <w:r>
        <w:rPr>
          <w:i/>
        </w:rPr>
        <w:t>Policing: A Journal of Policy and Practice,</w:t>
      </w:r>
      <w:r>
        <w:t xml:space="preserve"> Volume 9, Issue 1, pp. 77–88. Available at:</w:t>
      </w:r>
    </w:p>
    <w:p w14:paraId="00000155" w14:textId="77777777" w:rsidR="00F029DF" w:rsidRDefault="00B25791">
      <w:pPr>
        <w:spacing w:line="240" w:lineRule="auto"/>
      </w:pPr>
      <w:hyperlink r:id="rId41">
        <w:r w:rsidR="001A2F7E">
          <w:rPr>
            <w:color w:val="1155CC"/>
            <w:u w:val="single"/>
          </w:rPr>
          <w:t>citeseerx.ist.psu.edu/document?repid=rep1&amp;type=pdf&amp;doi=ce5125454d4744dbe5cb9331a3f496a03dca841c</w:t>
        </w:r>
      </w:hyperlink>
      <w:r w:rsidR="001A2F7E">
        <w:t xml:space="preserve"> (Accessed: 3 February 2023)</w:t>
      </w:r>
    </w:p>
    <w:p w14:paraId="00000156" w14:textId="77777777" w:rsidR="00F029DF" w:rsidRDefault="00F029DF">
      <w:pPr>
        <w:spacing w:line="240" w:lineRule="auto"/>
      </w:pPr>
    </w:p>
    <w:p w14:paraId="00000157" w14:textId="77777777" w:rsidR="00F029DF" w:rsidRDefault="001A2F7E">
      <w:pPr>
        <w:spacing w:line="240" w:lineRule="auto"/>
      </w:pPr>
      <w:r>
        <w:t xml:space="preserve">Public Health England (2021) County Lines exploitation: applying All Our Health. Available at: </w:t>
      </w:r>
      <w:hyperlink r:id="rId42" w:anchor="key-data">
        <w:r>
          <w:rPr>
            <w:color w:val="1155CC"/>
            <w:u w:val="single"/>
          </w:rPr>
          <w:t>www.gov.uk/government/publications/county-lines-exploitation-applying-all-our-health/county-lines-exploitation-applying-all-our-health#key-data</w:t>
        </w:r>
      </w:hyperlink>
      <w:r>
        <w:t xml:space="preserve"> (Accessed: 26 January 2023)</w:t>
      </w:r>
    </w:p>
    <w:p w14:paraId="00000158" w14:textId="77777777" w:rsidR="00F029DF" w:rsidRDefault="00F029DF">
      <w:pPr>
        <w:spacing w:line="240" w:lineRule="auto"/>
      </w:pPr>
    </w:p>
    <w:p w14:paraId="00000159" w14:textId="77777777" w:rsidR="00F029DF" w:rsidRDefault="001A2F7E">
      <w:pPr>
        <w:spacing w:line="240" w:lineRule="auto"/>
      </w:pPr>
      <w:r>
        <w:t xml:space="preserve">Quinton, P. and Morris J. (2008) </w:t>
      </w:r>
      <w:r>
        <w:rPr>
          <w:i/>
        </w:rPr>
        <w:t>Neighbourhood policing: the impact of piloting and early national implementation</w:t>
      </w:r>
      <w:r>
        <w:t xml:space="preserve">. Available at: </w:t>
      </w:r>
      <w:hyperlink r:id="rId43">
        <w:r>
          <w:rPr>
            <w:color w:val="1155CC"/>
            <w:u w:val="single"/>
          </w:rPr>
          <w:t>openeyecommunications.typepad.com/Uploads/NHPImpactReport.pdf</w:t>
        </w:r>
      </w:hyperlink>
      <w:r>
        <w:t xml:space="preserve"> (Accessed: 23 January 2023)</w:t>
      </w:r>
    </w:p>
    <w:p w14:paraId="0000015A" w14:textId="77777777" w:rsidR="00F029DF" w:rsidRDefault="00F029DF">
      <w:pPr>
        <w:spacing w:line="240" w:lineRule="auto"/>
        <w:rPr>
          <w:sz w:val="20"/>
          <w:szCs w:val="20"/>
        </w:rPr>
      </w:pPr>
    </w:p>
    <w:p w14:paraId="0000015B" w14:textId="77777777" w:rsidR="00F029DF" w:rsidRDefault="001A2F7E">
      <w:r>
        <w:t xml:space="preserve">Race Disparity Unit (2020) </w:t>
      </w:r>
      <w:r>
        <w:rPr>
          <w:i/>
        </w:rPr>
        <w:t>Ethnicity facts and figures: ethnic group summaries</w:t>
      </w:r>
      <w:r>
        <w:t xml:space="preserve">. Available at: </w:t>
      </w:r>
      <w:hyperlink r:id="rId44">
        <w:r>
          <w:rPr>
            <w:color w:val="1155CC"/>
            <w:u w:val="single"/>
          </w:rPr>
          <w:t>www.ethnicity-facts-figures.service.gov.uk/</w:t>
        </w:r>
      </w:hyperlink>
      <w:r>
        <w:t xml:space="preserve"> (Accessed: 23 January 2023)</w:t>
      </w:r>
    </w:p>
    <w:p w14:paraId="0000015C" w14:textId="77777777" w:rsidR="00F029DF" w:rsidRDefault="00F029DF"/>
    <w:p w14:paraId="0000015D" w14:textId="77777777" w:rsidR="00F029DF" w:rsidRDefault="001A2F7E">
      <w:r>
        <w:t xml:space="preserve">Royal College of Policing (2018) </w:t>
      </w:r>
      <w:proofErr w:type="spellStart"/>
      <w:r>
        <w:rPr>
          <w:i/>
        </w:rPr>
        <w:t>Neighborhood</w:t>
      </w:r>
      <w:proofErr w:type="spellEnd"/>
      <w:r>
        <w:rPr>
          <w:i/>
        </w:rPr>
        <w:t xml:space="preserve"> Policing</w:t>
      </w:r>
      <w:r>
        <w:t xml:space="preserve">. Available at: </w:t>
      </w:r>
      <w:hyperlink r:id="rId45">
        <w:r>
          <w:rPr>
            <w:color w:val="1155CC"/>
            <w:u w:val="single"/>
          </w:rPr>
          <w:t>www.college.police.uk/guidance/neighbourhood-policing</w:t>
        </w:r>
      </w:hyperlink>
      <w:r>
        <w:t xml:space="preserve"> (Accessed: 23 January 2023)</w:t>
      </w:r>
    </w:p>
    <w:p w14:paraId="0000015E" w14:textId="77777777" w:rsidR="00F029DF" w:rsidRDefault="00F029DF">
      <w:pPr>
        <w:spacing w:line="240" w:lineRule="auto"/>
      </w:pPr>
    </w:p>
    <w:p w14:paraId="0000015F" w14:textId="77777777" w:rsidR="00F029DF" w:rsidRDefault="001A2F7E">
      <w:r>
        <w:t xml:space="preserve">Safeguarding Network (no date) </w:t>
      </w:r>
      <w:r>
        <w:rPr>
          <w:i/>
        </w:rPr>
        <w:t>Impact of poverty.</w:t>
      </w:r>
      <w:r>
        <w:t xml:space="preserve"> Available at: </w:t>
      </w:r>
      <w:hyperlink r:id="rId46">
        <w:r>
          <w:rPr>
            <w:color w:val="1155CC"/>
            <w:u w:val="single"/>
          </w:rPr>
          <w:t>safeguarding.network/content/safeguarding-resources/impact-of-poverty/</w:t>
        </w:r>
      </w:hyperlink>
      <w:r>
        <w:t xml:space="preserve"> (Accessed: 29 January 2023)</w:t>
      </w:r>
    </w:p>
    <w:p w14:paraId="00000160" w14:textId="77777777" w:rsidR="00F029DF" w:rsidRDefault="00F029DF"/>
    <w:p w14:paraId="00000161" w14:textId="77777777" w:rsidR="00F029DF" w:rsidRDefault="001A2F7E">
      <w:r>
        <w:t xml:space="preserve">Seneviratne, Mary (2004) ‘Policing the police in the United Kingdom’, </w:t>
      </w:r>
      <w:r>
        <w:rPr>
          <w:i/>
        </w:rPr>
        <w:t>Policing and Society</w:t>
      </w:r>
      <w:r>
        <w:t xml:space="preserve">, Volume 14, Issue 4, pp. 329-347. Available at: </w:t>
      </w:r>
      <w:hyperlink r:id="rId47">
        <w:r>
          <w:rPr>
            <w:color w:val="1155CC"/>
            <w:u w:val="single"/>
          </w:rPr>
          <w:t>https://irep.ntu.ac.uk/id/eprint/17013/1/186924_4574%20%20Seneviratne%20PostPrint.pdf</w:t>
        </w:r>
      </w:hyperlink>
      <w:r>
        <w:t xml:space="preserve"> (Accessed: 3 February 2023)</w:t>
      </w:r>
    </w:p>
    <w:p w14:paraId="00000162" w14:textId="77777777" w:rsidR="00F029DF" w:rsidRDefault="00F029DF"/>
    <w:p w14:paraId="00000163" w14:textId="77777777" w:rsidR="00F029DF" w:rsidRDefault="001A2F7E">
      <w:r>
        <w:t xml:space="preserve">Taylor, Diane (2020) ‘Racism campaigners call for police watchdog to be abolished’, </w:t>
      </w:r>
      <w:r>
        <w:rPr>
          <w:i/>
        </w:rPr>
        <w:t>The</w:t>
      </w:r>
      <w:r>
        <w:t xml:space="preserve"> </w:t>
      </w:r>
      <w:r>
        <w:rPr>
          <w:i/>
        </w:rPr>
        <w:t>Guardian</w:t>
      </w:r>
      <w:r>
        <w:t xml:space="preserve">, 14th June. Available at: </w:t>
      </w:r>
      <w:hyperlink r:id="rId48">
        <w:r>
          <w:rPr>
            <w:color w:val="1155CC"/>
            <w:u w:val="single"/>
          </w:rPr>
          <w:t>www.theguardian.com/uk-news/2020/jun/14/racism-campaigners-iopc-police-watchdog-abolished</w:t>
        </w:r>
      </w:hyperlink>
      <w:r>
        <w:t xml:space="preserve"> (Accessed: 4 February 2023)</w:t>
      </w:r>
    </w:p>
    <w:p w14:paraId="00000164" w14:textId="77777777" w:rsidR="00F029DF" w:rsidRDefault="00F029DF"/>
    <w:p w14:paraId="00000165" w14:textId="77777777" w:rsidR="00F029DF" w:rsidRDefault="001A2F7E">
      <w:r>
        <w:t xml:space="preserve">The Trussell Trust (2022) </w:t>
      </w:r>
      <w:r>
        <w:rPr>
          <w:i/>
        </w:rPr>
        <w:t xml:space="preserve">End of year stats. </w:t>
      </w:r>
      <w:r>
        <w:t xml:space="preserve">Available at: </w:t>
      </w:r>
      <w:hyperlink r:id="rId49">
        <w:r>
          <w:rPr>
            <w:color w:val="1155CC"/>
            <w:u w:val="single"/>
          </w:rPr>
          <w:t>www.trusselltrust.org/news-and-blog/latest-stats/end-year-stats/</w:t>
        </w:r>
      </w:hyperlink>
      <w:r>
        <w:t xml:space="preserve"> (Accessed: 26 January 2023)</w:t>
      </w:r>
    </w:p>
    <w:p w14:paraId="00000166" w14:textId="77777777" w:rsidR="00F029DF" w:rsidRDefault="00F029DF"/>
    <w:p w14:paraId="00000167" w14:textId="77777777" w:rsidR="00F029DF" w:rsidRDefault="001A2F7E">
      <w:r>
        <w:t xml:space="preserve">UK Parliament (2021) </w:t>
      </w:r>
      <w:r>
        <w:rPr>
          <w:i/>
        </w:rPr>
        <w:t>Cuts led to vulnerable children “crisis”: restore support to 2010 levels, peers tell ministers</w:t>
      </w:r>
      <w:r>
        <w:t xml:space="preserve">. Available at: </w:t>
      </w:r>
      <w:hyperlink r:id="rId50">
        <w:r>
          <w:rPr>
            <w:color w:val="1155CC"/>
            <w:u w:val="single"/>
          </w:rPr>
          <w:t>committees.parliament.uk/committee/430/public-services-committee/news/158969/cuts-led-to-vulnerable-children-crisis-restore-support-to-2010-levels-peers-tell-ministers/</w:t>
        </w:r>
      </w:hyperlink>
      <w:r>
        <w:t xml:space="preserve"> (Accessed: 27 January 2023)</w:t>
      </w:r>
    </w:p>
    <w:p w14:paraId="00000168" w14:textId="77777777" w:rsidR="00F029DF" w:rsidRDefault="00F029DF"/>
    <w:p w14:paraId="00000169" w14:textId="77777777" w:rsidR="00F029DF" w:rsidRDefault="001A2F7E">
      <w:proofErr w:type="spellStart"/>
      <w:r>
        <w:t>Woode</w:t>
      </w:r>
      <w:proofErr w:type="spellEnd"/>
      <w:r>
        <w:t xml:space="preserve">, David (2022) ‘‘Crucial’ investment needed for crisis-hit youth services in England after £1.1bn cuts since 2010, experts say’, </w:t>
      </w:r>
      <w:proofErr w:type="spellStart"/>
      <w:r>
        <w:rPr>
          <w:i/>
        </w:rPr>
        <w:t>i</w:t>
      </w:r>
      <w:proofErr w:type="spellEnd"/>
      <w:r>
        <w:rPr>
          <w:i/>
        </w:rPr>
        <w:t xml:space="preserve"> news</w:t>
      </w:r>
      <w:r>
        <w:t>, 15th February. Available at:</w:t>
      </w:r>
    </w:p>
    <w:p w14:paraId="0000016A" w14:textId="77777777" w:rsidR="00F029DF" w:rsidRDefault="00B25791">
      <w:hyperlink r:id="rId51">
        <w:r w:rsidR="001A2F7E">
          <w:rPr>
            <w:color w:val="1155CC"/>
            <w:u w:val="single"/>
          </w:rPr>
          <w:t>inews.co.uk/news/investment-crisis-youth-services-england-1bn-cuts-1460995</w:t>
        </w:r>
      </w:hyperlink>
      <w:r w:rsidR="001A2F7E">
        <w:t xml:space="preserve"> (Accessed: 27 January 2023) </w:t>
      </w:r>
    </w:p>
    <w:p w14:paraId="0000016B" w14:textId="77777777" w:rsidR="00F029DF" w:rsidRDefault="00F029DF"/>
    <w:p w14:paraId="0000016C" w14:textId="77777777" w:rsidR="00F029DF" w:rsidRDefault="001A2F7E">
      <w:r>
        <w:t xml:space="preserve">YMCA (2022) </w:t>
      </w:r>
      <w:r>
        <w:rPr>
          <w:i/>
        </w:rPr>
        <w:t xml:space="preserve">Devalued: A decade of cuts to youth services. </w:t>
      </w:r>
      <w:r>
        <w:t>Available at:</w:t>
      </w:r>
    </w:p>
    <w:p w14:paraId="0000016D" w14:textId="77777777" w:rsidR="00F029DF" w:rsidRDefault="00B25791">
      <w:hyperlink r:id="rId52">
        <w:r w:rsidR="001A2F7E">
          <w:rPr>
            <w:color w:val="1155CC"/>
            <w:u w:val="single"/>
          </w:rPr>
          <w:t>www.ymca.org.uk/wp-content/uploads/2022/02/ymca-devalued-2022.pdf</w:t>
        </w:r>
      </w:hyperlink>
      <w:r w:rsidR="001A2F7E">
        <w:t xml:space="preserve"> (Accesses: 27 January 2023)</w:t>
      </w:r>
    </w:p>
    <w:p w14:paraId="0000016E" w14:textId="77777777" w:rsidR="00F029DF" w:rsidRDefault="00F029DF"/>
    <w:sectPr w:rsidR="00F029D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7F53" w14:textId="77777777" w:rsidR="00B25791" w:rsidRDefault="00B25791" w:rsidP="001A2F7E">
      <w:pPr>
        <w:spacing w:line="240" w:lineRule="auto"/>
      </w:pPr>
      <w:r>
        <w:separator/>
      </w:r>
    </w:p>
  </w:endnote>
  <w:endnote w:type="continuationSeparator" w:id="0">
    <w:p w14:paraId="007CBD9E" w14:textId="77777777" w:rsidR="00B25791" w:rsidRDefault="00B25791" w:rsidP="001A2F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4252F" w14:textId="77777777" w:rsidR="00B25791" w:rsidRDefault="00B25791" w:rsidP="001A2F7E">
      <w:pPr>
        <w:spacing w:line="240" w:lineRule="auto"/>
      </w:pPr>
      <w:r>
        <w:separator/>
      </w:r>
    </w:p>
  </w:footnote>
  <w:footnote w:type="continuationSeparator" w:id="0">
    <w:p w14:paraId="24936869" w14:textId="77777777" w:rsidR="00B25791" w:rsidRDefault="00B25791" w:rsidP="001A2F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017A"/>
    <w:multiLevelType w:val="multilevel"/>
    <w:tmpl w:val="9072E4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9DF"/>
    <w:rsid w:val="001A2F7E"/>
    <w:rsid w:val="00B25791"/>
    <w:rsid w:val="00DF5A9D"/>
    <w:rsid w:val="00F02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C0AC8"/>
  <w15:docId w15:val="{530B1AE4-739C-4AC1-9F18-4BF59178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justiceinspectorates.gov.uk/hmiprobation/wp-content/uploads/sites/5/2022/07/A-joint-thematic-inspection-of-Multi-Agency-Public-Protection-Arrangements.pdf" TargetMode="External"/><Relationship Id="rId18" Type="http://schemas.openxmlformats.org/officeDocument/2006/relationships/hyperlink" Target="https://assets.publishing.service.gov.uk/government/uploads/system/uploads/attachment_data/file/863323/HOCountyLinesGuidance_-_Sept2018.pdf" TargetMode="External"/><Relationship Id="rId26" Type="http://schemas.openxmlformats.org/officeDocument/2006/relationships/hyperlink" Target="http://www.policeconduct.gov.uk/news/iopc-statement-following-pc-david-carricks-guilty-pleas" TargetMode="External"/><Relationship Id="rId39" Type="http://schemas.openxmlformats.org/officeDocument/2006/relationships/hyperlink" Target="https://www.nspcc.org.uk/what-is-child-abuse/types-of-abuse/gangs-criminal-exploitation/" TargetMode="External"/><Relationship Id="rId21" Type="http://schemas.openxmlformats.org/officeDocument/2006/relationships/hyperlink" Target="https://committees.parliament.uk/publications/9006/documents/166181/default/" TargetMode="External"/><Relationship Id="rId34" Type="http://schemas.openxmlformats.org/officeDocument/2006/relationships/hyperlink" Target="https://www.mind.org.uk/coronavirus-we-are-here-for-you/coronavirus-research/" TargetMode="External"/><Relationship Id="rId42" Type="http://schemas.openxmlformats.org/officeDocument/2006/relationships/hyperlink" Target="http://www.gov.uk/government/publications/county-lines-exploitation-applying-all-our-health/county-lines-exploitation-applying-all-our-health" TargetMode="External"/><Relationship Id="rId47" Type="http://schemas.openxmlformats.org/officeDocument/2006/relationships/hyperlink" Target="https://irep.ntu.ac.uk/id/eprint/17013/1/186924_4574%20%20Seneviratne%20PostPrint.pdf" TargetMode="External"/><Relationship Id="rId50" Type="http://schemas.openxmlformats.org/officeDocument/2006/relationships/hyperlink" Target="https://committees.parliament.uk/committee/430/public-services-committee/news/158969/cuts-led-to-vulnerable-children-crisis-restore-support-to-2010-levels-peers-tell-ministers/" TargetMode="External"/><Relationship Id="rId7" Type="http://schemas.openxmlformats.org/officeDocument/2006/relationships/hyperlink" Target="http://www.bbc.co.uk/news/uk-england-beds-bucks-herts-64289461" TargetMode="External"/><Relationship Id="rId2" Type="http://schemas.openxmlformats.org/officeDocument/2006/relationships/styles" Target="styles.xml"/><Relationship Id="rId16" Type="http://schemas.openxmlformats.org/officeDocument/2006/relationships/hyperlink" Target="http://www.theguardian.com/uk-news/2022/dec/10/county-lines-gangs-cost-of-living-crisis" TargetMode="External"/><Relationship Id="rId29" Type="http://schemas.openxmlformats.org/officeDocument/2006/relationships/hyperlink" Target="http://www.llradultsafeguarding.co.uk/multi-agency-public-protection-arrangements-mappa/" TargetMode="External"/><Relationship Id="rId11" Type="http://schemas.openxmlformats.org/officeDocument/2006/relationships/hyperlink" Target="https://www.nottingham.ac.uk/research/beacons-of-excellence/rights-lab/resources/academic-publications/2021/covid-19-and-child-criminal-exploitation-in-the-uk-implications-of-the-pandemic-for-county-lines.pdf" TargetMode="External"/><Relationship Id="rId24" Type="http://schemas.openxmlformats.org/officeDocument/2006/relationships/hyperlink" Target="http://www.policeconduct.gov.uk/sites/default/files/Documents/Who-we-are/accountability-performance/foi/November_2020_Disclosure_Log.pdf" TargetMode="External"/><Relationship Id="rId32" Type="http://schemas.openxmlformats.org/officeDocument/2006/relationships/hyperlink" Target="https://cascadewales.org/wp-content/uploads/sites/3/2020/11/A-systematic-map-and-synthesis-review-of-Child-Criminal-Exploitation-October-2019-1.pdf" TargetMode="External"/><Relationship Id="rId37" Type="http://schemas.openxmlformats.org/officeDocument/2006/relationships/hyperlink" Target="https://www.nationalcrimeagency.gov.uk/what-we-do/crime-threats/drug-trafficking/county-lines" TargetMode="External"/><Relationship Id="rId40" Type="http://schemas.openxmlformats.org/officeDocument/2006/relationships/hyperlink" Target="https://www.bbc.co.uk/news/uk-england-suffolk-62491750" TargetMode="External"/><Relationship Id="rId45" Type="http://schemas.openxmlformats.org/officeDocument/2006/relationships/hyperlink" Target="https://www.college.police.uk/guidance/neighbourhood-policing"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nottingham.ac.uk/research/beacons-of-excellence/rights-lab/resources/reports-and-briefings/2022/april/child-criminal-exploitation-and-county-lines-drug-distribution.pdf" TargetMode="External"/><Relationship Id="rId19" Type="http://schemas.openxmlformats.org/officeDocument/2006/relationships/hyperlink" Target="https://www.ethnicity-facts-figures.service.gov.uk/workforce-and-business/workforce-diversity/police-workforce/latest" TargetMode="External"/><Relationship Id="rId31" Type="http://schemas.openxmlformats.org/officeDocument/2006/relationships/hyperlink" Target="https://assets.publishing.service.gov.uk/government/uploads/system/uploads/attachment_data/file/277111/4262.pdf" TargetMode="External"/><Relationship Id="rId44" Type="http://schemas.openxmlformats.org/officeDocument/2006/relationships/hyperlink" Target="https://www.ethnicity-facts-figures.service.gov.uk/" TargetMode="External"/><Relationship Id="rId52" Type="http://schemas.openxmlformats.org/officeDocument/2006/relationships/hyperlink" Target="https://www.ymca.org.uk/wp-content/uploads/2022/02/ymca-devalued-2022.pdf" TargetMode="External"/><Relationship Id="rId4" Type="http://schemas.openxmlformats.org/officeDocument/2006/relationships/webSettings" Target="webSettings.xml"/><Relationship Id="rId9" Type="http://schemas.openxmlformats.org/officeDocument/2006/relationships/hyperlink" Target="https://thinkethnic.com/wp-content/uploads/2012/02/Policing%20ethnic%20minority%20communities.pdf" TargetMode="External"/><Relationship Id="rId14" Type="http://schemas.openxmlformats.org/officeDocument/2006/relationships/hyperlink" Target="http://www.independent.co.uk/news/uk/crime/police-watchdog-launch-iopc-replace-ipcc-independent-office-for-police-conduct-uk-public-accountability-a8147696.html" TargetMode="External"/><Relationship Id="rId22" Type="http://schemas.openxmlformats.org/officeDocument/2006/relationships/hyperlink" Target="https://www.policeconduct.gov.uk/who-we-are/our-people" TargetMode="External"/><Relationship Id="rId27" Type="http://schemas.openxmlformats.org/officeDocument/2006/relationships/hyperlink" Target="https://www.jrf.org.uk/sites/default/files/jrf/uk_poverty_2023_-_the_essential_guide_to_understanding_poverty_in_the_uk_0_0.pdf" TargetMode="External"/><Relationship Id="rId30" Type="http://schemas.openxmlformats.org/officeDocument/2006/relationships/hyperlink" Target="https://assets.publishing.service.gov.uk/government/uploads/system/uploads/attachment_data/file/277111/4262.pdf" TargetMode="External"/><Relationship Id="rId35" Type="http://schemas.openxmlformats.org/officeDocument/2006/relationships/hyperlink" Target="https://assets.publishing.service.gov.uk/government/uploads/system/uploads/attachment_data/file/407139/reoffending-analysis-of-mappa-eligible-offenders.pdf" TargetMode="External"/><Relationship Id="rId43" Type="http://schemas.openxmlformats.org/officeDocument/2006/relationships/hyperlink" Target="https://openeyecommunications.typepad.com/Uploads/NHPImpactReport.pdf" TargetMode="External"/><Relationship Id="rId48" Type="http://schemas.openxmlformats.org/officeDocument/2006/relationships/hyperlink" Target="http://www.theguardian.com/uk-news/2020/jun/14/racism-campaigners-iopc-police-watchdog-abolished" TargetMode="External"/><Relationship Id="rId8" Type="http://schemas.openxmlformats.org/officeDocument/2006/relationships/hyperlink" Target="https://journals.openedition.org/mimmoc/1340" TargetMode="External"/><Relationship Id="rId51" Type="http://schemas.openxmlformats.org/officeDocument/2006/relationships/hyperlink" Target="https://inews.co.uk/news/investment-crisis-youth-services-england-1bn-cuts-1460995" TargetMode="External"/><Relationship Id="rId3" Type="http://schemas.openxmlformats.org/officeDocument/2006/relationships/settings" Target="settings.xml"/><Relationship Id="rId12" Type="http://schemas.openxmlformats.org/officeDocument/2006/relationships/hyperlink" Target="https://www.npcc.police.uk/documents/edhr/2018/NatCen%20Enhancing%20Diversity%20in%20Policing%20Report.pdf" TargetMode="External"/><Relationship Id="rId17" Type="http://schemas.openxmlformats.org/officeDocument/2006/relationships/hyperlink" Target="http://www.justiceinspectorates.gov.uk/hmiprobation/research/the-evidence-base-probation/specific-types-of-delivery/mappa/https://www.justiceinspectorates.gov.uk/hmiprobation/research/the-evidence-base-probation/specific-types-of-delivery/mappa/" TargetMode="External"/><Relationship Id="rId25" Type="http://schemas.openxmlformats.org/officeDocument/2006/relationships/hyperlink" Target="http://www.policeconduct.gov.uk/sites/default/files/Documents/Who-we-are/accountability-performance/outcomes-framework/Performance_Framework_July.pdf" TargetMode="External"/><Relationship Id="rId33" Type="http://schemas.openxmlformats.org/officeDocument/2006/relationships/hyperlink" Target="https://www.met.police.uk/advice/advice-and-information/cl/county-lines/" TargetMode="External"/><Relationship Id="rId38" Type="http://schemas.openxmlformats.org/officeDocument/2006/relationships/hyperlink" Target="https://norfolkmappa.org.uk/visor-and-risk-management/" TargetMode="External"/><Relationship Id="rId46" Type="http://schemas.openxmlformats.org/officeDocument/2006/relationships/hyperlink" Target="https://safeguarding.network/content/safeguarding-resources/impact-of-poverty/" TargetMode="External"/><Relationship Id="rId20" Type="http://schemas.openxmlformats.org/officeDocument/2006/relationships/hyperlink" Target="https://committees.parliament.uk/publications/7012/documents/89144/default/" TargetMode="External"/><Relationship Id="rId41" Type="http://schemas.openxmlformats.org/officeDocument/2006/relationships/hyperlink" Target="https://citeseerx.ist.psu.edu/document?repid=rep1&amp;type=pdf&amp;doi=ce5125454d4744dbe5cb9331a3f496a03dca841c"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reventingexploitationtoolkit.org.uk/identifying-exploitation/county-lines/" TargetMode="External"/><Relationship Id="rId23" Type="http://schemas.openxmlformats.org/officeDocument/2006/relationships/hyperlink" Target="https://www.policeconduct.gov.uk/becoming-iopc" TargetMode="External"/><Relationship Id="rId28" Type="http://schemas.openxmlformats.org/officeDocument/2006/relationships/hyperlink" Target="https://www.independent.co.uk/news/uk/home-news/cost-of-living-youth-violence-poverty-b2046448.html" TargetMode="External"/><Relationship Id="rId36" Type="http://schemas.openxmlformats.org/officeDocument/2006/relationships/hyperlink" Target="https://assets.publishing.service.gov.uk/government/uploads/system/uploads/attachment_data/file/1113769/MAPPA_Annual_Report_2022.pdf" TargetMode="External"/><Relationship Id="rId49" Type="http://schemas.openxmlformats.org/officeDocument/2006/relationships/hyperlink" Target="http://www.trusselltrust.org/news-and-blog/latest-stats/end-year-st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6666</Words>
  <Characters>37998</Characters>
  <Application>Microsoft Office Word</Application>
  <DocSecurity>0</DocSecurity>
  <Lines>316</Lines>
  <Paragraphs>89</Paragraphs>
  <ScaleCrop>false</ScaleCrop>
  <Company/>
  <LinksUpToDate>false</LinksUpToDate>
  <CharactersWithSpaces>44575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Uhi,Sa'ipolu swp8103</dc:creator>
  <cp:lastModifiedBy>Uhi,Sa'ipolu swp8103</cp:lastModifiedBy>
  <cp:revision>3</cp:revision>
  <dcterms:created xsi:type="dcterms:W3CDTF">2023-02-06T20:41:00Z</dcterms:created>
  <dcterms:modified xsi:type="dcterms:W3CDTF">2023-02-06T20:50:00Z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2023-02-06T20:39:48Z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ee654f8d-66cf-43e2-883b-743906e4b26e</vt:lpwstr>
  </property>
  <property fmtid="{D5CDD505-2E9C-101B-9397-08002B2CF9AE}" pid="8" name="MSIP_Label_66cf8fe5-b7b7-4df7-b38d-1c61ac2f6639_ContentBits">
    <vt:lpwstr>0</vt:lpwstr>
  </property>
</Properties>
</file>