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EA4E63" w14:textId="268092E9" w:rsidR="00D12262" w:rsidRDefault="006D4EB1" w:rsidP="006D4EB1">
      <w:pPr>
        <w:jc w:val="center"/>
        <w:rPr>
          <w:u w:val="single"/>
        </w:rPr>
      </w:pPr>
      <w:r>
        <w:rPr>
          <w:u w:val="single"/>
        </w:rPr>
        <w:t>Psychology e – Portfolio</w:t>
      </w:r>
    </w:p>
    <w:p w14:paraId="088949EC" w14:textId="77777777" w:rsidR="00565F59" w:rsidRPr="00565F59" w:rsidRDefault="00565F59" w:rsidP="006D4EB1">
      <w:r w:rsidRPr="00565F59">
        <w:t>1.</w:t>
      </w:r>
    </w:p>
    <w:p w14:paraId="46577779" w14:textId="2DFE1C1D" w:rsidR="006D4EB1" w:rsidRDefault="006D4EB1" w:rsidP="006D4EB1">
      <w:pPr>
        <w:rPr>
          <w:u w:val="single"/>
        </w:rPr>
      </w:pPr>
      <w:r>
        <w:rPr>
          <w:u w:val="single"/>
        </w:rPr>
        <w:t>Summarising a Journal Article</w:t>
      </w:r>
    </w:p>
    <w:p w14:paraId="38FE42FD" w14:textId="5DAB04C0" w:rsidR="00FD050C" w:rsidRDefault="00FD050C" w:rsidP="006D4EB1">
      <w:r>
        <w:t>In this article, Donhoe</w:t>
      </w:r>
      <w:r w:rsidR="00D444BE">
        <w:t xml:space="preserve"> portrays the idea</w:t>
      </w:r>
      <w:r w:rsidR="00A9393D">
        <w:t xml:space="preserve"> of how childhood adversity significantly effects later mental illness by using both biological and cognitive explanations</w:t>
      </w:r>
      <w:r w:rsidR="00501E52">
        <w:t>.</w:t>
      </w:r>
      <w:r w:rsidR="007C6844">
        <w:t xml:space="preserve"> He begins by </w:t>
      </w:r>
      <w:r w:rsidR="00B23E66">
        <w:t xml:space="preserve">explaining how child adversity </w:t>
      </w:r>
      <w:r w:rsidR="00D20681">
        <w:t>significantly effects the limbic system</w:t>
      </w:r>
      <w:r w:rsidR="004104B7">
        <w:t xml:space="preserve"> -</w:t>
      </w:r>
      <w:r w:rsidR="00D20681">
        <w:t xml:space="preserve"> </w:t>
      </w:r>
      <w:r w:rsidR="00B74E73">
        <w:t xml:space="preserve">over activating the amygdala, thus </w:t>
      </w:r>
      <w:r w:rsidR="005A1C0F">
        <w:t xml:space="preserve">invoking feelings of </w:t>
      </w:r>
      <w:r w:rsidR="00AF1E29">
        <w:t xml:space="preserve">anxiety and danger despite being in a non – hostile environment. In turn, Donohoe states that this </w:t>
      </w:r>
      <w:r w:rsidR="00412E21">
        <w:t>hypersensitivity</w:t>
      </w:r>
      <w:r w:rsidR="00621FB4">
        <w:t xml:space="preserve"> strongly correlate</w:t>
      </w:r>
      <w:r w:rsidR="00961937">
        <w:t>s</w:t>
      </w:r>
      <w:r w:rsidR="00621FB4">
        <w:t xml:space="preserve"> with the stifling </w:t>
      </w:r>
      <w:r w:rsidR="00945F09">
        <w:t xml:space="preserve">of the frontal lobe’s functional capacity to regulate </w:t>
      </w:r>
      <w:r w:rsidR="002F2AD2">
        <w:t>perception</w:t>
      </w:r>
      <w:r w:rsidR="00961937">
        <w:t>s</w:t>
      </w:r>
      <w:r w:rsidR="002F2AD2">
        <w:t xml:space="preserve"> of threat. </w:t>
      </w:r>
      <w:r w:rsidR="00E56B79">
        <w:t xml:space="preserve">With the use of </w:t>
      </w:r>
      <w:proofErr w:type="spellStart"/>
      <w:r w:rsidR="00E56B79">
        <w:t>Dannlowski</w:t>
      </w:r>
      <w:proofErr w:type="spellEnd"/>
      <w:r w:rsidR="00E56B79">
        <w:t xml:space="preserve"> et </w:t>
      </w:r>
      <w:proofErr w:type="spellStart"/>
      <w:r w:rsidR="00E56B79">
        <w:t>al’s</w:t>
      </w:r>
      <w:proofErr w:type="spellEnd"/>
      <w:r w:rsidR="00E56B79">
        <w:t>.,</w:t>
      </w:r>
      <w:r w:rsidR="004965DB">
        <w:t xml:space="preserve"> work </w:t>
      </w:r>
      <w:r w:rsidR="00350397">
        <w:t>(</w:t>
      </w:r>
      <w:r w:rsidR="004965DB">
        <w:t>2012</w:t>
      </w:r>
      <w:r w:rsidR="00350397">
        <w:t>)</w:t>
      </w:r>
      <w:r w:rsidR="004965DB">
        <w:t xml:space="preserve">, Donohoe cites </w:t>
      </w:r>
      <w:r w:rsidR="00525319">
        <w:t>th</w:t>
      </w:r>
      <w:r w:rsidR="00350397">
        <w:t>at</w:t>
      </w:r>
      <w:r w:rsidR="00412E21">
        <w:t>,</w:t>
      </w:r>
      <w:r w:rsidR="00525319">
        <w:t xml:space="preserve"> high levels of stress</w:t>
      </w:r>
      <w:r w:rsidR="00C02BC6">
        <w:t xml:space="preserve"> significantly impedes </w:t>
      </w:r>
      <w:r w:rsidR="008A699F">
        <w:t>the hippocampal volume</w:t>
      </w:r>
      <w:r w:rsidR="00412E21">
        <w:t xml:space="preserve">, </w:t>
      </w:r>
      <w:r w:rsidR="008A699F">
        <w:t xml:space="preserve">therefore drastically disrupts </w:t>
      </w:r>
      <w:r w:rsidR="00B2261E">
        <w:t xml:space="preserve">the consolidation of memories and making the process of </w:t>
      </w:r>
      <w:r w:rsidR="0039310C">
        <w:t>dis</w:t>
      </w:r>
      <w:r w:rsidR="00EB4CA2">
        <w:t xml:space="preserve">tinguishing between </w:t>
      </w:r>
      <w:r w:rsidR="00065216">
        <w:t>real threats and false alarms far more difficult.</w:t>
      </w:r>
      <w:r w:rsidR="005372BC">
        <w:t xml:space="preserve"> It is with this knowledge that Donohoe presents the first of two avenues</w:t>
      </w:r>
      <w:r w:rsidR="00525319">
        <w:t xml:space="preserve"> which he discusses as being </w:t>
      </w:r>
      <w:r w:rsidR="000C2913">
        <w:t>strong explanations to how child adversity effects later adulthood.</w:t>
      </w:r>
      <w:r w:rsidR="00E130C2">
        <w:t xml:space="preserve"> The second approach, which he discusses involves the role of social cognition. </w:t>
      </w:r>
      <w:r w:rsidR="00184CE1">
        <w:t xml:space="preserve">In which, Donhoe </w:t>
      </w:r>
      <w:r w:rsidR="009A35BE">
        <w:t>states that from his findings</w:t>
      </w:r>
      <w:r w:rsidR="00AD243E">
        <w:t>, physical neglect was a strong predictor</w:t>
      </w:r>
      <w:r w:rsidR="00D7023A">
        <w:t xml:space="preserve"> for how </w:t>
      </w:r>
      <w:r w:rsidR="00B871B1">
        <w:t>well individuals are at recognising emotion via facial</w:t>
      </w:r>
      <w:r w:rsidR="001A7CB8">
        <w:t xml:space="preserve"> recognition. The findings found heavily implied that </w:t>
      </w:r>
      <w:r w:rsidR="007812C6">
        <w:t xml:space="preserve">if parents were unable to fulfil the physical needs of their child than </w:t>
      </w:r>
      <w:r w:rsidR="00BC2219">
        <w:t>cognitive issues would begin to arise as they would be unable to form a secure attachment to act as a foundation for further cognitive exploration.</w:t>
      </w:r>
      <w:r w:rsidR="00E07242">
        <w:t xml:space="preserve"> It is with this in mind that Donohoe</w:t>
      </w:r>
      <w:r w:rsidR="00D9132B">
        <w:t xml:space="preserve"> states that when childhood adversity is involved, that both </w:t>
      </w:r>
      <w:r w:rsidR="00C96B40">
        <w:t xml:space="preserve">the biology of the brain as well as the cognitive development of the individual is at risk, and must therefore be taken into full account. Moreover, Donohoe suggests that the </w:t>
      </w:r>
      <w:r w:rsidR="00B92153">
        <w:t>best forms of treatment are therapies which strive to improve both emotional regulation and social thinking by focusing on a wide array of cognitive skills.</w:t>
      </w:r>
    </w:p>
    <w:p w14:paraId="1ED6FD23" w14:textId="00C8B99D" w:rsidR="006D4EB1" w:rsidRDefault="006D4EB1" w:rsidP="006D4EB1"/>
    <w:p w14:paraId="7A72AD92" w14:textId="2A42E950" w:rsidR="00862DBF" w:rsidRPr="00A619A9" w:rsidRDefault="00A619A9" w:rsidP="00A619A9">
      <w:pPr>
        <w:jc w:val="center"/>
        <w:rPr>
          <w:u w:val="single"/>
        </w:rPr>
      </w:pPr>
      <w:r>
        <w:rPr>
          <w:u w:val="single"/>
        </w:rPr>
        <w:t>Reference</w:t>
      </w:r>
    </w:p>
    <w:p w14:paraId="7AD53E42" w14:textId="19DCD6A9" w:rsidR="006D4EB1" w:rsidRDefault="006D4EB1" w:rsidP="006D4EB1">
      <w:pPr>
        <w:rPr>
          <w:i/>
          <w:iCs/>
        </w:rPr>
      </w:pPr>
      <w:r>
        <w:t xml:space="preserve">Donohoe, G. How adverse childhood experiences shape our brains. (2022). The British Psychological Society. </w:t>
      </w:r>
      <w:r>
        <w:rPr>
          <w:i/>
          <w:iCs/>
        </w:rPr>
        <w:t>The Psychologist.</w:t>
      </w:r>
    </w:p>
    <w:p w14:paraId="5BBD4ADB" w14:textId="77777777" w:rsidR="000A63CE" w:rsidRPr="00680039" w:rsidRDefault="000A63CE" w:rsidP="000A63CE">
      <w:pPr>
        <w:rPr>
          <w:u w:val="single"/>
        </w:rPr>
      </w:pPr>
    </w:p>
    <w:p w14:paraId="24E59A1A" w14:textId="76097A6B" w:rsidR="00565F59" w:rsidRPr="00565F59" w:rsidRDefault="00565F59" w:rsidP="000A63CE">
      <w:r w:rsidRPr="00565F59">
        <w:t xml:space="preserve">2. </w:t>
      </w:r>
    </w:p>
    <w:p w14:paraId="07EDA707" w14:textId="61B40790" w:rsidR="000A63CE" w:rsidRPr="00680039" w:rsidRDefault="000A63CE" w:rsidP="000A63CE">
      <w:r w:rsidRPr="00680039">
        <w:rPr>
          <w:u w:val="single"/>
        </w:rPr>
        <w:t>Skills Necessary for Counselling</w:t>
      </w:r>
      <w:r>
        <w:rPr>
          <w:u w:val="single"/>
        </w:rPr>
        <w:t xml:space="preserve"> </w:t>
      </w:r>
      <w:r>
        <w:t xml:space="preserve">- </w:t>
      </w:r>
      <w:hyperlink r:id="rId8" w:history="1">
        <w:r>
          <w:rPr>
            <w:rStyle w:val="Hyperlink"/>
          </w:rPr>
          <w:t>Skills Necessary For Counselling.mp4</w:t>
        </w:r>
      </w:hyperlink>
      <w:r>
        <w:t xml:space="preserve"> </w:t>
      </w:r>
    </w:p>
    <w:p w14:paraId="74999D16" w14:textId="305938D4" w:rsidR="000E5CF7" w:rsidRDefault="000E5CF7" w:rsidP="006D4EB1"/>
    <w:p w14:paraId="69E5E2D9" w14:textId="333C83C3" w:rsidR="008B10E4" w:rsidRDefault="008B10E4" w:rsidP="006D4EB1"/>
    <w:p w14:paraId="33979D04" w14:textId="5A6F7FBD" w:rsidR="008B10E4" w:rsidRDefault="008B10E4" w:rsidP="006D4EB1"/>
    <w:p w14:paraId="028454F9" w14:textId="056C6BE4" w:rsidR="008B10E4" w:rsidRDefault="008B10E4" w:rsidP="006D4EB1"/>
    <w:p w14:paraId="05D84195" w14:textId="77777777" w:rsidR="008B10E4" w:rsidRDefault="008B10E4" w:rsidP="006D4EB1"/>
    <w:p w14:paraId="3EEF4E48" w14:textId="17391F24" w:rsidR="008B10E4" w:rsidRDefault="00942433" w:rsidP="006D4EB1">
      <w:r>
        <w:t>3.</w:t>
      </w:r>
    </w:p>
    <w:p w14:paraId="08878455" w14:textId="2A62C5A9" w:rsidR="000E5CF7" w:rsidRPr="008B10E4" w:rsidRDefault="008B10E4" w:rsidP="006D4EB1">
      <w:pPr>
        <w:rPr>
          <w:u w:val="single"/>
        </w:rPr>
      </w:pPr>
      <w:r>
        <w:rPr>
          <w:u w:val="single"/>
        </w:rPr>
        <w:t>Academic Poster</w:t>
      </w:r>
    </w:p>
    <w:p w14:paraId="726E8446" w14:textId="77777777" w:rsidR="000E5CF7" w:rsidRDefault="000E5CF7" w:rsidP="006D4EB1"/>
    <w:p w14:paraId="02AB72C9" w14:textId="5D551BC0" w:rsidR="005E61F4" w:rsidRPr="000E5CF7" w:rsidRDefault="00432C8E" w:rsidP="006D4EB1">
      <w:pPr>
        <w:rPr>
          <w:u w:val="single"/>
        </w:rPr>
      </w:pPr>
      <w:r>
        <w:rPr>
          <w:noProof/>
        </w:rPr>
        <w:lastRenderedPageBreak/>
        <w:drawing>
          <wp:inline distT="0" distB="0" distL="0" distR="0" wp14:anchorId="493A1201" wp14:editId="32803643">
            <wp:extent cx="5731510" cy="8858250"/>
            <wp:effectExtent l="0" t="0" r="254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858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C8FB9" w14:textId="01260B2B" w:rsidR="007334D5" w:rsidRPr="007334D5" w:rsidRDefault="007334D5" w:rsidP="007334D5">
      <w:pPr>
        <w:jc w:val="center"/>
        <w:rPr>
          <w:u w:val="single"/>
        </w:rPr>
      </w:pPr>
      <w:r w:rsidRPr="007334D5">
        <w:rPr>
          <w:u w:val="single"/>
        </w:rPr>
        <w:lastRenderedPageBreak/>
        <w:t>References</w:t>
      </w:r>
    </w:p>
    <w:p w14:paraId="7AA4979C" w14:textId="607F37E9" w:rsidR="007334D5" w:rsidRPr="008B6E5A" w:rsidRDefault="00134FDB" w:rsidP="00134FDB">
      <w:r>
        <w:t>1. Barbosa,</w:t>
      </w:r>
      <w:r w:rsidR="004F7372">
        <w:t xml:space="preserve"> V.M.,</w:t>
      </w:r>
      <w:r>
        <w:t xml:space="preserve"> (2013)</w:t>
      </w:r>
      <w:r w:rsidR="00472177">
        <w:t xml:space="preserve">, </w:t>
      </w:r>
      <w:r w:rsidR="00276F6A">
        <w:t xml:space="preserve">Teamwork in The Neonatal </w:t>
      </w:r>
      <w:r w:rsidR="00472177">
        <w:t xml:space="preserve">Intensive Care Unit, </w:t>
      </w:r>
      <w:r w:rsidR="009F4150">
        <w:rPr>
          <w:i/>
          <w:iCs/>
        </w:rPr>
        <w:t xml:space="preserve">Physical &amp; Occupational Therapy </w:t>
      </w:r>
      <w:r w:rsidR="008B6E5A">
        <w:rPr>
          <w:i/>
          <w:iCs/>
        </w:rPr>
        <w:t xml:space="preserve">In Paediatrics, Vol. 33, </w:t>
      </w:r>
      <w:r w:rsidR="008B6E5A">
        <w:t xml:space="preserve">- </w:t>
      </w:r>
      <w:hyperlink r:id="rId10" w:history="1">
        <w:r w:rsidR="008B6E5A" w:rsidRPr="007C7D3B">
          <w:rPr>
            <w:rStyle w:val="Hyperlink"/>
          </w:rPr>
          <w:t>https://www.tandfonline.com/doi/abs/10.3109/01942638.2012.729556</w:t>
        </w:r>
      </w:hyperlink>
      <w:r w:rsidR="008B6E5A">
        <w:t xml:space="preserve"> </w:t>
      </w:r>
    </w:p>
    <w:p w14:paraId="1B790BFC" w14:textId="57C08508" w:rsidR="00134FDB" w:rsidRDefault="00134FDB" w:rsidP="00134FDB">
      <w:r>
        <w:t>2. Berry,</w:t>
      </w:r>
      <w:r w:rsidR="009C0313">
        <w:t xml:space="preserve"> G.R.,</w:t>
      </w:r>
      <w:r>
        <w:t xml:space="preserve"> (2011)</w:t>
      </w:r>
      <w:r w:rsidR="009C0313">
        <w:t xml:space="preserve">, </w:t>
      </w:r>
      <w:r w:rsidR="00A16A43">
        <w:t>Enhancing Effectiven</w:t>
      </w:r>
      <w:r w:rsidR="004601D8">
        <w:t>ess on Virtual Teams: Understanding Why Traditional  Skills are Insufficient,</w:t>
      </w:r>
      <w:r w:rsidR="00E129EC">
        <w:t xml:space="preserve"> Sage journals, </w:t>
      </w:r>
      <w:r w:rsidR="00E129EC">
        <w:rPr>
          <w:i/>
          <w:iCs/>
        </w:rPr>
        <w:t xml:space="preserve">International </w:t>
      </w:r>
      <w:r w:rsidR="005216C4">
        <w:rPr>
          <w:i/>
          <w:iCs/>
        </w:rPr>
        <w:t>Journal of Business Communication, Vol. 4</w:t>
      </w:r>
      <w:r w:rsidR="005B5373">
        <w:rPr>
          <w:i/>
          <w:iCs/>
        </w:rPr>
        <w:t>8,</w:t>
      </w:r>
      <w:r w:rsidR="004601D8">
        <w:t xml:space="preserve"> </w:t>
      </w:r>
      <w:r w:rsidR="008B6E5A">
        <w:t xml:space="preserve"> - </w:t>
      </w:r>
      <w:hyperlink r:id="rId11" w:history="1">
        <w:r w:rsidR="005B5373" w:rsidRPr="007C7D3B">
          <w:rPr>
            <w:rStyle w:val="Hyperlink"/>
          </w:rPr>
          <w:t>https://journals.sagepub.com/doi/abs/10.1177/0021943610397270</w:t>
        </w:r>
      </w:hyperlink>
      <w:r w:rsidR="005B5373">
        <w:t xml:space="preserve"> </w:t>
      </w:r>
    </w:p>
    <w:p w14:paraId="6EE1D54B" w14:textId="4D9AFFAF" w:rsidR="00134FDB" w:rsidRPr="00DB0561" w:rsidRDefault="00134FDB" w:rsidP="00134FDB">
      <w:r>
        <w:t>3. Brookfield</w:t>
      </w:r>
      <w:r w:rsidR="005B5373">
        <w:t xml:space="preserve">, </w:t>
      </w:r>
      <w:r w:rsidR="00454853">
        <w:t>S.,</w:t>
      </w:r>
      <w:r>
        <w:t xml:space="preserve"> (2005)</w:t>
      </w:r>
      <w:r w:rsidR="00DB0561">
        <w:t xml:space="preserve">, </w:t>
      </w:r>
      <w:r w:rsidR="00DB0561">
        <w:rPr>
          <w:i/>
          <w:iCs/>
        </w:rPr>
        <w:t xml:space="preserve">Brookfield’s model of reflection, Study Prism, </w:t>
      </w:r>
      <w:r w:rsidR="00DB0561">
        <w:t xml:space="preserve">- </w:t>
      </w:r>
      <w:hyperlink r:id="rId12" w:history="1">
        <w:r w:rsidR="00DB0561" w:rsidRPr="007C7D3B">
          <w:rPr>
            <w:rStyle w:val="Hyperlink"/>
          </w:rPr>
          <w:t>https://studyprism.co.uk/reflective-practice/models/brookfields-model-of-reflection/</w:t>
        </w:r>
      </w:hyperlink>
      <w:r w:rsidR="00DB0561">
        <w:t xml:space="preserve"> (</w:t>
      </w:r>
      <w:r w:rsidR="000C5943">
        <w:t>09/01/23)</w:t>
      </w:r>
    </w:p>
    <w:p w14:paraId="2AD0FD55" w14:textId="28F2291B" w:rsidR="00134FDB" w:rsidRPr="00C32097" w:rsidRDefault="00134FDB" w:rsidP="00134FDB">
      <w:r>
        <w:t>4. Cooper,</w:t>
      </w:r>
      <w:r w:rsidR="00DD7E67">
        <w:t xml:space="preserve"> C.L.,</w:t>
      </w:r>
      <w:r>
        <w:t xml:space="preserve"> Flint,</w:t>
      </w:r>
      <w:r w:rsidR="00DD7E67">
        <w:t xml:space="preserve"> J.,</w:t>
      </w:r>
      <w:r>
        <w:t xml:space="preserve"> &amp; Pearn</w:t>
      </w:r>
      <w:r w:rsidR="000C5943">
        <w:t>,</w:t>
      </w:r>
      <w:r w:rsidR="00BB05D5">
        <w:t xml:space="preserve"> M.,</w:t>
      </w:r>
      <w:r>
        <w:t xml:space="preserve"> (2013)</w:t>
      </w:r>
      <w:r w:rsidR="00BB05D5">
        <w:t xml:space="preserve">, </w:t>
      </w:r>
      <w:r w:rsidR="00630E48">
        <w:t xml:space="preserve">Building resilience for success, </w:t>
      </w:r>
      <w:r w:rsidR="00630E48">
        <w:rPr>
          <w:i/>
          <w:iCs/>
        </w:rPr>
        <w:t>Palgrave Macmillan</w:t>
      </w:r>
      <w:r w:rsidR="00C32097">
        <w:rPr>
          <w:i/>
          <w:iCs/>
        </w:rPr>
        <w:t xml:space="preserve">, </w:t>
      </w:r>
      <w:hyperlink r:id="rId13" w:history="1">
        <w:r w:rsidR="00C32097" w:rsidRPr="007C7D3B">
          <w:rPr>
            <w:rStyle w:val="Hyperlink"/>
            <w:i/>
            <w:iCs/>
          </w:rPr>
          <w:t>https://link.springer.com/book/10.1057/9781137367839</w:t>
        </w:r>
      </w:hyperlink>
      <w:r w:rsidR="00C32097">
        <w:rPr>
          <w:i/>
          <w:iCs/>
        </w:rPr>
        <w:t xml:space="preserve"> </w:t>
      </w:r>
    </w:p>
    <w:p w14:paraId="2ED137BA" w14:textId="7D4D6E48" w:rsidR="00134FDB" w:rsidRPr="00837318" w:rsidRDefault="00134FDB" w:rsidP="00134FDB">
      <w:r>
        <w:t>5. De</w:t>
      </w:r>
      <w:r w:rsidR="00CC226B">
        <w:t>Rue</w:t>
      </w:r>
      <w:r w:rsidR="00AB6B38">
        <w:t>,</w:t>
      </w:r>
      <w:r>
        <w:t xml:space="preserve"> </w:t>
      </w:r>
      <w:r w:rsidR="00A37A05">
        <w:t>et al</w:t>
      </w:r>
      <w:r w:rsidR="000058D8">
        <w:t>.</w:t>
      </w:r>
      <w:r w:rsidR="00A37A05">
        <w:t>, (2012)</w:t>
      </w:r>
      <w:r w:rsidR="000058D8">
        <w:t xml:space="preserve">, </w:t>
      </w:r>
      <w:r w:rsidR="00AB6B38">
        <w:t xml:space="preserve">Learning Agility: In Search of Conceptual Clarity and Theoretical Grounding, </w:t>
      </w:r>
      <w:r w:rsidR="008500F6">
        <w:rPr>
          <w:i/>
          <w:iCs/>
        </w:rPr>
        <w:t>Industrial and Organisational Psychology</w:t>
      </w:r>
      <w:r w:rsidR="00837318">
        <w:rPr>
          <w:i/>
          <w:iCs/>
        </w:rPr>
        <w:t xml:space="preserve">, Vol. 5, </w:t>
      </w:r>
      <w:r w:rsidR="00837318">
        <w:t xml:space="preserve">- </w:t>
      </w:r>
      <w:hyperlink r:id="rId14" w:history="1">
        <w:r w:rsidR="00624FF2" w:rsidRPr="007C7D3B">
          <w:rPr>
            <w:rStyle w:val="Hyperlink"/>
          </w:rPr>
          <w:t>https://www.cambridge.org/core/journals/industrial-and-organizational-psychology/article/abs/learning-agility-in-search-of-conceptual-clarity-and-theoretical-grounding/3829A626AAD3405C47CCEADE776EE3D6</w:t>
        </w:r>
      </w:hyperlink>
      <w:r w:rsidR="00624FF2">
        <w:t xml:space="preserve"> </w:t>
      </w:r>
    </w:p>
    <w:p w14:paraId="32A33AFB" w14:textId="4DF4DB40" w:rsidR="00134FDB" w:rsidRPr="00846439" w:rsidRDefault="00134FDB" w:rsidP="00134FDB">
      <w:r>
        <w:t>6.</w:t>
      </w:r>
      <w:r w:rsidR="00A37A05">
        <w:t xml:space="preserve"> McLeod, </w:t>
      </w:r>
      <w:r w:rsidR="00E00383">
        <w:t xml:space="preserve">N., </w:t>
      </w:r>
      <w:r w:rsidR="00A37A05">
        <w:t>(2011)</w:t>
      </w:r>
      <w:r w:rsidR="00E00383">
        <w:t xml:space="preserve">, </w:t>
      </w:r>
      <w:r w:rsidR="00CA0AA6">
        <w:t>Critical Reflection as a Tool</w:t>
      </w:r>
      <w:r w:rsidR="00990745">
        <w:t xml:space="preserve"> for Developing Pedagogical Participation with Young </w:t>
      </w:r>
      <w:r w:rsidR="0079697C">
        <w:t xml:space="preserve">Children in Their Learning, </w:t>
      </w:r>
      <w:r w:rsidR="00846439">
        <w:rPr>
          <w:i/>
          <w:iCs/>
        </w:rPr>
        <w:t xml:space="preserve">University of Sheffield, </w:t>
      </w:r>
      <w:r w:rsidR="00884A0E">
        <w:t>British Library</w:t>
      </w:r>
      <w:r w:rsidR="00E87172">
        <w:t xml:space="preserve">, - </w:t>
      </w:r>
      <w:hyperlink r:id="rId15" w:history="1">
        <w:r w:rsidR="00E87172" w:rsidRPr="007C7D3B">
          <w:rPr>
            <w:rStyle w:val="Hyperlink"/>
          </w:rPr>
          <w:t>https://ethos.bl.uk/OrderDetails.do?uin=uk.bl.ethos.574575</w:t>
        </w:r>
      </w:hyperlink>
      <w:r w:rsidR="00E87172">
        <w:t xml:space="preserve"> </w:t>
      </w:r>
    </w:p>
    <w:p w14:paraId="3EE6972F" w14:textId="7B50E0F3" w:rsidR="00134FDB" w:rsidRDefault="00134FDB" w:rsidP="00134FDB"/>
    <w:p w14:paraId="68D2CA67" w14:textId="0DC5DDB8" w:rsidR="00487EEF" w:rsidRPr="00134FDB" w:rsidRDefault="00357F23" w:rsidP="00134FDB">
      <w:r>
        <w:t>4.</w:t>
      </w:r>
    </w:p>
    <w:p w14:paraId="5C4CF870" w14:textId="7AD79A08" w:rsidR="000A63CE" w:rsidRDefault="008B10E4" w:rsidP="006D4EB1">
      <w:pPr>
        <w:rPr>
          <w:u w:val="single"/>
        </w:rPr>
      </w:pPr>
      <w:r>
        <w:rPr>
          <w:u w:val="single"/>
        </w:rPr>
        <w:t>Reflectio</w:t>
      </w:r>
      <w:r w:rsidR="005330C9">
        <w:rPr>
          <w:u w:val="single"/>
        </w:rPr>
        <w:t>n</w:t>
      </w:r>
      <w:r>
        <w:rPr>
          <w:u w:val="single"/>
        </w:rPr>
        <w:t xml:space="preserve"> </w:t>
      </w:r>
    </w:p>
    <w:p w14:paraId="142F52FC" w14:textId="7ABCD281" w:rsidR="005330C9" w:rsidRPr="005330C9" w:rsidRDefault="005330C9" w:rsidP="006D4EB1">
      <w:r>
        <w:t>I am happy to state that the teamwork</w:t>
      </w:r>
      <w:r w:rsidR="00F06EAE">
        <w:t xml:space="preserve"> utilised</w:t>
      </w:r>
      <w:r w:rsidR="00172292">
        <w:t xml:space="preserve"> during this process</w:t>
      </w:r>
      <w:r w:rsidR="00C77D8C">
        <w:t xml:space="preserve"> went remarkably well!</w:t>
      </w:r>
      <w:r w:rsidR="007E7146">
        <w:t xml:space="preserve"> Each of us </w:t>
      </w:r>
      <w:r w:rsidR="00FB48E1">
        <w:t xml:space="preserve">had an equal </w:t>
      </w:r>
      <w:r w:rsidR="008271E9">
        <w:t xml:space="preserve">responsibility, as due to having four members </w:t>
      </w:r>
      <w:r w:rsidR="00B7264F">
        <w:t xml:space="preserve">we could equally split our workload between the four units that had been covered during </w:t>
      </w:r>
      <w:r w:rsidR="00040DAB">
        <w:t>the first term</w:t>
      </w:r>
      <w:r w:rsidR="00CD412B">
        <w:t xml:space="preserve">. Our topic of choice was Counselling, and so we </w:t>
      </w:r>
      <w:r w:rsidR="00384985">
        <w:t xml:space="preserve">revised the information </w:t>
      </w:r>
      <w:r w:rsidR="002158E0">
        <w:t xml:space="preserve">that was provided in order to </w:t>
      </w:r>
      <w:r w:rsidR="00060DF7">
        <w:t xml:space="preserve">better accommodate </w:t>
      </w:r>
      <w:r w:rsidR="00CB62F4">
        <w:t xml:space="preserve">to our topic of choice. I </w:t>
      </w:r>
      <w:r w:rsidR="00BB1265">
        <w:t xml:space="preserve">had the responsibility of Unit </w:t>
      </w:r>
      <w:r w:rsidR="00320121">
        <w:t>Four</w:t>
      </w:r>
      <w:r w:rsidR="00BB1265">
        <w:t xml:space="preserve"> – becoming a Lifelong Learner, </w:t>
      </w:r>
      <w:r w:rsidR="00356381">
        <w:t xml:space="preserve">and so </w:t>
      </w:r>
      <w:r w:rsidR="00EA51CF">
        <w:t xml:space="preserve">I </w:t>
      </w:r>
      <w:r w:rsidR="00334AF0">
        <w:t xml:space="preserve">focused on </w:t>
      </w:r>
      <w:r w:rsidR="00B16AB8">
        <w:t>Resilience and Reflection as key counsell</w:t>
      </w:r>
      <w:r w:rsidR="00B657FE">
        <w:t>or skills</w:t>
      </w:r>
      <w:r w:rsidR="00445924">
        <w:t>, whereas my peers undertook the other three</w:t>
      </w:r>
      <w:r w:rsidR="00E14E1F">
        <w:t xml:space="preserve">, with Zack taking </w:t>
      </w:r>
      <w:r w:rsidR="0068774D">
        <w:t>on Unit</w:t>
      </w:r>
      <w:r w:rsidR="00320121">
        <w:t xml:space="preserve"> One, Afsana taking Unit Three and Lauryn taking Unit Two</w:t>
      </w:r>
      <w:r w:rsidR="00A954D2">
        <w:t>. During our meetings, we were able to amicably distribute our workloads</w:t>
      </w:r>
      <w:r w:rsidR="001C3165">
        <w:t>, after which we went away to design our quarter of the poster</w:t>
      </w:r>
      <w:r w:rsidR="004B18B1">
        <w:t xml:space="preserve">. In two days’ time, we re – convened </w:t>
      </w:r>
      <w:r w:rsidR="009334E2">
        <w:t xml:space="preserve">and began </w:t>
      </w:r>
      <w:r w:rsidR="007334D5">
        <w:t>our design.</w:t>
      </w:r>
    </w:p>
    <w:sectPr w:rsidR="005330C9" w:rsidRPr="005330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1F5EFC"/>
    <w:multiLevelType w:val="hybridMultilevel"/>
    <w:tmpl w:val="51B604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751055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4EB1"/>
    <w:rsid w:val="000058D8"/>
    <w:rsid w:val="00040DAB"/>
    <w:rsid w:val="00060DF7"/>
    <w:rsid w:val="00065216"/>
    <w:rsid w:val="00095DAA"/>
    <w:rsid w:val="000A63CE"/>
    <w:rsid w:val="000C2913"/>
    <w:rsid w:val="000C5943"/>
    <w:rsid w:val="000E5CF7"/>
    <w:rsid w:val="00134FDB"/>
    <w:rsid w:val="00172292"/>
    <w:rsid w:val="00184CE1"/>
    <w:rsid w:val="001A7CB8"/>
    <w:rsid w:val="001C3165"/>
    <w:rsid w:val="001E2FC5"/>
    <w:rsid w:val="001E3E86"/>
    <w:rsid w:val="002158E0"/>
    <w:rsid w:val="00276F6A"/>
    <w:rsid w:val="002E476A"/>
    <w:rsid w:val="002F2AD2"/>
    <w:rsid w:val="00320121"/>
    <w:rsid w:val="00334AF0"/>
    <w:rsid w:val="00350397"/>
    <w:rsid w:val="00356381"/>
    <w:rsid w:val="00357F23"/>
    <w:rsid w:val="00384985"/>
    <w:rsid w:val="0039310C"/>
    <w:rsid w:val="003E155F"/>
    <w:rsid w:val="004104B7"/>
    <w:rsid w:val="00412E21"/>
    <w:rsid w:val="00432C8E"/>
    <w:rsid w:val="00445924"/>
    <w:rsid w:val="00454853"/>
    <w:rsid w:val="004601D8"/>
    <w:rsid w:val="00472177"/>
    <w:rsid w:val="00487EEF"/>
    <w:rsid w:val="004965DB"/>
    <w:rsid w:val="004B18B1"/>
    <w:rsid w:val="004F7372"/>
    <w:rsid w:val="00501E52"/>
    <w:rsid w:val="005216C4"/>
    <w:rsid w:val="00525319"/>
    <w:rsid w:val="005330C9"/>
    <w:rsid w:val="005372BC"/>
    <w:rsid w:val="00565F59"/>
    <w:rsid w:val="005A1C0F"/>
    <w:rsid w:val="005B5373"/>
    <w:rsid w:val="005E376A"/>
    <w:rsid w:val="005E61F4"/>
    <w:rsid w:val="00621FB4"/>
    <w:rsid w:val="00624FF2"/>
    <w:rsid w:val="00630E48"/>
    <w:rsid w:val="00680039"/>
    <w:rsid w:val="0068774D"/>
    <w:rsid w:val="006D4EB1"/>
    <w:rsid w:val="006F640A"/>
    <w:rsid w:val="007334D5"/>
    <w:rsid w:val="00734B96"/>
    <w:rsid w:val="007812C6"/>
    <w:rsid w:val="007957A5"/>
    <w:rsid w:val="0079697C"/>
    <w:rsid w:val="007C6844"/>
    <w:rsid w:val="007E7146"/>
    <w:rsid w:val="007F0ADD"/>
    <w:rsid w:val="00811DE7"/>
    <w:rsid w:val="008271E9"/>
    <w:rsid w:val="00837318"/>
    <w:rsid w:val="0083742D"/>
    <w:rsid w:val="00846439"/>
    <w:rsid w:val="008500F6"/>
    <w:rsid w:val="00862DBF"/>
    <w:rsid w:val="00884A0E"/>
    <w:rsid w:val="008A699F"/>
    <w:rsid w:val="008B10E4"/>
    <w:rsid w:val="008B6E5A"/>
    <w:rsid w:val="008C3738"/>
    <w:rsid w:val="009334E2"/>
    <w:rsid w:val="00942433"/>
    <w:rsid w:val="00945F09"/>
    <w:rsid w:val="00961937"/>
    <w:rsid w:val="00990745"/>
    <w:rsid w:val="009A35BE"/>
    <w:rsid w:val="009C0313"/>
    <w:rsid w:val="009F4150"/>
    <w:rsid w:val="00A16A43"/>
    <w:rsid w:val="00A37A05"/>
    <w:rsid w:val="00A619A9"/>
    <w:rsid w:val="00A9393D"/>
    <w:rsid w:val="00A954D2"/>
    <w:rsid w:val="00AB1E9B"/>
    <w:rsid w:val="00AB6B38"/>
    <w:rsid w:val="00AD243E"/>
    <w:rsid w:val="00AF1E29"/>
    <w:rsid w:val="00B16AB8"/>
    <w:rsid w:val="00B2261E"/>
    <w:rsid w:val="00B23E66"/>
    <w:rsid w:val="00B657FE"/>
    <w:rsid w:val="00B7264F"/>
    <w:rsid w:val="00B74E73"/>
    <w:rsid w:val="00B871B1"/>
    <w:rsid w:val="00B92153"/>
    <w:rsid w:val="00BB05D5"/>
    <w:rsid w:val="00BB1265"/>
    <w:rsid w:val="00BC2219"/>
    <w:rsid w:val="00BE713B"/>
    <w:rsid w:val="00C02BC6"/>
    <w:rsid w:val="00C32097"/>
    <w:rsid w:val="00C77D8C"/>
    <w:rsid w:val="00C80085"/>
    <w:rsid w:val="00C96B40"/>
    <w:rsid w:val="00CA0AA6"/>
    <w:rsid w:val="00CB62F4"/>
    <w:rsid w:val="00CC226B"/>
    <w:rsid w:val="00CD412B"/>
    <w:rsid w:val="00CD6D08"/>
    <w:rsid w:val="00CF3593"/>
    <w:rsid w:val="00D12262"/>
    <w:rsid w:val="00D20681"/>
    <w:rsid w:val="00D444BE"/>
    <w:rsid w:val="00D46BF6"/>
    <w:rsid w:val="00D7023A"/>
    <w:rsid w:val="00D70889"/>
    <w:rsid w:val="00D9132B"/>
    <w:rsid w:val="00DB0561"/>
    <w:rsid w:val="00DD7E67"/>
    <w:rsid w:val="00E00383"/>
    <w:rsid w:val="00E07242"/>
    <w:rsid w:val="00E129EC"/>
    <w:rsid w:val="00E130C2"/>
    <w:rsid w:val="00E14E1F"/>
    <w:rsid w:val="00E56B79"/>
    <w:rsid w:val="00E87172"/>
    <w:rsid w:val="00EA51CF"/>
    <w:rsid w:val="00EB4CA2"/>
    <w:rsid w:val="00F06EAE"/>
    <w:rsid w:val="00FA54EC"/>
    <w:rsid w:val="00FB48E1"/>
    <w:rsid w:val="00FD05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67B779"/>
  <w15:chartTrackingRefBased/>
  <w15:docId w15:val="{AA31CB04-F0B1-4846-B51B-4111AA5EE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E155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E155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134FD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B6E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r/personal/2202079_student_uwtsd_ac_uk/Documents/Skills%20Necessary%20For%20Counselling.mp4?csf=1&amp;web=1&amp;e=idzzTd" TargetMode="External"/><Relationship Id="rId13" Type="http://schemas.openxmlformats.org/officeDocument/2006/relationships/hyperlink" Target="https://link.springer.com/book/10.1057/9781137367839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studyprism.co.uk/reflective-practice/models/brookfields-model-of-reflection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journals.sagepub.com/doi/abs/10.1177/0021943610397270" TargetMode="External"/><Relationship Id="rId5" Type="http://schemas.openxmlformats.org/officeDocument/2006/relationships/styles" Target="styles.xml"/><Relationship Id="rId15" Type="http://schemas.openxmlformats.org/officeDocument/2006/relationships/hyperlink" Target="https://ethos.bl.uk/OrderDetails.do?uin=uk.bl.ethos.574575" TargetMode="External"/><Relationship Id="rId10" Type="http://schemas.openxmlformats.org/officeDocument/2006/relationships/hyperlink" Target="https://www.tandfonline.com/doi/abs/10.3109/01942638.2012.729556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1.png"/><Relationship Id="rId14" Type="http://schemas.openxmlformats.org/officeDocument/2006/relationships/hyperlink" Target="https://www.cambridge.org/core/journals/industrial-and-organizational-psychology/article/abs/learning-agility-in-search-of-conceptual-clarity-and-theoretical-grounding/3829A626AAD3405C47CCEADE776EE3D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6" ma:contentTypeDescription="Create a new document." ma:contentTypeScope="" ma:versionID="62dde4b22c52eaba9f69dc369536cef2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a4034660c2cba616cfd5a82755d419f5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814A8F8-3728-40E2-9352-5FAC6022531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6C9E846-6B8B-4061-A7C6-4E07C444C8D4}">
  <ds:schemaRefs>
    <ds:schemaRef ds:uri="http://purl.org/dc/dcmitype/"/>
    <ds:schemaRef ds:uri="http://schemas.microsoft.com/office/infopath/2007/PartnerControls"/>
    <ds:schemaRef ds:uri="http://www.w3.org/XML/1998/namespace"/>
    <ds:schemaRef ds:uri="http://purl.org/dc/terms/"/>
    <ds:schemaRef ds:uri="4055ddc6-ee7b-4b5b-b8fb-52871646f80e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E38921B1-1F4C-432D-A727-44AEBC9C3C4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</TotalTime>
  <Pages>3</Pages>
  <Words>790</Words>
  <Characters>4506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</dc:creator>
  <cp:keywords/>
  <dc:description/>
  <cp:lastModifiedBy>Elliott O'Donnell (2202079)</cp:lastModifiedBy>
  <cp:revision>131</cp:revision>
  <dcterms:created xsi:type="dcterms:W3CDTF">2022-10-27T14:05:00Z</dcterms:created>
  <dcterms:modified xsi:type="dcterms:W3CDTF">2023-01-09T14:10:00Z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