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2">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3">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4">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5">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6">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7">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8">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9">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0A">
      <w:pPr>
        <w:spacing w:after="160" w:line="259" w:lineRule="auto"/>
        <w:jc w:val="center"/>
        <w:rPr>
          <w:b w:val="1"/>
          <w:sz w:val="36"/>
          <w:szCs w:val="36"/>
        </w:rPr>
      </w:pPr>
      <w:r w:rsidDel="00000000" w:rsidR="00000000" w:rsidRPr="00000000">
        <w:rPr>
          <w:b w:val="1"/>
          <w:sz w:val="36"/>
          <w:szCs w:val="36"/>
          <w:rtl w:val="0"/>
        </w:rPr>
        <w:t xml:space="preserve">MENTAL DISORDERS AND PSYCHOPATHOLOGY</w:t>
      </w:r>
    </w:p>
    <w:p w:rsidR="00000000" w:rsidDel="00000000" w:rsidP="00000000" w:rsidRDefault="00000000" w:rsidRPr="00000000" w14:paraId="0000000B">
      <w:pPr>
        <w:spacing w:after="160" w:line="259" w:lineRule="auto"/>
        <w:jc w:val="center"/>
        <w:rPr>
          <w:b w:val="1"/>
          <w:sz w:val="24"/>
          <w:szCs w:val="24"/>
        </w:rPr>
      </w:pPr>
      <w:r w:rsidDel="00000000" w:rsidR="00000000" w:rsidRPr="00000000">
        <w:rPr>
          <w:b w:val="1"/>
          <w:sz w:val="24"/>
          <w:szCs w:val="24"/>
          <w:rtl w:val="0"/>
        </w:rPr>
        <w:t xml:space="preserve">Student: Shahid Saleem </w:t>
      </w:r>
    </w:p>
    <w:p w:rsidR="00000000" w:rsidDel="00000000" w:rsidP="00000000" w:rsidRDefault="00000000" w:rsidRPr="00000000" w14:paraId="0000000C">
      <w:pPr>
        <w:spacing w:after="160" w:line="259" w:lineRule="auto"/>
        <w:jc w:val="center"/>
        <w:rPr>
          <w:b w:val="1"/>
          <w:sz w:val="24"/>
          <w:szCs w:val="24"/>
        </w:rPr>
      </w:pPr>
      <w:r w:rsidDel="00000000" w:rsidR="00000000" w:rsidRPr="00000000">
        <w:rPr>
          <w:b w:val="1"/>
          <w:sz w:val="24"/>
          <w:szCs w:val="24"/>
          <w:rtl w:val="0"/>
        </w:rPr>
        <w:t xml:space="preserve">ID: 1715440</w:t>
      </w:r>
    </w:p>
    <w:p w:rsidR="00000000" w:rsidDel="00000000" w:rsidP="00000000" w:rsidRDefault="00000000" w:rsidRPr="00000000" w14:paraId="0000000D">
      <w:pPr>
        <w:spacing w:after="160" w:line="259" w:lineRule="auto"/>
        <w:jc w:val="center"/>
        <w:rPr>
          <w:b w:val="1"/>
          <w:sz w:val="24"/>
          <w:szCs w:val="24"/>
        </w:rPr>
      </w:pPr>
      <w:r w:rsidDel="00000000" w:rsidR="00000000" w:rsidRPr="00000000">
        <w:rPr>
          <w:b w:val="1"/>
          <w:sz w:val="24"/>
          <w:szCs w:val="24"/>
          <w:rtl w:val="0"/>
        </w:rPr>
        <w:t xml:space="preserve">BMHP6006</w:t>
      </w:r>
    </w:p>
    <w:p w:rsidR="00000000" w:rsidDel="00000000" w:rsidP="00000000" w:rsidRDefault="00000000" w:rsidRPr="00000000" w14:paraId="0000000E">
      <w:pPr>
        <w:spacing w:after="160" w:line="259" w:lineRule="auto"/>
        <w:jc w:val="center"/>
        <w:rPr>
          <w:b w:val="1"/>
          <w:sz w:val="24"/>
          <w:szCs w:val="24"/>
        </w:rPr>
      </w:pPr>
      <w:r w:rsidDel="00000000" w:rsidR="00000000" w:rsidRPr="00000000">
        <w:rPr>
          <w:b w:val="1"/>
          <w:sz w:val="24"/>
          <w:szCs w:val="24"/>
          <w:rtl w:val="0"/>
        </w:rPr>
        <w:t xml:space="preserve">Chloe Harris</w:t>
      </w:r>
    </w:p>
    <w:p w:rsidR="00000000" w:rsidDel="00000000" w:rsidP="00000000" w:rsidRDefault="00000000" w:rsidRPr="00000000" w14:paraId="0000000F">
      <w:pPr>
        <w:spacing w:after="160" w:line="259" w:lineRule="auto"/>
        <w:jc w:val="center"/>
        <w:rPr>
          <w:b w:val="1"/>
          <w:sz w:val="24"/>
          <w:szCs w:val="24"/>
        </w:rPr>
      </w:pPr>
      <w:r w:rsidDel="00000000" w:rsidR="00000000" w:rsidRPr="00000000">
        <w:rPr>
          <w:rtl w:val="0"/>
        </w:rPr>
      </w:r>
    </w:p>
    <w:p w:rsidR="00000000" w:rsidDel="00000000" w:rsidP="00000000" w:rsidRDefault="00000000" w:rsidRPr="00000000" w14:paraId="00000010">
      <w:pPr>
        <w:spacing w:after="160" w:line="259" w:lineRule="auto"/>
        <w:jc w:val="left"/>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Concept of Dementia</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Types of Dementia and its symptoms</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Signs and symptoms of dementia</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UK in relation to mental health provision as per dementia</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Justification and arguments</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Treatment/procurement</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Current hospitality services for dementia</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 history and tests</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Discerning and Addressing Complex Issues</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Brain imaging for dementia test</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Analysis of CSF (cerebrospinal fluid)</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Examining the Blood</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11</w:t>
            </w:r>
          </w:hyperlink>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spacing w:after="160" w:line="259" w:lineRule="auto"/>
        <w:rPr>
          <w:b w:val="1"/>
          <w:sz w:val="24"/>
          <w:szCs w:val="24"/>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heading=h.30j0zll" w:id="1"/>
      <w:bookmarkEnd w:id="1"/>
      <w:r w:rsidDel="00000000" w:rsidR="00000000" w:rsidRPr="00000000">
        <w:rPr>
          <w:rtl w:val="0"/>
        </w:rPr>
        <w:t xml:space="preserve">Concept of Dementia</w:t>
      </w:r>
    </w:p>
    <w:p w:rsidR="00000000" w:rsidDel="00000000" w:rsidP="00000000" w:rsidRDefault="00000000" w:rsidRPr="00000000" w14:paraId="00000022">
      <w:pPr>
        <w:spacing w:line="360" w:lineRule="auto"/>
        <w:jc w:val="both"/>
        <w:rPr>
          <w:sz w:val="24"/>
          <w:szCs w:val="24"/>
        </w:rPr>
      </w:pPr>
      <w:r w:rsidDel="00000000" w:rsidR="00000000" w:rsidRPr="00000000">
        <w:rPr>
          <w:sz w:val="24"/>
          <w:szCs w:val="24"/>
          <w:rtl w:val="0"/>
        </w:rPr>
        <w:t xml:space="preserve">This study will be executed by the adoption of Dementia and its significance. Like heart disease, the word "dementia" encompasses a broad spectrum of medical diseases, Alzheimer's disease included. Changes in the brain are the root cause of the disorders classified as dementia. As a result of these alterations, one's cognitive capacities begin to deteriorate to the point where ordinary tasks and activities become difficult, if not impossible, to complete without assistance (</w:t>
      </w:r>
      <w:r w:rsidDel="00000000" w:rsidR="00000000" w:rsidRPr="00000000">
        <w:rPr>
          <w:color w:val="222222"/>
          <w:sz w:val="24"/>
          <w:szCs w:val="24"/>
          <w:highlight w:val="white"/>
          <w:rtl w:val="0"/>
        </w:rPr>
        <w:t xml:space="preserve">Vasodavan et al. 2020</w:t>
      </w:r>
      <w:r w:rsidDel="00000000" w:rsidR="00000000" w:rsidRPr="00000000">
        <w:rPr>
          <w:sz w:val="24"/>
          <w:szCs w:val="24"/>
          <w:rtl w:val="0"/>
        </w:rPr>
        <w:t xml:space="preserve">). They have repercussions on how people act, feel, and relate to one another. Up to 80% of dementia cases are caused by Alzheimer's disease. Dementia due to clogged blood vessels or microscopic bleeding in the brain is the second leading cause of the disease. Mixed dementia occurs when the brain alterations associated with more than one kind of dementia coexist. Dementia symptoms may be caused by many different things, some of which are treatable, such a thyroid disorder or a lack of a certain vitamin.</w:t>
      </w:r>
    </w:p>
    <w:p w:rsidR="00000000" w:rsidDel="00000000" w:rsidP="00000000" w:rsidRDefault="00000000" w:rsidRPr="00000000" w14:paraId="00000023">
      <w:pPr>
        <w:pStyle w:val="Heading1"/>
        <w:rPr/>
      </w:pPr>
      <w:bookmarkStart w:colFirst="0" w:colLast="0" w:name="_heading=h.1fob9te" w:id="2"/>
      <w:bookmarkEnd w:id="2"/>
      <w:r w:rsidDel="00000000" w:rsidR="00000000" w:rsidRPr="00000000">
        <w:rPr>
          <w:rtl w:val="0"/>
        </w:rPr>
        <w:t xml:space="preserve">Types of Dementia and its symptoms </w:t>
      </w:r>
    </w:p>
    <w:p w:rsidR="00000000" w:rsidDel="00000000" w:rsidP="00000000" w:rsidRDefault="00000000" w:rsidRPr="00000000" w14:paraId="00000024">
      <w:pPr>
        <w:spacing w:line="360" w:lineRule="auto"/>
        <w:jc w:val="both"/>
        <w:rPr>
          <w:sz w:val="24"/>
          <w:szCs w:val="24"/>
        </w:rPr>
      </w:pPr>
      <w:r w:rsidDel="00000000" w:rsidR="00000000" w:rsidRPr="00000000">
        <w:rPr>
          <w:sz w:val="24"/>
          <w:szCs w:val="24"/>
          <w:rtl w:val="0"/>
        </w:rPr>
        <w:t xml:space="preserve">The symptoms of dementia may begin mildly and worsen over time since many disorders are progressive. Don't disregard memory issues or other changes in cognitive ability if you or a loved one are experiencing them. A doctor's examination might reveal a curable issue. Even if signs point to dementia, getting an early diagnosis means more effective therapy and the chance to participate in research trials. It's a chance to think forward, too. Dementia develops when brain cells get damaged. The inability of brain cells to interact with one another is a direct result of this injury. Disrupted communication between brain cells has been linked to difficulties with cognition, emotion, and behaviour. There are many different parts of the brain, and they all perform various tasks (</w:t>
      </w:r>
      <w:r w:rsidDel="00000000" w:rsidR="00000000" w:rsidRPr="00000000">
        <w:rPr>
          <w:color w:val="222222"/>
          <w:sz w:val="24"/>
          <w:szCs w:val="24"/>
          <w:highlight w:val="white"/>
          <w:rtl w:val="0"/>
        </w:rPr>
        <w:t xml:space="preserve">Bonnetain et al. 2020</w:t>
      </w:r>
      <w:r w:rsidDel="00000000" w:rsidR="00000000" w:rsidRPr="00000000">
        <w:rPr>
          <w:sz w:val="24"/>
          <w:szCs w:val="24"/>
          <w:rtl w:val="0"/>
        </w:rPr>
        <w:t xml:space="preserve">). Damaged cells in an area prevent that area from functioning correctly. Symptoms, phases, risk factors, and more are compared and contrasted in Understanding Alzheimer's and Dementia to help readers better grasp the differences between Alzheimer's disease and other forms of dementia. Damage to certain kinds of brain cells in specific brain areas has been linked to various dementias. In Alzheimer's disease, for instance, brain cells have a harder time maintaining their health and communicating with one another due to elevated quantities of particular proteins both inside and outside the cells. Learning and memory occur in a part of the brain called the hippocampus, and cells in this part of the brain are among the first to be affected by injury. Because of this, memory loss is often one of the first signs of Alzheimer's disease.</w:t>
      </w:r>
    </w:p>
    <w:p w:rsidR="00000000" w:rsidDel="00000000" w:rsidP="00000000" w:rsidRDefault="00000000" w:rsidRPr="00000000" w14:paraId="0000002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26">
      <w:pPr>
        <w:pStyle w:val="Heading1"/>
        <w:rPr/>
      </w:pPr>
      <w:bookmarkStart w:colFirst="0" w:colLast="0" w:name="_heading=h.3znysh7" w:id="3"/>
      <w:bookmarkEnd w:id="3"/>
      <w:r w:rsidDel="00000000" w:rsidR="00000000" w:rsidRPr="00000000">
        <w:rPr>
          <w:rtl w:val="0"/>
        </w:rPr>
        <w:t xml:space="preserve">Signs and symptoms of dementia</w:t>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Dementia symptoms develop when neurons (nerve cells) in the brain that were formerly healthy malfunction, lose connections to other brain cells, and eventually die. Although normal ageing causes a loss of neurons, the loss suffered by those with dementia is far larger.</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Ignorance, forgetfulness, and disorientation</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Struggles with verbal and written communication</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Idly rambling and becoming disoriented in a familiar area</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Difficulty managing finances and making timely payments.</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Inquiring again and again</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Using nonstandard terminology to describe common things</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Having difficulty throughout the course of a typical day</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Experiencing a loss of interest in one's regular activities or events</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Experiencing hallucinations, delusions, or paranoia</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Behaving on the spur of the moment</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Dismissal of the sentiments of others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Having trouble keeping your balance and moving around</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As with the general population, people with intellectual and developmental impairments may acquire dementia as they age, and it can be more challenging to see the signs in this population. Take into account the person's existing skills and watch for any changes that could indicate dementia (</w:t>
      </w:r>
      <w:r w:rsidDel="00000000" w:rsidR="00000000" w:rsidRPr="00000000">
        <w:rPr>
          <w:color w:val="222222"/>
          <w:sz w:val="24"/>
          <w:szCs w:val="24"/>
          <w:highlight w:val="white"/>
          <w:rtl w:val="0"/>
        </w:rPr>
        <w:t xml:space="preserve">Anis et al. 2020</w:t>
      </w:r>
      <w:r w:rsidDel="00000000" w:rsidR="00000000" w:rsidRPr="00000000">
        <w:rPr>
          <w:sz w:val="24"/>
          <w:szCs w:val="24"/>
          <w:rtl w:val="0"/>
        </w:rPr>
        <w:t xml:space="preserve">). Alzheimer's disease and other forms of dementia might have different root causes, depending on the specific brain alterations that are going place. While studies have connected certain brain abnormalities to specific kinds of dementia, the root reasons of the vast majority of dementia cases remain a mystery. Dementia may be caused by uncommon genetic changes, although it only affects a tiny percentage of the population. The onset of dementia is influenced by a number of diseases and environmental factors. In cases of neurodegeneration, brain cells and the ability to think clearly are progressively destroyed over time. There is currently no treatment available for these illnesses.</w:t>
      </w:r>
    </w:p>
    <w:p w:rsidR="00000000" w:rsidDel="00000000" w:rsidP="00000000" w:rsidRDefault="00000000" w:rsidRPr="00000000" w14:paraId="00000035">
      <w:pPr>
        <w:pStyle w:val="Heading1"/>
        <w:rPr/>
      </w:pPr>
      <w:bookmarkStart w:colFirst="0" w:colLast="0" w:name="_heading=h.2et92p0" w:id="4"/>
      <w:bookmarkEnd w:id="4"/>
      <w:r w:rsidDel="00000000" w:rsidR="00000000" w:rsidRPr="00000000">
        <w:rPr>
          <w:rtl w:val="0"/>
        </w:rPr>
        <w:t xml:space="preserve">UK in relation to mental health provision as per dementia</w:t>
        <w:tab/>
      </w:r>
    </w:p>
    <w:p w:rsidR="00000000" w:rsidDel="00000000" w:rsidP="00000000" w:rsidRDefault="00000000" w:rsidRPr="00000000" w14:paraId="00000036">
      <w:pPr>
        <w:spacing w:line="360" w:lineRule="auto"/>
        <w:jc w:val="both"/>
        <w:rPr>
          <w:sz w:val="24"/>
          <w:szCs w:val="24"/>
        </w:rPr>
      </w:pPr>
      <w:r w:rsidDel="00000000" w:rsidR="00000000" w:rsidRPr="00000000">
        <w:rPr>
          <w:sz w:val="24"/>
          <w:szCs w:val="24"/>
          <w:rtl w:val="0"/>
        </w:rPr>
        <w:t xml:space="preserve">The briefing begins with a discussion of how the Covid-19 epidemic has affected people's mental health and how the NHS and the government have responded. It addresses the Temporary Amendments to the Mental Health Act of 1983 that were made in accordance with the Coronavirus Act of 2020. As a result, these clauses were never implemented. Timelines of recent Government and NHS mental health policy in England are provided in Section 2. The Five Year Forward View for Mental Health was released in February 2016 by an independent mental health taskforce (</w:t>
      </w:r>
      <w:r w:rsidDel="00000000" w:rsidR="00000000" w:rsidRPr="00000000">
        <w:rPr>
          <w:color w:val="222222"/>
          <w:sz w:val="24"/>
          <w:szCs w:val="24"/>
          <w:highlight w:val="white"/>
          <w:rtl w:val="0"/>
        </w:rPr>
        <w:t xml:space="preserve">Ashori, 2020</w:t>
      </w:r>
      <w:r w:rsidDel="00000000" w:rsidR="00000000" w:rsidRPr="00000000">
        <w:rPr>
          <w:sz w:val="24"/>
          <w:szCs w:val="24"/>
          <w:rtl w:val="0"/>
        </w:rPr>
        <w:t xml:space="preserve">). There were many suggestions for the NHS and the government to implement to improve mental health outcomes by 2020/21. Both the government and NHS England agreed to adopt and implement the suggestions. Additional pledges to enhance mental health services were made in the NHS Long Term Plan released on January 7, 2019. With a new, 10-year, government-wide mental health and wellness strategy in the works, the government put out a call for evidence in 2022.</w:t>
      </w:r>
    </w:p>
    <w:p w:rsidR="00000000" w:rsidDel="00000000" w:rsidP="00000000" w:rsidRDefault="00000000" w:rsidRPr="00000000" w14:paraId="00000037">
      <w:pPr>
        <w:pStyle w:val="Heading1"/>
        <w:rPr/>
      </w:pPr>
      <w:bookmarkStart w:colFirst="0" w:colLast="0" w:name="_heading=h.tyjcwt" w:id="5"/>
      <w:bookmarkEnd w:id="5"/>
      <w:r w:rsidDel="00000000" w:rsidR="00000000" w:rsidRPr="00000000">
        <w:rPr>
          <w:rtl w:val="0"/>
        </w:rPr>
        <w:t xml:space="preserve">Justification and arguments </w:t>
      </w:r>
    </w:p>
    <w:p w:rsidR="00000000" w:rsidDel="00000000" w:rsidP="00000000" w:rsidRDefault="00000000" w:rsidRPr="00000000" w14:paraId="00000038">
      <w:pPr>
        <w:spacing w:line="360" w:lineRule="auto"/>
        <w:jc w:val="both"/>
        <w:rPr>
          <w:sz w:val="24"/>
          <w:szCs w:val="24"/>
        </w:rPr>
      </w:pPr>
      <w:r w:rsidDel="00000000" w:rsidR="00000000" w:rsidRPr="00000000">
        <w:rPr>
          <w:sz w:val="24"/>
          <w:szCs w:val="24"/>
          <w:rtl w:val="0"/>
        </w:rPr>
        <w:t xml:space="preserve">Spending on mental health is discussed in this Section, which details plans to establish a new ring-fenced local investment fund with an annual budget of at least £2.3 billion by 2023/24. The government's recommended solutions for addressing mental health inequality are discussed in Section 4. In the aftermath of Covid-19, initiatives are being planned to reduce racial disparities in mental health outcomes and treatment access (</w:t>
      </w:r>
      <w:r w:rsidDel="00000000" w:rsidR="00000000" w:rsidRPr="00000000">
        <w:rPr>
          <w:color w:val="222222"/>
          <w:sz w:val="24"/>
          <w:szCs w:val="24"/>
          <w:highlight w:val="white"/>
          <w:rtl w:val="0"/>
        </w:rPr>
        <w:t xml:space="preserve">van, 2018</w:t>
      </w:r>
      <w:r w:rsidDel="00000000" w:rsidR="00000000" w:rsidRPr="00000000">
        <w:rPr>
          <w:sz w:val="24"/>
          <w:szCs w:val="24"/>
          <w:rtl w:val="0"/>
        </w:rPr>
        <w:t xml:space="preserve">). The Mental Health Act's Code of Practice and the NICE recommendations are only two examples of the current advice on the use of force in mental health facilities that are included in Section 5. The Mental Health Units of 2018, sometimes referred to as "Seni's Law," went into effect at the end of March 2022 and is also addressed. Updates on the Mental Health Act of 1983 reform efforts are detailed in Section 6. As a result of increasing incarceration rates and the Act's discriminatory application to persons of colour, the Government requested an independent review of the Act in October 2017. In January of 2021, the government issued a white paper titled Reforming the Mental Health Act. The government's answer was released in July 2021, after a period of public comment. The Queen's Speech in 2022 announced the introduction of a proposed Mental Health Bill.</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Each seminar was planned with the goal of learning as much as possible about a certain field of study or community of practise. The first seminar was for people who utilise the services; the next three were for professionals in the field (psychologists, psychiatrists, and policymakers), and the last session was for individuals. Academics and graduate students with an interest in the topic at hand also attended and participated in the seminars (</w:t>
      </w:r>
      <w:r w:rsidDel="00000000" w:rsidR="00000000" w:rsidRPr="00000000">
        <w:rPr>
          <w:color w:val="222222"/>
          <w:sz w:val="24"/>
          <w:szCs w:val="24"/>
          <w:highlight w:val="white"/>
          <w:rtl w:val="0"/>
        </w:rPr>
        <w:t xml:space="preserve">Träff and Östergren, 2018</w:t>
      </w:r>
      <w:r w:rsidDel="00000000" w:rsidR="00000000" w:rsidRPr="00000000">
        <w:rPr>
          <w:sz w:val="24"/>
          <w:szCs w:val="24"/>
          <w:rtl w:val="0"/>
        </w:rPr>
        <w:t xml:space="preserve">). There was a sense of continuity and trust in the conversations between service users and experts since many of the presenters and other attendees attended more than one session.</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In the beginning, the speakers were tasked with taking on the role of witnesses rather than historians, using their own personal experiences to shed light on pivotal moments in the development of mental health care throughout the era. Short, conversational speeches were given at the start of each session. This report was compiled using audio and transcripts of all hearings. However, in an effort to promote free speech, all comments were made under modified Chatham House rules, which meant that participants' express consent was needed before they could be published. Contributors had a hard time separating their roles as witness and historian, as did many other participants in élite oral history. The incidents that were recalled by several of the authors were the subject of practise and controversy at the time as remembering was conditioned by the assumptions and jargon of the arguments.</w:t>
      </w:r>
    </w:p>
    <w:p w:rsidR="00000000" w:rsidDel="00000000" w:rsidP="00000000" w:rsidRDefault="00000000" w:rsidRPr="00000000" w14:paraId="0000003B">
      <w:pPr>
        <w:pStyle w:val="Heading1"/>
        <w:rPr/>
      </w:pPr>
      <w:bookmarkStart w:colFirst="0" w:colLast="0" w:name="_heading=h.3dy6vkm" w:id="6"/>
      <w:bookmarkEnd w:id="6"/>
      <w:r w:rsidDel="00000000" w:rsidR="00000000" w:rsidRPr="00000000">
        <w:rPr>
          <w:rtl w:val="0"/>
        </w:rPr>
        <w:t xml:space="preserve">Treatment/procurement </w:t>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The cognitive deterioration characteristic of dementia may affect any part of the brain (learning and memory, language, executive function, complex attention, perceptual-motor, social cognition). The impairments must be a step down from the patient's prior level of functioning and must be severe enough to limit the patient's ability to carry out normal, everyday activities without assistance. Alzheimer disease (AD) accounts for between 60 and 80 percent of occurrences of dementia in the elderly. In terms of cognitive impairment, mild cognitive impairment (MCI) is a clinical condition that falls between normal cognition and dementia. Normal ageing is associated with age-related declines in cognition, but mild cognitive impairment (MCI) may be a warning sign of dementia (</w:t>
      </w:r>
      <w:r w:rsidDel="00000000" w:rsidR="00000000" w:rsidRPr="00000000">
        <w:rPr>
          <w:color w:val="222222"/>
          <w:sz w:val="24"/>
          <w:szCs w:val="24"/>
          <w:highlight w:val="white"/>
          <w:rtl w:val="0"/>
        </w:rPr>
        <w:t xml:space="preserve">Rasmussen, 2019</w:t>
      </w:r>
      <w:r w:rsidDel="00000000" w:rsidR="00000000" w:rsidRPr="00000000">
        <w:rPr>
          <w:sz w:val="24"/>
          <w:szCs w:val="24"/>
          <w:rtl w:val="0"/>
        </w:rPr>
        <w:t xml:space="preserve">). While MCI is a permanent disease for some people, for others it may be temporary, for example in the case of depression, as a side effect of some drugs, or during the recovery from an acute illness. Dementia's global impact is growing as the world's population ages. With an ageing population and rising knowledge of Alzheimer's disease and other forms of dementia that often strike the elderly, doctors must be prepared to screen for cognitive impairment and inquire about functional decline. Early cognitive symptoms of Alzheimer's disease (AD) and other dementias will need to be appropriately diagnosed and managed by clinicians. Evaluation of individuals with dementia and other forms of cognitive impairment will be covered here. The clinical expertise and the American Academy of Neurology (AAN) practise standards inform the recommendations for assessing cognitive impairment and dementia.</w:t>
      </w:r>
    </w:p>
    <w:p w:rsidR="00000000" w:rsidDel="00000000" w:rsidP="00000000" w:rsidRDefault="00000000" w:rsidRPr="00000000" w14:paraId="0000003D">
      <w:pPr>
        <w:pStyle w:val="Heading1"/>
        <w:rPr/>
      </w:pPr>
      <w:bookmarkStart w:colFirst="0" w:colLast="0" w:name="_heading=h.1t3h5sf" w:id="7"/>
      <w:bookmarkEnd w:id="7"/>
      <w:r w:rsidDel="00000000" w:rsidR="00000000" w:rsidRPr="00000000">
        <w:rPr>
          <w:rtl w:val="0"/>
        </w:rPr>
        <w:t xml:space="preserve">Current hospitality services for dementia </w:t>
      </w:r>
    </w:p>
    <w:p w:rsidR="00000000" w:rsidDel="00000000" w:rsidP="00000000" w:rsidRDefault="00000000" w:rsidRPr="00000000" w14:paraId="0000003E">
      <w:pPr>
        <w:spacing w:line="360" w:lineRule="auto"/>
        <w:jc w:val="both"/>
        <w:rPr>
          <w:sz w:val="24"/>
          <w:szCs w:val="24"/>
        </w:rPr>
      </w:pPr>
      <w:r w:rsidDel="00000000" w:rsidR="00000000" w:rsidRPr="00000000">
        <w:rPr>
          <w:sz w:val="24"/>
          <w:szCs w:val="24"/>
          <w:rtl w:val="0"/>
        </w:rPr>
        <w:t xml:space="preserve">The lectures were designed to encourage the generation of historical questions rather than reproducible solutions. Because of this, we had to adjust how we choose speakers, ran the sessions, and wrote this report. There were fifteen main contributions, including practitioners, policymakers, historians, service users, and social scientists. Two were government employees, three were psychologists or psychotherapists, five were psychiatrists, three were social scientists with varying areas of expertise, and one was from the non-profit sector. Because of the nature of the seminars, the participants were not selected to be a statistically valid cross-section of the population. It was important that the contributors be willing and available to participate, so although some were invited because they had played significant roles in policymaking or discussion recently or in the past, the final line-up was mostly determined by their desire to participate (</w:t>
      </w:r>
      <w:r w:rsidDel="00000000" w:rsidR="00000000" w:rsidRPr="00000000">
        <w:rPr>
          <w:color w:val="222222"/>
          <w:sz w:val="24"/>
          <w:szCs w:val="24"/>
          <w:highlight w:val="white"/>
          <w:rtl w:val="0"/>
        </w:rPr>
        <w:t xml:space="preserve">Zenebe et al. 2020</w:t>
      </w:r>
      <w:r w:rsidDel="00000000" w:rsidR="00000000" w:rsidRPr="00000000">
        <w:rPr>
          <w:sz w:val="24"/>
          <w:szCs w:val="24"/>
          <w:rtl w:val="0"/>
        </w:rPr>
        <w:t xml:space="preserve">). In any event, it would be tough to represent a 'typical' range of clinicians in a small number of representatives from each field, and to make such a choice on our side would have been to beg the issue. The most glaring omission of professionals was a biologically oriented psychiatrist from a roster in which psychiatry was, if anything, over-represented. However, there were many other types of psychiatry and psychology, and especially nursing and social work, which could only be represented by proxy in the accounts of the professional contributors. There was a lot of overlap in the functions of the various speakers. Two psychiatrists and two clinical psychologists had substantial expertise in policymaking and administration; three practitioners were also historians, and all seven were heavily active in policymaking. Several others, including one witness, had been clients of the services they were discussing.</w:t>
      </w:r>
    </w:p>
    <w:p w:rsidR="00000000" w:rsidDel="00000000" w:rsidP="00000000" w:rsidRDefault="00000000" w:rsidRPr="00000000" w14:paraId="0000003F">
      <w:pPr>
        <w:pStyle w:val="Heading1"/>
        <w:rPr/>
      </w:pPr>
      <w:bookmarkStart w:colFirst="0" w:colLast="0" w:name="_heading=h.4d34og8" w:id="8"/>
      <w:bookmarkEnd w:id="8"/>
      <w:r w:rsidDel="00000000" w:rsidR="00000000" w:rsidRPr="00000000">
        <w:rPr>
          <w:rtl w:val="0"/>
        </w:rPr>
        <w:t xml:space="preserve">Medical history and tests </w:t>
      </w:r>
    </w:p>
    <w:p w:rsidR="00000000" w:rsidDel="00000000" w:rsidP="00000000" w:rsidRDefault="00000000" w:rsidRPr="00000000" w14:paraId="00000040">
      <w:pPr>
        <w:spacing w:line="360" w:lineRule="auto"/>
        <w:jc w:val="both"/>
        <w:rPr>
          <w:sz w:val="24"/>
          <w:szCs w:val="24"/>
        </w:rPr>
      </w:pPr>
      <w:r w:rsidDel="00000000" w:rsidR="00000000" w:rsidRPr="00000000">
        <w:rPr>
          <w:sz w:val="24"/>
          <w:szCs w:val="24"/>
          <w:rtl w:val="0"/>
        </w:rPr>
        <w:t xml:space="preserve">The medical evaluation process includes a review of the patient's medical history, which may include a discussion of the patient's mental history and any prior records of cognitive or behavioural problems. The doctor will want to hear about any illnesses, injuries, or concerns the patient has had in the past, as well as the names and dosages of any drugs they are now taking. The doctor will also inquire about the health of other close relatives, including whether or not any of them have ever been diagnosed with Alzheimer's disease or another kind of dementia. Health problems that might cause dementia symptoms can be identified with the use of information gleaned from a physical examination and laboratory testing. Dementia-like symptoms are often brought on by things like depression, untreated sleep apnea, delirium, drug side effects, thyroid issues, vitamin deficiencies, and excessive alcohol usage. These disorders are typically treatable, unlike Alzheimer's disease and other forms of dementia. The doctor will look for symptoms of other brain illnesses that could explain the patient's symptoms during the neurological exam in addition to Alzheimer's disease. The doctor will check for symptoms of illnesses that might affect memory and thought, such as a stroke, Parkinson's disease, brain tumour, or excess fluid in the brain. Memory, reasoning, and the capacity to solve relatively straightforward problems are all aspects of mental health that may be measured by cognitive testing. The duration and complexity of a test might vary greatly (</w:t>
      </w:r>
      <w:r w:rsidDel="00000000" w:rsidR="00000000" w:rsidRPr="00000000">
        <w:rPr>
          <w:color w:val="222222"/>
          <w:sz w:val="24"/>
          <w:szCs w:val="24"/>
          <w:highlight w:val="white"/>
          <w:rtl w:val="0"/>
        </w:rPr>
        <w:t xml:space="preserve">Shaw </w:t>
      </w:r>
      <w:r w:rsidDel="00000000" w:rsidR="00000000" w:rsidRPr="00000000">
        <w:rPr>
          <w:i w:val="1"/>
          <w:color w:val="222222"/>
          <w:sz w:val="24"/>
          <w:szCs w:val="24"/>
          <w:highlight w:val="white"/>
          <w:rtl w:val="0"/>
        </w:rPr>
        <w:t xml:space="preserve">et al.</w:t>
      </w:r>
      <w:r w:rsidDel="00000000" w:rsidR="00000000" w:rsidRPr="00000000">
        <w:rPr>
          <w:color w:val="222222"/>
          <w:sz w:val="24"/>
          <w:szCs w:val="24"/>
          <w:highlight w:val="white"/>
          <w:rtl w:val="0"/>
        </w:rPr>
        <w:t xml:space="preserve"> 2022</w:t>
      </w:r>
      <w:r w:rsidDel="00000000" w:rsidR="00000000" w:rsidRPr="00000000">
        <w:rPr>
          <w:sz w:val="24"/>
          <w:szCs w:val="24"/>
          <w:rtl w:val="0"/>
        </w:rPr>
        <w:t xml:space="preserve">). A neuropsychologist is the best person to provide more extensive cognitive tests to assess areas including executive function, judgement, attention, and language. The Mini-Mental State Examination (MMSE) is a battery of questions intended to measure general cognitive functioning. There is a hard cap of 30 on the MMSE. Scoring between 20 and 24 points denotes mild dementia, 13 to 20 points indicates moderate dementia, and 12 points or fewer indicates severe dementia. Those with Alzheimer's disease often see a two- to four-point annual reduction in their MMSE score. Cognitive tests, which assess a person's ability to think, learn, and remember, are a rapidly expanding field of study. Several computerised cognitive testing devices have received marketing clearance from the Food and Drug Administration (FDA) of the United States. Cantab Mobile, CognICA, Cognigram, Cognivue, Cognition, and Automated Neuropsychological Assessment Metrics (ANAM) are all examples of such tools. Aside from the Mini-Cog and the MMSE, some doctors also employ these computer-based assessments. One benefit of using computers to administer exams is that they are consistently administered. Doctors may get a better grasp of their patients' cognitive challenges by using both clinical and computer-based assessments.</w:t>
      </w:r>
    </w:p>
    <w:p w:rsidR="00000000" w:rsidDel="00000000" w:rsidP="00000000" w:rsidRDefault="00000000" w:rsidRPr="00000000" w14:paraId="00000041">
      <w:pPr>
        <w:pStyle w:val="Heading1"/>
        <w:rPr/>
      </w:pPr>
      <w:bookmarkStart w:colFirst="0" w:colLast="0" w:name="_heading=h.2s8eyo1" w:id="9"/>
      <w:bookmarkEnd w:id="9"/>
      <w:r w:rsidDel="00000000" w:rsidR="00000000" w:rsidRPr="00000000">
        <w:rPr>
          <w:rtl w:val="0"/>
        </w:rPr>
        <w:t xml:space="preserve">Discerning and Addressing Complex Issues</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In order to solve a problem, you must first define the problem, then pinpoint its root cause, then evaluate potential solutions and ultimately choose the one with the highest likelihood of success. Effective problem-solving is essential to advancing an endeavour, and a capable problem-solver plays a key role in removing roadblocks (</w:t>
      </w:r>
      <w:r w:rsidDel="00000000" w:rsidR="00000000" w:rsidRPr="00000000">
        <w:rPr>
          <w:color w:val="222222"/>
          <w:sz w:val="24"/>
          <w:szCs w:val="24"/>
          <w:highlight w:val="white"/>
          <w:rtl w:val="0"/>
        </w:rPr>
        <w:t xml:space="preserve">Ahmad and Pothuganti, 2020</w:t>
      </w:r>
      <w:r w:rsidDel="00000000" w:rsidR="00000000" w:rsidRPr="00000000">
        <w:rPr>
          <w:sz w:val="24"/>
          <w:szCs w:val="24"/>
          <w:rtl w:val="0"/>
        </w:rPr>
        <w:t xml:space="preserve">). As they aid in raising productivity, they are valuable to any company. Complex issues need for investigation, analysis, and a final conclusion. A problem may be solved by dissecting it into manageable chunks. Participating in brainstorming meetings, working on projects, doing research, and even solving puzzles are all great ways to hone your problem-solving abilities.</w:t>
      </w:r>
    </w:p>
    <w:p w:rsidR="00000000" w:rsidDel="00000000" w:rsidP="00000000" w:rsidRDefault="00000000" w:rsidRPr="00000000" w14:paraId="00000043">
      <w:pPr>
        <w:pStyle w:val="Heading1"/>
        <w:rPr/>
      </w:pPr>
      <w:bookmarkStart w:colFirst="0" w:colLast="0" w:name="_heading=h.17dp8vu" w:id="10"/>
      <w:bookmarkEnd w:id="10"/>
      <w:r w:rsidDel="00000000" w:rsidR="00000000" w:rsidRPr="00000000">
        <w:rPr>
          <w:rtl w:val="0"/>
        </w:rPr>
        <w:t xml:space="preserve">Brain imaging for dementia test</w:t>
      </w:r>
    </w:p>
    <w:p w:rsidR="00000000" w:rsidDel="00000000" w:rsidP="00000000" w:rsidRDefault="00000000" w:rsidRPr="00000000" w14:paraId="00000044">
      <w:pPr>
        <w:spacing w:after="160" w:line="360" w:lineRule="auto"/>
        <w:jc w:val="both"/>
        <w:rPr>
          <w:sz w:val="24"/>
          <w:szCs w:val="24"/>
        </w:rPr>
      </w:pPr>
      <w:r w:rsidDel="00000000" w:rsidR="00000000" w:rsidRPr="00000000">
        <w:rPr>
          <w:sz w:val="24"/>
          <w:szCs w:val="24"/>
          <w:rtl w:val="0"/>
        </w:rPr>
        <w:t xml:space="preserve">Structural imaging, such as MRI or CT scans, is often part of the diagnostic workup for Alzheimer's disease (CT). The primary purpose of these examinations is to rule out other diseases that may produce Alzheimer's-like symptoms but have distinct treatment requirements. Brain tumours, minor or major strokes, traumatic brain injury, and cerebrospinal fluid accumulation may all be seen using structural imaging. </w:t>
      </w:r>
    </w:p>
    <w:p w:rsidR="00000000" w:rsidDel="00000000" w:rsidP="00000000" w:rsidRDefault="00000000" w:rsidRPr="00000000" w14:paraId="00000045">
      <w:pPr>
        <w:spacing w:after="160" w:line="360" w:lineRule="auto"/>
        <w:jc w:val="center"/>
        <w:rPr>
          <w:b w:val="1"/>
          <w:sz w:val="24"/>
          <w:szCs w:val="24"/>
        </w:rPr>
      </w:pPr>
      <w:r w:rsidDel="00000000" w:rsidR="00000000" w:rsidRPr="00000000">
        <w:rPr>
          <w:sz w:val="18"/>
          <w:szCs w:val="18"/>
        </w:rPr>
        <w:drawing>
          <wp:inline distB="0" distT="0" distL="0" distR="0">
            <wp:extent cx="3811270" cy="2377440"/>
            <wp:effectExtent b="0" l="0" r="0" t="0"/>
            <wp:docPr descr="Brain imaging like these scans can help diagnose dementias" id="2" name="image1.jpg"/>
            <a:graphic>
              <a:graphicData uri="http://schemas.openxmlformats.org/drawingml/2006/picture">
                <pic:pic>
                  <pic:nvPicPr>
                    <pic:cNvPr descr="Brain imaging like these scans can help diagnose dementias" id="0" name="image1.jpg"/>
                    <pic:cNvPicPr preferRelativeResize="0"/>
                  </pic:nvPicPr>
                  <pic:blipFill>
                    <a:blip r:embed="rId7"/>
                    <a:srcRect b="0" l="0" r="0" t="0"/>
                    <a:stretch>
                      <a:fillRect/>
                    </a:stretch>
                  </pic:blipFill>
                  <pic:spPr>
                    <a:xfrm>
                      <a:off x="0" y="0"/>
                      <a:ext cx="3811270" cy="237744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after="160" w:line="360" w:lineRule="auto"/>
        <w:jc w:val="center"/>
        <w:rPr>
          <w:b w:val="1"/>
          <w:sz w:val="24"/>
          <w:szCs w:val="24"/>
        </w:rPr>
      </w:pPr>
      <w:r w:rsidDel="00000000" w:rsidR="00000000" w:rsidRPr="00000000">
        <w:rPr>
          <w:b w:val="1"/>
          <w:sz w:val="24"/>
          <w:szCs w:val="24"/>
          <w:rtl w:val="0"/>
        </w:rPr>
        <w:t xml:space="preserve">Figure 1: Brain imaging for dementia test </w:t>
      </w:r>
    </w:p>
    <w:p w:rsidR="00000000" w:rsidDel="00000000" w:rsidP="00000000" w:rsidRDefault="00000000" w:rsidRPr="00000000" w14:paraId="00000047">
      <w:pPr>
        <w:spacing w:after="160" w:line="360" w:lineRule="auto"/>
        <w:jc w:val="center"/>
        <w:rPr>
          <w:sz w:val="24"/>
          <w:szCs w:val="24"/>
        </w:rPr>
      </w:pPr>
      <w:r w:rsidDel="00000000" w:rsidR="00000000" w:rsidRPr="00000000">
        <w:rPr>
          <w:sz w:val="24"/>
          <w:szCs w:val="24"/>
          <w:rtl w:val="0"/>
        </w:rPr>
        <w:t xml:space="preserve">(Source: </w:t>
      </w:r>
      <w:hyperlink r:id="rId8">
        <w:r w:rsidDel="00000000" w:rsidR="00000000" w:rsidRPr="00000000">
          <w:rPr>
            <w:color w:val="0563c1"/>
            <w:sz w:val="24"/>
            <w:szCs w:val="24"/>
            <w:u w:val="single"/>
            <w:rtl w:val="0"/>
          </w:rPr>
          <w:t xml:space="preserve">https://www.alz.org/alzheimers-dementia/diagnosis/medical_tests</w:t>
        </w:r>
      </w:hyperlink>
      <w:r w:rsidDel="00000000" w:rsidR="00000000" w:rsidRPr="00000000">
        <w:rPr>
          <w:sz w:val="24"/>
          <w:szCs w:val="24"/>
          <w:rtl w:val="0"/>
        </w:rPr>
        <w:t xml:space="preserve">)</w:t>
      </w:r>
    </w:p>
    <w:p w:rsidR="00000000" w:rsidDel="00000000" w:rsidP="00000000" w:rsidRDefault="00000000" w:rsidRPr="00000000" w14:paraId="00000048">
      <w:pPr>
        <w:spacing w:after="160" w:line="360" w:lineRule="auto"/>
        <w:jc w:val="both"/>
        <w:rPr>
          <w:sz w:val="24"/>
          <w:szCs w:val="24"/>
        </w:rPr>
      </w:pPr>
      <w:r w:rsidDel="00000000" w:rsidR="00000000" w:rsidRPr="00000000">
        <w:rPr>
          <w:sz w:val="24"/>
          <w:szCs w:val="24"/>
          <w:rtl w:val="0"/>
        </w:rPr>
        <w:t xml:space="preserve">High quantities of beta-amyloid, a characteristic of Alzheimer's, may be detected using brain imaging equipment in certain cases; normal levels would imply Alzheimer's is not the cause of dementia. Our knowledge of how the brain works in vivo has been greatly advanced by imaging technology. In order to improve Alzheimer's diagnosis and monitoring, researchers are looking at alternative brain imaging methods. </w:t>
      </w:r>
    </w:p>
    <w:p w:rsidR="00000000" w:rsidDel="00000000" w:rsidP="00000000" w:rsidRDefault="00000000" w:rsidRPr="00000000" w14:paraId="00000049">
      <w:pPr>
        <w:pStyle w:val="Heading1"/>
        <w:rPr/>
      </w:pPr>
      <w:bookmarkStart w:colFirst="0" w:colLast="0" w:name="_heading=h.3rdcrjn" w:id="11"/>
      <w:bookmarkEnd w:id="11"/>
      <w:r w:rsidDel="00000000" w:rsidR="00000000" w:rsidRPr="00000000">
        <w:rPr>
          <w:rtl w:val="0"/>
        </w:rPr>
        <w:t xml:space="preserve">Analysis of CSF (cerebrospinal fluid)</w:t>
      </w:r>
    </w:p>
    <w:p w:rsidR="00000000" w:rsidDel="00000000" w:rsidP="00000000" w:rsidRDefault="00000000" w:rsidRPr="00000000" w14:paraId="0000004A">
      <w:pPr>
        <w:spacing w:after="160" w:line="360" w:lineRule="auto"/>
        <w:jc w:val="both"/>
        <w:rPr>
          <w:sz w:val="24"/>
          <w:szCs w:val="24"/>
        </w:rPr>
      </w:pPr>
      <w:r w:rsidDel="00000000" w:rsidR="00000000" w:rsidRPr="00000000">
        <w:rPr>
          <w:sz w:val="24"/>
          <w:szCs w:val="24"/>
          <w:rtl w:val="0"/>
        </w:rPr>
        <w:t xml:space="preserve">Brain and spinal cord are bathed and cushioned by cerebrospinal fluid (CSF), a transparent fluid. A lumbar puncture, often known as a spinal tap, is a minimally invasive method for doctors to get a sample of the CSF, which in adults amounts to around 1 pint. Changes in cerebrospinal fluid (CSF) levels of various indicators, including tau and beta-amyloid, have been associated to early-stage Alzheimer's disease. Increasing levels of neurofilament light (NfL) have been linked to neurodegenerative illnesses including Alzheimer's, making it another candidate marker. The analysis of biomarker levels in the same sample may sometimes vary greatly from institution to institution and between testing systems, which presents a problem for researchers (alz.org, 2022). Standardizing the assessment of these indicators in research and clinical treatment has made great progress. Dementia experts now employ cerebrospinal fluid (CSF) testing to help in the diagnosis of Alzheimer's, and researchers are working to discover and standardise additional markers that will aid in the diagnosis and detection of other dementias.</w:t>
      </w:r>
    </w:p>
    <w:p w:rsidR="00000000" w:rsidDel="00000000" w:rsidP="00000000" w:rsidRDefault="00000000" w:rsidRPr="00000000" w14:paraId="0000004B">
      <w:pPr>
        <w:pStyle w:val="Heading1"/>
        <w:rPr/>
      </w:pPr>
      <w:bookmarkStart w:colFirst="0" w:colLast="0" w:name="_heading=h.26in1rg" w:id="12"/>
      <w:bookmarkEnd w:id="12"/>
      <w:r w:rsidDel="00000000" w:rsidR="00000000" w:rsidRPr="00000000">
        <w:rPr>
          <w:rtl w:val="0"/>
        </w:rPr>
        <w:t xml:space="preserve">Examining the Blood</w:t>
      </w:r>
    </w:p>
    <w:p w:rsidR="00000000" w:rsidDel="00000000" w:rsidP="00000000" w:rsidRDefault="00000000" w:rsidRPr="00000000" w14:paraId="0000004C">
      <w:pPr>
        <w:spacing w:after="160" w:line="360" w:lineRule="auto"/>
        <w:jc w:val="both"/>
        <w:rPr>
          <w:sz w:val="24"/>
          <w:szCs w:val="24"/>
        </w:rPr>
      </w:pPr>
      <w:r w:rsidDel="00000000" w:rsidR="00000000" w:rsidRPr="00000000">
        <w:rPr>
          <w:sz w:val="24"/>
          <w:szCs w:val="24"/>
          <w:rtl w:val="0"/>
        </w:rPr>
        <w:t xml:space="preserve">Changes in the blood levels of certain markers are being studied to see whether they may be consistently linked to changes in Alzheimer's disease. Possible biomarkers that may be tested before and after symptoms manifest include tau and beta-amyloid. Blood tests and other simple, affordable, non-invasive, and widely accessible diagnostic methods are urgently needed to identify the illness. Drug development would benefit from these diagnostic tools because they would facilitate the identification and monitoring of treatment efficacy in clinical trial participants and expand the window of opportunity for detection, diagnosis, and intervention (alz.org, 2022). The results of such a blood test might be used to wider and more varied populations, allowing for better analysis and insight into Alzheimer's disease. Even now, blood testing are being utilised in select specialised hospitals to better plan drug studies. </w:t>
      </w:r>
    </w:p>
    <w:p w:rsidR="00000000" w:rsidDel="00000000" w:rsidP="00000000" w:rsidRDefault="00000000" w:rsidRPr="00000000" w14:paraId="0000004D">
      <w:pPr>
        <w:spacing w:after="160" w:line="360" w:lineRule="auto"/>
        <w:jc w:val="both"/>
        <w:rPr>
          <w:sz w:val="24"/>
          <w:szCs w:val="24"/>
        </w:rPr>
      </w:pPr>
      <w:r w:rsidDel="00000000" w:rsidR="00000000" w:rsidRPr="00000000">
        <w:rPr>
          <w:sz w:val="24"/>
          <w:szCs w:val="24"/>
          <w:rtl w:val="0"/>
        </w:rPr>
        <w:t xml:space="preserve">They will likely change the way that Alzheimer's disease and other forms of dementia are diagnosed in the future. Researchers are still attempting to develop standardised and validated tests that will yield trustworthy findings for all people, thus the use of these tests in trials and at the doctor's office must be done cautiously and under close supervision. A doctor may prescribe one of many available blood tests to help in diagnosing memory issues. The Food and Drug Administration has not yet given its clearance to these testing. At this moment, only specialists in internal medicine should order blood tests on individuals complaining of memory loss. People who show no signs of mental decline should not take them.</w:t>
      </w:r>
    </w:p>
    <w:p w:rsidR="00000000" w:rsidDel="00000000" w:rsidP="00000000" w:rsidRDefault="00000000" w:rsidRPr="00000000" w14:paraId="0000004E">
      <w:pPr>
        <w:spacing w:after="160" w:line="259" w:lineRule="auto"/>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heading=h.lnxbz9" w:id="13"/>
      <w:bookmarkEnd w:id="13"/>
      <w:r w:rsidDel="00000000" w:rsidR="00000000" w:rsidRPr="00000000">
        <w:rPr>
          <w:rtl w:val="0"/>
        </w:rPr>
        <w:t xml:space="preserve">Reference list </w:t>
      </w:r>
    </w:p>
    <w:p w:rsidR="00000000" w:rsidDel="00000000" w:rsidP="00000000" w:rsidRDefault="00000000" w:rsidRPr="00000000" w14:paraId="00000050">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Vasodavan, V., DeWitt, D. and Alias, N., 2021. FRAMEWORK FOR DEVELOPING INTELLECTUAL SKILLS USING COLLABORATIVE LEARNING TOOLS: THE EXPERTS’CONSENSUS. </w:t>
      </w:r>
      <w:r w:rsidDel="00000000" w:rsidR="00000000" w:rsidRPr="00000000">
        <w:rPr>
          <w:i w:val="1"/>
          <w:color w:val="222222"/>
          <w:sz w:val="24"/>
          <w:szCs w:val="24"/>
          <w:highlight w:val="white"/>
          <w:rtl w:val="0"/>
        </w:rPr>
        <w:t xml:space="preserve">Journal of Nusantara Studies (JONUS)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6</w:t>
      </w:r>
      <w:r w:rsidDel="00000000" w:rsidR="00000000" w:rsidRPr="00000000">
        <w:rPr>
          <w:color w:val="222222"/>
          <w:sz w:val="24"/>
          <w:szCs w:val="24"/>
          <w:highlight w:val="white"/>
          <w:rtl w:val="0"/>
        </w:rPr>
        <w:t xml:space="preserve">(1), pp.284-308.</w:t>
      </w:r>
    </w:p>
    <w:p w:rsidR="00000000" w:rsidDel="00000000" w:rsidP="00000000" w:rsidRDefault="00000000" w:rsidRPr="00000000" w14:paraId="00000051">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Träff, U. and Östergren, R., 2021. Development of cognitive functions and academic skills in 9-to 10-year-old children with borderline intellectual functioning. </w:t>
      </w:r>
      <w:r w:rsidDel="00000000" w:rsidR="00000000" w:rsidRPr="00000000">
        <w:rPr>
          <w:i w:val="1"/>
          <w:color w:val="222222"/>
          <w:sz w:val="24"/>
          <w:szCs w:val="24"/>
          <w:highlight w:val="white"/>
          <w:rtl w:val="0"/>
        </w:rPr>
        <w:t xml:space="preserve">Developmental Neuropsychology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46</w:t>
      </w:r>
      <w:r w:rsidDel="00000000" w:rsidR="00000000" w:rsidRPr="00000000">
        <w:rPr>
          <w:color w:val="222222"/>
          <w:sz w:val="24"/>
          <w:szCs w:val="24"/>
          <w:highlight w:val="white"/>
          <w:rtl w:val="0"/>
        </w:rPr>
        <w:t xml:space="preserve">(1), pp.54-69.</w:t>
      </w:r>
    </w:p>
    <w:p w:rsidR="00000000" w:rsidDel="00000000" w:rsidP="00000000" w:rsidRDefault="00000000" w:rsidRPr="00000000" w14:paraId="00000052">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Hronis, A., Roberts, R., Roberts, L. and Kneebone, I., 2022. Cognitive Behavioural Therapy for children and adolescents with intellectual disability and anxiety: a therapist manual. </w:t>
      </w:r>
      <w:r w:rsidDel="00000000" w:rsidR="00000000" w:rsidRPr="00000000">
        <w:rPr>
          <w:i w:val="1"/>
          <w:color w:val="222222"/>
          <w:sz w:val="24"/>
          <w:szCs w:val="24"/>
          <w:highlight w:val="white"/>
          <w:rtl w:val="0"/>
        </w:rPr>
        <w:t xml:space="preserve">Discover Psychology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2</w:t>
      </w:r>
      <w:r w:rsidDel="00000000" w:rsidR="00000000" w:rsidRPr="00000000">
        <w:rPr>
          <w:color w:val="222222"/>
          <w:sz w:val="24"/>
          <w:szCs w:val="24"/>
          <w:highlight w:val="white"/>
          <w:rtl w:val="0"/>
        </w:rPr>
        <w:t xml:space="preserve">(1), pp.1-20.</w:t>
      </w:r>
    </w:p>
    <w:p w:rsidR="00000000" w:rsidDel="00000000" w:rsidP="00000000" w:rsidRDefault="00000000" w:rsidRPr="00000000" w14:paraId="00000053">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Panditaratne, S., Hronis, A., Roberts, R. and Kneebone, I., 2022. Participant experiences of Fearless Me!©: Cognitive behaviour therapy for anxiety in children with intellectual disabilities. </w:t>
      </w:r>
      <w:r w:rsidDel="00000000" w:rsidR="00000000" w:rsidRPr="00000000">
        <w:rPr>
          <w:i w:val="1"/>
          <w:color w:val="222222"/>
          <w:sz w:val="24"/>
          <w:szCs w:val="24"/>
          <w:highlight w:val="white"/>
          <w:rtl w:val="0"/>
        </w:rPr>
        <w:t xml:space="preserve">Current Psychology</w:t>
      </w:r>
      <w:r w:rsidDel="00000000" w:rsidR="00000000" w:rsidRPr="00000000">
        <w:rPr>
          <w:color w:val="222222"/>
          <w:sz w:val="24"/>
          <w:szCs w:val="24"/>
          <w:highlight w:val="white"/>
          <w:rtl w:val="0"/>
        </w:rPr>
        <w:t xml:space="preserve">, pp.1-9.</w:t>
      </w:r>
    </w:p>
    <w:p w:rsidR="00000000" w:rsidDel="00000000" w:rsidP="00000000" w:rsidRDefault="00000000" w:rsidRPr="00000000" w14:paraId="00000054">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Cano, A.R., Fernández‐Manjón, B. and García‐Tejedor, Á.J., 2018. Using game learning analytics for validating the design of a learning game for adults with intellectual disabilities. </w:t>
      </w:r>
      <w:r w:rsidDel="00000000" w:rsidR="00000000" w:rsidRPr="00000000">
        <w:rPr>
          <w:i w:val="1"/>
          <w:color w:val="222222"/>
          <w:sz w:val="24"/>
          <w:szCs w:val="24"/>
          <w:highlight w:val="white"/>
          <w:rtl w:val="0"/>
        </w:rPr>
        <w:t xml:space="preserve">British Journal of Educational Technology</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49</w:t>
      </w:r>
      <w:r w:rsidDel="00000000" w:rsidR="00000000" w:rsidRPr="00000000">
        <w:rPr>
          <w:color w:val="222222"/>
          <w:sz w:val="24"/>
          <w:szCs w:val="24"/>
          <w:highlight w:val="white"/>
          <w:rtl w:val="0"/>
        </w:rPr>
        <w:t xml:space="preserve">(4), pp.659-672.</w:t>
      </w:r>
    </w:p>
    <w:p w:rsidR="00000000" w:rsidDel="00000000" w:rsidP="00000000" w:rsidRDefault="00000000" w:rsidRPr="00000000" w14:paraId="00000055">
      <w:pPr>
        <w:spacing w:line="360" w:lineRule="auto"/>
        <w:jc w:val="both"/>
        <w:rPr>
          <w:color w:val="222222"/>
          <w:sz w:val="24"/>
          <w:szCs w:val="24"/>
          <w:highlight w:val="white"/>
        </w:rPr>
      </w:pPr>
      <w:r w:rsidDel="00000000" w:rsidR="00000000" w:rsidRPr="00000000">
        <w:rPr>
          <w:color w:val="222222"/>
          <w:sz w:val="24"/>
          <w:szCs w:val="24"/>
          <w:highlight w:val="white"/>
          <w:rtl w:val="0"/>
        </w:rPr>
        <w:t xml:space="preserve">Kamani Mataki, M. and Ashori, M., 2021. The effictiveness of affective, behavioral &amp; cognitive leisure time cultural program on the emotion regulation of mothers and social skills of children with intellectual disability (id). </w:t>
      </w:r>
      <w:r w:rsidDel="00000000" w:rsidR="00000000" w:rsidRPr="00000000">
        <w:rPr>
          <w:i w:val="1"/>
          <w:color w:val="222222"/>
          <w:sz w:val="24"/>
          <w:szCs w:val="24"/>
          <w:highlight w:val="white"/>
          <w:rtl w:val="0"/>
        </w:rPr>
        <w:t xml:space="preserve">J Child Ment Health</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7</w:t>
      </w:r>
      <w:r w:rsidDel="00000000" w:rsidR="00000000" w:rsidRPr="00000000">
        <w:rPr>
          <w:color w:val="222222"/>
          <w:sz w:val="24"/>
          <w:szCs w:val="24"/>
          <w:highlight w:val="white"/>
          <w:rtl w:val="0"/>
        </w:rPr>
        <w:t xml:space="preserve">(4), pp.148-164.</w:t>
      </w:r>
    </w:p>
    <w:p w:rsidR="00000000" w:rsidDel="00000000" w:rsidP="00000000" w:rsidRDefault="00000000" w:rsidRPr="00000000" w14:paraId="00000056">
      <w:pPr>
        <w:spacing w:after="160" w:line="360" w:lineRule="auto"/>
        <w:jc w:val="both"/>
        <w:rPr>
          <w:sz w:val="24"/>
          <w:szCs w:val="24"/>
        </w:rPr>
      </w:pPr>
      <w:r w:rsidDel="00000000" w:rsidR="00000000" w:rsidRPr="00000000">
        <w:rPr>
          <w:sz w:val="24"/>
          <w:szCs w:val="24"/>
          <w:rtl w:val="0"/>
        </w:rPr>
        <w:t xml:space="preserve">alz.org, 2022. </w:t>
      </w:r>
      <w:r w:rsidDel="00000000" w:rsidR="00000000" w:rsidRPr="00000000">
        <w:rPr>
          <w:i w:val="1"/>
          <w:sz w:val="24"/>
          <w:szCs w:val="24"/>
          <w:rtl w:val="0"/>
        </w:rPr>
        <w:t xml:space="preserve">Medical Tests for Diagnosing Alzheimer's</w:t>
      </w:r>
      <w:r w:rsidDel="00000000" w:rsidR="00000000" w:rsidRPr="00000000">
        <w:rPr>
          <w:sz w:val="24"/>
          <w:szCs w:val="24"/>
          <w:rtl w:val="0"/>
        </w:rPr>
        <w:t xml:space="preserve">. Available at – [Online] - </w:t>
      </w:r>
      <w:hyperlink r:id="rId9">
        <w:r w:rsidDel="00000000" w:rsidR="00000000" w:rsidRPr="00000000">
          <w:rPr>
            <w:color w:val="0563c1"/>
            <w:sz w:val="24"/>
            <w:szCs w:val="24"/>
            <w:u w:val="single"/>
            <w:rtl w:val="0"/>
          </w:rPr>
          <w:t xml:space="preserve">https://www.alz.org/alzheimers-dementia/diagnosis/medical_tests</w:t>
        </w:r>
      </w:hyperlink>
      <w:r w:rsidDel="00000000" w:rsidR="00000000" w:rsidRPr="00000000">
        <w:rPr>
          <w:rtl w:val="0"/>
        </w:rPr>
      </w:r>
    </w:p>
    <w:p w:rsidR="00000000" w:rsidDel="00000000" w:rsidP="00000000" w:rsidRDefault="00000000" w:rsidRPr="00000000" w14:paraId="00000057">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Ahmad, I. and Pothuganti, K., 2020. Analysis of different convolution neural network models to diagnose Alzheimer’s disease. </w:t>
      </w:r>
      <w:r w:rsidDel="00000000" w:rsidR="00000000" w:rsidRPr="00000000">
        <w:rPr>
          <w:i w:val="1"/>
          <w:color w:val="222222"/>
          <w:sz w:val="24"/>
          <w:szCs w:val="24"/>
          <w:highlight w:val="white"/>
          <w:rtl w:val="0"/>
        </w:rPr>
        <w:t xml:space="preserve">Materials Today: Proceedings</w:t>
      </w:r>
      <w:r w:rsidDel="00000000" w:rsidR="00000000" w:rsidRPr="00000000">
        <w:rPr>
          <w:color w:val="222222"/>
          <w:sz w:val="24"/>
          <w:szCs w:val="24"/>
          <w:highlight w:val="white"/>
          <w:rtl w:val="0"/>
        </w:rPr>
        <w:t xml:space="preserve">.</w:t>
      </w:r>
    </w:p>
    <w:p w:rsidR="00000000" w:rsidDel="00000000" w:rsidP="00000000" w:rsidRDefault="00000000" w:rsidRPr="00000000" w14:paraId="00000058">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Rasmussen, J. and Langerman, H., 2019. Alzheimer’s disease–why we need early diagnosis. </w:t>
      </w:r>
      <w:r w:rsidDel="00000000" w:rsidR="00000000" w:rsidRPr="00000000">
        <w:rPr>
          <w:i w:val="1"/>
          <w:color w:val="222222"/>
          <w:sz w:val="24"/>
          <w:szCs w:val="24"/>
          <w:highlight w:val="white"/>
          <w:rtl w:val="0"/>
        </w:rPr>
        <w:t xml:space="preserve">Degenerative neurological and neuromuscular disease</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9</w:t>
      </w:r>
      <w:r w:rsidDel="00000000" w:rsidR="00000000" w:rsidRPr="00000000">
        <w:rPr>
          <w:color w:val="222222"/>
          <w:sz w:val="24"/>
          <w:szCs w:val="24"/>
          <w:highlight w:val="white"/>
          <w:rtl w:val="0"/>
        </w:rPr>
        <w:t xml:space="preserve">, p.123.</w:t>
      </w:r>
    </w:p>
    <w:p w:rsidR="00000000" w:rsidDel="00000000" w:rsidP="00000000" w:rsidRDefault="00000000" w:rsidRPr="00000000" w14:paraId="00000059">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Stamate, D., Kim, M., Proitsi, P., Westwood, S., Baird, A., Nevado‐Holgado, A., Hye, A., Bos, I., Vos, S.J., Vandenberghe, R. and Teunissen, C.E., 2019. A metabolite‐based machine learning approach to diagnose Alzheimer‐type dementia in blood: Results from the European Medical Information Framework for Alzheimer disease biomarker discovery cohort. </w:t>
      </w:r>
      <w:r w:rsidDel="00000000" w:rsidR="00000000" w:rsidRPr="00000000">
        <w:rPr>
          <w:i w:val="1"/>
          <w:color w:val="222222"/>
          <w:sz w:val="24"/>
          <w:szCs w:val="24"/>
          <w:highlight w:val="white"/>
          <w:rtl w:val="0"/>
        </w:rPr>
        <w:t xml:space="preserve">Alzheimer's &amp; Dementia: Translational Research &amp; Clinical Interventions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5</w:t>
      </w:r>
      <w:r w:rsidDel="00000000" w:rsidR="00000000" w:rsidRPr="00000000">
        <w:rPr>
          <w:color w:val="222222"/>
          <w:sz w:val="24"/>
          <w:szCs w:val="24"/>
          <w:highlight w:val="white"/>
          <w:rtl w:val="0"/>
        </w:rPr>
        <w:t xml:space="preserve">(1), pp.933-938.</w:t>
      </w:r>
    </w:p>
    <w:p w:rsidR="00000000" w:rsidDel="00000000" w:rsidP="00000000" w:rsidRDefault="00000000" w:rsidRPr="00000000" w14:paraId="0000005A">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Shaw, L.M., Arias, J., Blennow, K., Galasko, D., Molinuevo, J.L., Salloway, S., Schindler, S., Carrillo, M.C., Hendrix, J.A., Ross, A. and Illes, J., 2018. Appropriate use criteria for lumbar puncture and cerebrospinal fluid testing in the diagnosis of Alzheimer's disease. </w:t>
      </w:r>
      <w:r w:rsidDel="00000000" w:rsidR="00000000" w:rsidRPr="00000000">
        <w:rPr>
          <w:i w:val="1"/>
          <w:color w:val="222222"/>
          <w:sz w:val="24"/>
          <w:szCs w:val="24"/>
          <w:highlight w:val="white"/>
          <w:rtl w:val="0"/>
        </w:rPr>
        <w:t xml:space="preserve">Alzheimer's &amp; Dementia</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14</w:t>
      </w:r>
      <w:r w:rsidDel="00000000" w:rsidR="00000000" w:rsidRPr="00000000">
        <w:rPr>
          <w:color w:val="222222"/>
          <w:sz w:val="24"/>
          <w:szCs w:val="24"/>
          <w:highlight w:val="white"/>
          <w:rtl w:val="0"/>
        </w:rPr>
        <w:t xml:space="preserve">(11), pp.1505-1521.</w:t>
      </w:r>
    </w:p>
    <w:p w:rsidR="00000000" w:rsidDel="00000000" w:rsidP="00000000" w:rsidRDefault="00000000" w:rsidRPr="00000000" w14:paraId="0000005B">
      <w:pPr>
        <w:spacing w:after="160" w:line="360" w:lineRule="auto"/>
        <w:jc w:val="both"/>
        <w:rPr>
          <w:color w:val="222222"/>
          <w:sz w:val="24"/>
          <w:szCs w:val="24"/>
          <w:highlight w:val="white"/>
        </w:rPr>
      </w:pPr>
      <w:r w:rsidDel="00000000" w:rsidR="00000000" w:rsidRPr="00000000">
        <w:rPr>
          <w:color w:val="222222"/>
          <w:sz w:val="24"/>
          <w:szCs w:val="24"/>
          <w:highlight w:val="white"/>
          <w:rtl w:val="0"/>
        </w:rPr>
        <w:t xml:space="preserve">van de Kreeke, J.A., Nguyen, H.T., den Haan, J., Konijnenberg, E., Tomassen, J., den Braber, A., Ten Kate, M., Collij, L., Yaqub, M., van Berckel, B. and Lammertsma, A.A., 2019. Retinal layer thickness in preclinical Alzheimer's disease. </w:t>
      </w:r>
      <w:r w:rsidDel="00000000" w:rsidR="00000000" w:rsidRPr="00000000">
        <w:rPr>
          <w:i w:val="1"/>
          <w:color w:val="222222"/>
          <w:sz w:val="24"/>
          <w:szCs w:val="24"/>
          <w:highlight w:val="white"/>
          <w:rtl w:val="0"/>
        </w:rPr>
        <w:t xml:space="preserve">Acta ophthalmologica</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97</w:t>
      </w:r>
      <w:r w:rsidDel="00000000" w:rsidR="00000000" w:rsidRPr="00000000">
        <w:rPr>
          <w:color w:val="222222"/>
          <w:sz w:val="24"/>
          <w:szCs w:val="24"/>
          <w:highlight w:val="white"/>
          <w:rtl w:val="0"/>
        </w:rPr>
        <w:t xml:space="preserve">(8), pp.798-804.</w:t>
      </w:r>
    </w:p>
    <w:p w:rsidR="00000000" w:rsidDel="00000000" w:rsidP="00000000" w:rsidRDefault="00000000" w:rsidRPr="00000000" w14:paraId="0000005C">
      <w:pPr>
        <w:spacing w:after="160" w:line="360" w:lineRule="auto"/>
        <w:jc w:val="both"/>
        <w:rPr>
          <w:sz w:val="32"/>
          <w:szCs w:val="32"/>
        </w:rPr>
      </w:pPr>
      <w:r w:rsidDel="00000000" w:rsidR="00000000" w:rsidRPr="00000000">
        <w:rPr>
          <w:color w:val="222222"/>
          <w:sz w:val="24"/>
          <w:szCs w:val="24"/>
          <w:highlight w:val="white"/>
          <w:rtl w:val="0"/>
        </w:rPr>
        <w:t xml:space="preserve">Al-Shoukry, S., Rassem, T.H. and Makbol, N.M., 2020. Alzheimer’s diseases detection by using deep learning algorithms: a mini-review. </w:t>
      </w:r>
      <w:r w:rsidDel="00000000" w:rsidR="00000000" w:rsidRPr="00000000">
        <w:rPr>
          <w:i w:val="1"/>
          <w:color w:val="222222"/>
          <w:sz w:val="24"/>
          <w:szCs w:val="24"/>
          <w:highlight w:val="white"/>
          <w:rtl w:val="0"/>
        </w:rPr>
        <w:t xml:space="preserve">IEEE Access</w:t>
      </w:r>
      <w:r w:rsidDel="00000000" w:rsidR="00000000" w:rsidRPr="00000000">
        <w:rPr>
          <w:color w:val="222222"/>
          <w:sz w:val="24"/>
          <w:szCs w:val="24"/>
          <w:highlight w:val="white"/>
          <w:rtl w:val="0"/>
        </w:rPr>
        <w:t xml:space="preserve">, </w:t>
      </w:r>
      <w:r w:rsidDel="00000000" w:rsidR="00000000" w:rsidRPr="00000000">
        <w:rPr>
          <w:i w:val="1"/>
          <w:color w:val="222222"/>
          <w:sz w:val="24"/>
          <w:szCs w:val="24"/>
          <w:highlight w:val="white"/>
          <w:rtl w:val="0"/>
        </w:rPr>
        <w:t xml:space="preserve">8</w:t>
      </w:r>
      <w:r w:rsidDel="00000000" w:rsidR="00000000" w:rsidRPr="00000000">
        <w:rPr>
          <w:color w:val="222222"/>
          <w:sz w:val="24"/>
          <w:szCs w:val="24"/>
          <w:highlight w:val="white"/>
          <w:rtl w:val="0"/>
        </w:rPr>
        <w:t xml:space="preserve">, pp.77131-77141.</w:t>
      </w: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sectPr>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360" w:lineRule="auto"/>
      <w:ind w:left="360" w:hanging="360"/>
      <w:jc w:val="both"/>
    </w:pPr>
    <w:rPr>
      <w:b w:val="1"/>
      <w:sz w:val="28"/>
      <w:szCs w:val="28"/>
    </w:rPr>
  </w:style>
  <w:style w:type="paragraph" w:styleId="Heading2">
    <w:name w:val="heading 2"/>
    <w:basedOn w:val="Normal"/>
    <w:next w:val="Normal"/>
    <w:pPr>
      <w:spacing w:line="360" w:lineRule="auto"/>
      <w:jc w:val="both"/>
    </w:pPr>
    <w:rPr>
      <w:b w:val="1"/>
      <w:sz w:val="24"/>
      <w:szCs w:val="24"/>
    </w:rPr>
  </w:style>
  <w:style w:type="paragraph" w:styleId="Heading3">
    <w:name w:val="heading 3"/>
    <w:basedOn w:val="Normal"/>
    <w:next w:val="Normal"/>
    <w:pPr>
      <w:spacing w:line="360" w:lineRule="auto"/>
      <w:ind w:left="720" w:hanging="360"/>
      <w:jc w:val="both"/>
    </w:pPr>
    <w:rPr>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B2AA3"/>
    <w:pPr>
      <w:spacing w:after="0" w:line="240" w:lineRule="auto"/>
    </w:pPr>
    <w:rPr>
      <w:rFonts w:ascii="Times New Roman" w:cs="Times New Roman" w:eastAsia="Times New Roman" w:hAnsi="Times New Roman"/>
      <w:sz w:val="20"/>
      <w:szCs w:val="20"/>
      <w:lang w:eastAsia="en-GB" w:val="en-GB"/>
    </w:rPr>
  </w:style>
  <w:style w:type="paragraph" w:styleId="Heading1">
    <w:name w:val="heading 1"/>
    <w:basedOn w:val="Normal"/>
    <w:next w:val="Normal"/>
    <w:link w:val="Heading1Char"/>
    <w:uiPriority w:val="9"/>
    <w:qFormat w:val="1"/>
    <w:rsid w:val="00870F5D"/>
    <w:pPr>
      <w:spacing w:line="360" w:lineRule="auto"/>
      <w:ind w:left="360" w:hanging="360"/>
      <w:jc w:val="both"/>
      <w:outlineLvl w:val="0"/>
    </w:pPr>
    <w:rPr>
      <w:b w:val="1"/>
      <w:sz w:val="28"/>
      <w:szCs w:val="22"/>
    </w:rPr>
  </w:style>
  <w:style w:type="paragraph" w:styleId="Heading2">
    <w:name w:val="heading 2"/>
    <w:basedOn w:val="Normal"/>
    <w:next w:val="Normal"/>
    <w:link w:val="Heading2Char"/>
    <w:uiPriority w:val="9"/>
    <w:unhideWhenUsed w:val="1"/>
    <w:qFormat w:val="1"/>
    <w:rsid w:val="005D041A"/>
    <w:pPr>
      <w:spacing w:line="360" w:lineRule="auto"/>
      <w:jc w:val="both"/>
      <w:outlineLvl w:val="1"/>
    </w:pPr>
    <w:rPr>
      <w:b w:val="1"/>
      <w:sz w:val="24"/>
      <w:szCs w:val="22"/>
    </w:rPr>
  </w:style>
  <w:style w:type="paragraph" w:styleId="Heading3">
    <w:name w:val="heading 3"/>
    <w:basedOn w:val="ListParagraph"/>
    <w:next w:val="Normal"/>
    <w:link w:val="Heading3Char"/>
    <w:uiPriority w:val="9"/>
    <w:unhideWhenUsed w:val="1"/>
    <w:qFormat w:val="1"/>
    <w:rsid w:val="005D041A"/>
    <w:pPr>
      <w:numPr>
        <w:numId w:val="3"/>
      </w:numPr>
      <w:spacing w:line="360" w:lineRule="auto"/>
      <w:jc w:val="both"/>
      <w:outlineLvl w:val="2"/>
    </w:pPr>
    <w:rPr>
      <w:b w:val="1"/>
      <w:sz w:val="24"/>
      <w:szCs w:val="2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43411"/>
    <w:pPr>
      <w:ind w:left="720"/>
      <w:contextualSpacing w:val="1"/>
    </w:pPr>
  </w:style>
  <w:style w:type="paragraph" w:styleId="Header">
    <w:name w:val="header"/>
    <w:basedOn w:val="Normal"/>
    <w:link w:val="HeaderChar"/>
    <w:uiPriority w:val="99"/>
    <w:unhideWhenUsed w:val="1"/>
    <w:rsid w:val="005D041A"/>
    <w:pPr>
      <w:tabs>
        <w:tab w:val="center" w:pos="4680"/>
        <w:tab w:val="right" w:pos="9360"/>
      </w:tabs>
    </w:pPr>
  </w:style>
  <w:style w:type="character" w:styleId="HeaderChar" w:customStyle="1">
    <w:name w:val="Header Char"/>
    <w:basedOn w:val="DefaultParagraphFont"/>
    <w:link w:val="Header"/>
    <w:uiPriority w:val="99"/>
    <w:rsid w:val="005D041A"/>
    <w:rPr>
      <w:rFonts w:ascii="Times New Roman" w:cs="Times New Roman" w:eastAsia="Times New Roman" w:hAnsi="Times New Roman"/>
      <w:sz w:val="20"/>
      <w:szCs w:val="20"/>
      <w:lang w:eastAsia="en-GB" w:val="en-GB"/>
    </w:rPr>
  </w:style>
  <w:style w:type="paragraph" w:styleId="Footer">
    <w:name w:val="footer"/>
    <w:basedOn w:val="Normal"/>
    <w:link w:val="FooterChar"/>
    <w:uiPriority w:val="99"/>
    <w:unhideWhenUsed w:val="1"/>
    <w:rsid w:val="005D041A"/>
    <w:pPr>
      <w:tabs>
        <w:tab w:val="center" w:pos="4680"/>
        <w:tab w:val="right" w:pos="9360"/>
      </w:tabs>
    </w:pPr>
  </w:style>
  <w:style w:type="character" w:styleId="FooterChar" w:customStyle="1">
    <w:name w:val="Footer Char"/>
    <w:basedOn w:val="DefaultParagraphFont"/>
    <w:link w:val="Footer"/>
    <w:uiPriority w:val="99"/>
    <w:rsid w:val="005D041A"/>
    <w:rPr>
      <w:rFonts w:ascii="Times New Roman" w:cs="Times New Roman" w:eastAsia="Times New Roman" w:hAnsi="Times New Roman"/>
      <w:sz w:val="20"/>
      <w:szCs w:val="20"/>
      <w:lang w:eastAsia="en-GB" w:val="en-GB"/>
    </w:rPr>
  </w:style>
  <w:style w:type="character" w:styleId="Heading1Char" w:customStyle="1">
    <w:name w:val="Heading 1 Char"/>
    <w:basedOn w:val="DefaultParagraphFont"/>
    <w:link w:val="Heading1"/>
    <w:uiPriority w:val="9"/>
    <w:rsid w:val="00870F5D"/>
    <w:rPr>
      <w:rFonts w:ascii="Times New Roman" w:cs="Times New Roman" w:eastAsia="Times New Roman" w:hAnsi="Times New Roman"/>
      <w:b w:val="1"/>
      <w:sz w:val="28"/>
      <w:lang w:eastAsia="en-GB" w:val="en-GB"/>
    </w:rPr>
  </w:style>
  <w:style w:type="character" w:styleId="Heading2Char" w:customStyle="1">
    <w:name w:val="Heading 2 Char"/>
    <w:basedOn w:val="DefaultParagraphFont"/>
    <w:link w:val="Heading2"/>
    <w:uiPriority w:val="9"/>
    <w:rsid w:val="005D041A"/>
    <w:rPr>
      <w:rFonts w:ascii="Times New Roman" w:cs="Times New Roman" w:eastAsia="Times New Roman" w:hAnsi="Times New Roman"/>
      <w:b w:val="1"/>
      <w:sz w:val="24"/>
      <w:lang w:eastAsia="en-GB" w:val="en-GB"/>
    </w:rPr>
  </w:style>
  <w:style w:type="character" w:styleId="Heading3Char" w:customStyle="1">
    <w:name w:val="Heading 3 Char"/>
    <w:basedOn w:val="DefaultParagraphFont"/>
    <w:link w:val="Heading3"/>
    <w:uiPriority w:val="9"/>
    <w:rsid w:val="005D041A"/>
    <w:rPr>
      <w:rFonts w:ascii="Times New Roman" w:cs="Times New Roman" w:eastAsia="Times New Roman" w:hAnsi="Times New Roman"/>
      <w:b w:val="1"/>
      <w:sz w:val="24"/>
      <w:lang w:eastAsia="en-GB" w:val="en-GB"/>
    </w:rPr>
  </w:style>
  <w:style w:type="paragraph" w:styleId="TOCHeading">
    <w:name w:val="TOC Heading"/>
    <w:basedOn w:val="Heading1"/>
    <w:next w:val="Normal"/>
    <w:uiPriority w:val="39"/>
    <w:unhideWhenUsed w:val="1"/>
    <w:qFormat w:val="1"/>
    <w:rsid w:val="00E80718"/>
    <w:pPr>
      <w:keepNext w:val="1"/>
      <w:keepLines w:val="1"/>
      <w:spacing w:before="240" w:line="259" w:lineRule="auto"/>
      <w:ind w:left="0" w:firstLine="0"/>
      <w:jc w:val="left"/>
      <w:outlineLvl w:val="9"/>
    </w:pPr>
    <w:rPr>
      <w:rFonts w:asciiTheme="majorHAnsi" w:cstheme="majorBidi" w:eastAsiaTheme="majorEastAsia" w:hAnsiTheme="majorHAnsi"/>
      <w:b w:val="0"/>
      <w:color w:val="2e74b5" w:themeColor="accent1" w:themeShade="0000BF"/>
      <w:sz w:val="32"/>
      <w:szCs w:val="32"/>
      <w:lang w:eastAsia="en-US" w:val="en-US"/>
    </w:rPr>
  </w:style>
  <w:style w:type="paragraph" w:styleId="TOC1">
    <w:name w:val="toc 1"/>
    <w:basedOn w:val="Normal"/>
    <w:next w:val="Normal"/>
    <w:autoRedefine w:val="1"/>
    <w:uiPriority w:val="39"/>
    <w:unhideWhenUsed w:val="1"/>
    <w:rsid w:val="00E80718"/>
    <w:pPr>
      <w:spacing w:after="100"/>
    </w:pPr>
  </w:style>
  <w:style w:type="paragraph" w:styleId="TOC2">
    <w:name w:val="toc 2"/>
    <w:basedOn w:val="Normal"/>
    <w:next w:val="Normal"/>
    <w:autoRedefine w:val="1"/>
    <w:uiPriority w:val="39"/>
    <w:unhideWhenUsed w:val="1"/>
    <w:rsid w:val="00E80718"/>
    <w:pPr>
      <w:spacing w:after="100"/>
      <w:ind w:left="200"/>
    </w:pPr>
  </w:style>
  <w:style w:type="paragraph" w:styleId="TOC3">
    <w:name w:val="toc 3"/>
    <w:basedOn w:val="Normal"/>
    <w:next w:val="Normal"/>
    <w:autoRedefine w:val="1"/>
    <w:uiPriority w:val="39"/>
    <w:unhideWhenUsed w:val="1"/>
    <w:rsid w:val="00E80718"/>
    <w:pPr>
      <w:spacing w:after="100"/>
      <w:ind w:left="400"/>
    </w:pPr>
  </w:style>
  <w:style w:type="character" w:styleId="Hyperlink">
    <w:name w:val="Hyperlink"/>
    <w:basedOn w:val="DefaultParagraphFont"/>
    <w:uiPriority w:val="99"/>
    <w:unhideWhenUsed w:val="1"/>
    <w:rsid w:val="00E80718"/>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https://www.alz.org/alzheimers-dementia/diagnosis/medical_tes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www.alz.org/alzheimers-dementia/diagnosis/medical_t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7RmvgO5d0cgbGUJQl5smHlBlLg==">AMUW2mUaISDgSh7I2O62PCPwzygj6sQvVh9wiHZ3zgekJkkG6OhweWAa3+Ept3i3gOrQbf7e3unLKddYhVy+WXoA/TYaAhZmfgU8KkD247V8c9xqzkqUi9gYG3qjm2Vn6okbs3gs1qdeL/p435UB4OvZgoem3VhOfb+42580H4JvvJ9GOzd/GKRcRC2A1DaIM1heDucvnM8jbQcIEpQlKbn2dMaV/4fRcmfsYsJp6uZk17XcYUnhA6Ai2703d4K+ije3+OK0+maR0bfOhK0S244VJYC+7K13AR5omJrs9GsP/sodcCVJ+XHQ+WHezkefqn2ua8FlRfM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2022-10-17T06:42:00Z</dcterms:created>
  <dc:creator>Microsoft account</dc:creator>
</cp:coreProperties>
</file>