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5B1C7" w14:textId="77777777" w:rsidR="00B90654" w:rsidRPr="00B90654" w:rsidRDefault="00B90654" w:rsidP="00B90654">
      <w:pPr>
        <w:spacing w:before="240" w:line="360" w:lineRule="auto"/>
        <w:jc w:val="center"/>
        <w:rPr>
          <w:rFonts w:eastAsia="Calibri" w:cs="Times New Roman"/>
          <w:b/>
          <w:bCs/>
          <w:kern w:val="0"/>
          <w:sz w:val="40"/>
          <w:szCs w:val="40"/>
          <w14:ligatures w14:val="none"/>
        </w:rPr>
      </w:pPr>
      <w:r w:rsidRPr="00B90654">
        <w:rPr>
          <w:rFonts w:eastAsia="Calibri" w:cs="Times New Roman"/>
          <w:b/>
          <w:bCs/>
          <w:kern w:val="0"/>
          <w:sz w:val="40"/>
          <w:szCs w:val="40"/>
          <w14:ligatures w14:val="none"/>
        </w:rPr>
        <w:t xml:space="preserve">LCBB6006 Project Management </w:t>
      </w:r>
    </w:p>
    <w:p w14:paraId="0D821B9A" w14:textId="5FDA19B0" w:rsidR="00B90654" w:rsidRPr="00B90654" w:rsidRDefault="00B90654" w:rsidP="00B90654">
      <w:pPr>
        <w:spacing w:before="240" w:line="360" w:lineRule="auto"/>
        <w:jc w:val="center"/>
        <w:rPr>
          <w:rFonts w:eastAsia="Calibri" w:cs="Times New Roman"/>
          <w:b/>
          <w:bCs/>
          <w:kern w:val="0"/>
          <w:sz w:val="36"/>
          <w:szCs w:val="36"/>
          <w14:ligatures w14:val="none"/>
        </w:rPr>
      </w:pPr>
      <w:r w:rsidRPr="00B90654">
        <w:rPr>
          <w:rFonts w:eastAsia="Calibri" w:cs="Times New Roman"/>
          <w:b/>
          <w:bCs/>
          <w:kern w:val="0"/>
          <w:sz w:val="36"/>
          <w:szCs w:val="36"/>
          <w14:ligatures w14:val="none"/>
        </w:rPr>
        <w:t xml:space="preserve">Component </w:t>
      </w:r>
      <w:r>
        <w:rPr>
          <w:rFonts w:eastAsia="Calibri" w:cs="Times New Roman"/>
          <w:b/>
          <w:bCs/>
          <w:kern w:val="0"/>
          <w:sz w:val="36"/>
          <w:szCs w:val="36"/>
          <w14:ligatures w14:val="none"/>
        </w:rPr>
        <w:t>2</w:t>
      </w:r>
      <w:r w:rsidRPr="00B90654">
        <w:rPr>
          <w:rFonts w:eastAsia="Calibri" w:cs="Times New Roman"/>
          <w:b/>
          <w:bCs/>
          <w:kern w:val="0"/>
          <w:sz w:val="36"/>
          <w:szCs w:val="36"/>
          <w14:ligatures w14:val="none"/>
        </w:rPr>
        <w:t>: Coursework: Essay</w:t>
      </w:r>
    </w:p>
    <w:p w14:paraId="5369A39C" w14:textId="77777777" w:rsidR="00B90654" w:rsidRPr="00B90654" w:rsidRDefault="00B90654" w:rsidP="00B90654">
      <w:pPr>
        <w:spacing w:before="240" w:line="360" w:lineRule="auto"/>
        <w:jc w:val="center"/>
        <w:rPr>
          <w:rFonts w:eastAsia="Calibri" w:cs="Times New Roman"/>
          <w:b/>
          <w:bCs/>
          <w:kern w:val="0"/>
          <w14:ligatures w14:val="none"/>
        </w:rPr>
      </w:pPr>
    </w:p>
    <w:p w14:paraId="16B66826" w14:textId="77777777" w:rsidR="00B90654" w:rsidRPr="00B90654" w:rsidRDefault="00B90654" w:rsidP="00B90654">
      <w:pPr>
        <w:spacing w:before="240" w:line="360" w:lineRule="auto"/>
        <w:jc w:val="center"/>
        <w:rPr>
          <w:rFonts w:eastAsia="Calibri" w:cs="Times New Roman"/>
          <w:b/>
          <w:bCs/>
          <w:kern w:val="0"/>
          <w14:ligatures w14:val="none"/>
        </w:rPr>
      </w:pPr>
    </w:p>
    <w:p w14:paraId="6EC6306D" w14:textId="77777777" w:rsidR="00B90654" w:rsidRPr="00B90654" w:rsidRDefault="00B90654" w:rsidP="00B90654">
      <w:pPr>
        <w:spacing w:before="240" w:line="360" w:lineRule="auto"/>
        <w:jc w:val="center"/>
        <w:rPr>
          <w:rFonts w:eastAsia="Calibri" w:cs="Times New Roman"/>
          <w:b/>
          <w:bCs/>
          <w:kern w:val="0"/>
          <w14:ligatures w14:val="none"/>
        </w:rPr>
      </w:pPr>
    </w:p>
    <w:p w14:paraId="443CAF65" w14:textId="77777777" w:rsidR="00B90654" w:rsidRPr="00B90654" w:rsidRDefault="00B90654" w:rsidP="00B90654">
      <w:pPr>
        <w:spacing w:before="240" w:line="360" w:lineRule="auto"/>
        <w:jc w:val="center"/>
        <w:rPr>
          <w:rFonts w:eastAsia="Calibri" w:cs="Times New Roman"/>
          <w:b/>
          <w:bCs/>
          <w:kern w:val="0"/>
          <w14:ligatures w14:val="none"/>
        </w:rPr>
      </w:pPr>
    </w:p>
    <w:p w14:paraId="6721A1D0" w14:textId="77777777" w:rsidR="00B90654" w:rsidRPr="00B90654" w:rsidRDefault="00B90654" w:rsidP="00B90654">
      <w:pPr>
        <w:spacing w:before="240" w:line="360" w:lineRule="auto"/>
        <w:jc w:val="center"/>
        <w:rPr>
          <w:rFonts w:eastAsia="Calibri" w:cs="Times New Roman"/>
          <w:b/>
          <w:bCs/>
          <w:kern w:val="0"/>
          <w14:ligatures w14:val="none"/>
        </w:rPr>
      </w:pPr>
    </w:p>
    <w:p w14:paraId="10498687" w14:textId="77777777" w:rsidR="00B90654" w:rsidRPr="00B90654" w:rsidRDefault="00B90654" w:rsidP="00B90654">
      <w:pPr>
        <w:spacing w:before="240" w:line="360" w:lineRule="auto"/>
        <w:jc w:val="center"/>
        <w:rPr>
          <w:rFonts w:eastAsia="Calibri" w:cs="Times New Roman"/>
          <w:b/>
          <w:bCs/>
          <w:kern w:val="0"/>
          <w14:ligatures w14:val="none"/>
        </w:rPr>
      </w:pPr>
    </w:p>
    <w:p w14:paraId="6FBA93F9" w14:textId="77777777" w:rsidR="00B90654" w:rsidRPr="00B90654" w:rsidRDefault="00B90654" w:rsidP="00B90654">
      <w:pPr>
        <w:spacing w:before="240" w:line="360" w:lineRule="auto"/>
        <w:jc w:val="center"/>
        <w:rPr>
          <w:rFonts w:eastAsia="Calibri" w:cs="Times New Roman"/>
          <w:b/>
          <w:bCs/>
          <w:kern w:val="0"/>
          <w14:ligatures w14:val="none"/>
        </w:rPr>
      </w:pPr>
    </w:p>
    <w:p w14:paraId="63CBBABB" w14:textId="77777777" w:rsidR="00B90654" w:rsidRPr="00B90654" w:rsidRDefault="00B90654" w:rsidP="00B90654">
      <w:pPr>
        <w:spacing w:before="240" w:line="360" w:lineRule="auto"/>
        <w:jc w:val="center"/>
        <w:rPr>
          <w:rFonts w:eastAsia="Calibri" w:cs="Times New Roman"/>
          <w:b/>
          <w:bCs/>
          <w:kern w:val="0"/>
          <w14:ligatures w14:val="none"/>
        </w:rPr>
      </w:pPr>
    </w:p>
    <w:p w14:paraId="19C77AC4" w14:textId="77777777" w:rsidR="00B90654" w:rsidRPr="00B90654" w:rsidRDefault="00B90654" w:rsidP="00B90654">
      <w:pPr>
        <w:spacing w:before="240" w:line="360" w:lineRule="auto"/>
        <w:jc w:val="center"/>
        <w:rPr>
          <w:rFonts w:eastAsia="Calibri" w:cs="Times New Roman"/>
          <w:b/>
          <w:bCs/>
          <w:kern w:val="0"/>
          <w14:ligatures w14:val="none"/>
        </w:rPr>
      </w:pPr>
    </w:p>
    <w:p w14:paraId="174F3296" w14:textId="77777777" w:rsidR="0016180E" w:rsidRDefault="0016180E" w:rsidP="00B90654">
      <w:pPr>
        <w:spacing w:before="240" w:line="360" w:lineRule="auto"/>
        <w:jc w:val="left"/>
        <w:rPr>
          <w:rFonts w:eastAsia="Calibri" w:cs="Times New Roman"/>
          <w:b/>
          <w:bCs/>
          <w:kern w:val="0"/>
          <w14:ligatures w14:val="none"/>
        </w:rPr>
      </w:pPr>
    </w:p>
    <w:p w14:paraId="42131E86" w14:textId="77777777" w:rsidR="0016180E" w:rsidRDefault="0016180E" w:rsidP="00B90654">
      <w:pPr>
        <w:spacing w:before="240" w:line="360" w:lineRule="auto"/>
        <w:jc w:val="left"/>
        <w:rPr>
          <w:rFonts w:eastAsia="Calibri" w:cs="Times New Roman"/>
          <w:b/>
          <w:bCs/>
          <w:kern w:val="0"/>
          <w14:ligatures w14:val="none"/>
        </w:rPr>
      </w:pPr>
    </w:p>
    <w:p w14:paraId="3C11E747" w14:textId="77777777" w:rsidR="0016180E" w:rsidRDefault="0016180E" w:rsidP="00B90654">
      <w:pPr>
        <w:spacing w:before="240" w:line="360" w:lineRule="auto"/>
        <w:jc w:val="left"/>
        <w:rPr>
          <w:rFonts w:eastAsia="Calibri" w:cs="Times New Roman"/>
          <w:b/>
          <w:bCs/>
          <w:kern w:val="0"/>
          <w14:ligatures w14:val="none"/>
        </w:rPr>
      </w:pPr>
    </w:p>
    <w:p w14:paraId="14BD7B16" w14:textId="7286E526" w:rsidR="00B90654" w:rsidRPr="00B90654" w:rsidRDefault="00B90654" w:rsidP="00B90654">
      <w:pPr>
        <w:spacing w:before="240" w:line="360" w:lineRule="auto"/>
        <w:jc w:val="left"/>
        <w:rPr>
          <w:rFonts w:eastAsia="Calibri" w:cs="Times New Roman"/>
          <w:b/>
          <w:bCs/>
          <w:kern w:val="0"/>
          <w14:ligatures w14:val="none"/>
        </w:rPr>
      </w:pPr>
      <w:r w:rsidRPr="00B90654">
        <w:rPr>
          <w:rFonts w:eastAsia="Calibri" w:cs="Times New Roman"/>
          <w:b/>
          <w:bCs/>
          <w:kern w:val="0"/>
          <w14:ligatures w14:val="none"/>
        </w:rPr>
        <w:t xml:space="preserve">Student Name: Bianca Visan </w:t>
      </w:r>
    </w:p>
    <w:p w14:paraId="4427B237" w14:textId="77777777" w:rsidR="00B90654" w:rsidRPr="00B90654" w:rsidRDefault="00B90654" w:rsidP="00B90654">
      <w:pPr>
        <w:spacing w:before="240" w:line="360" w:lineRule="auto"/>
        <w:jc w:val="left"/>
        <w:rPr>
          <w:rFonts w:eastAsia="Calibri" w:cs="Times New Roman"/>
          <w:b/>
          <w:bCs/>
          <w:kern w:val="0"/>
          <w14:ligatures w14:val="none"/>
        </w:rPr>
      </w:pPr>
      <w:r w:rsidRPr="00B90654">
        <w:rPr>
          <w:rFonts w:eastAsia="Calibri" w:cs="Times New Roman"/>
          <w:b/>
          <w:bCs/>
          <w:kern w:val="0"/>
          <w14:ligatures w14:val="none"/>
        </w:rPr>
        <w:t>Student ID: 2108538</w:t>
      </w:r>
    </w:p>
    <w:p w14:paraId="0E146B30" w14:textId="6B8F6AEB" w:rsidR="00866106" w:rsidRDefault="00866106" w:rsidP="0091248B">
      <w:pPr>
        <w:spacing w:line="360" w:lineRule="auto"/>
        <w:jc w:val="center"/>
      </w:pPr>
      <w:r>
        <w:br w:type="page"/>
      </w:r>
    </w:p>
    <w:p w14:paraId="45796132" w14:textId="5C92A2DD" w:rsidR="00824D3C" w:rsidRPr="0091248B" w:rsidRDefault="00824D3C" w:rsidP="00815620">
      <w:pPr>
        <w:spacing w:line="360" w:lineRule="auto"/>
        <w:jc w:val="center"/>
        <w:rPr>
          <w:b/>
          <w:bCs/>
        </w:rPr>
      </w:pPr>
      <w:r w:rsidRPr="0091248B">
        <w:rPr>
          <w:b/>
          <w:bCs/>
        </w:rPr>
        <w:lastRenderedPageBreak/>
        <w:t>Risk Planning and Contracting Strategy in Project Management</w:t>
      </w:r>
    </w:p>
    <w:p w14:paraId="5CFFEF8F" w14:textId="0351A859" w:rsidR="00815620" w:rsidRDefault="00815620" w:rsidP="00815620">
      <w:pPr>
        <w:spacing w:line="360" w:lineRule="auto"/>
      </w:pPr>
      <w:r>
        <w:t xml:space="preserve">Risk planning and contracting strategy influence the costs, time, quality, accountability and confidence in project management. Risk management may be defined as the identification, analysis, response, monitoring and control of risks and opportunities, and contracting assigns clients and delivery partners obligations and risk (Hillson, 2024). </w:t>
      </w:r>
      <w:r w:rsidR="0055105C">
        <w:t xml:space="preserve">For instance, construction projects are very risky by nature. Many accidents happen and endanger the lives of the employees and others </w:t>
      </w:r>
      <w:r w:rsidR="0055105C">
        <w:t>in this sector</w:t>
      </w:r>
      <w:r w:rsidR="0055105C">
        <w:t>. Statistics show that in</w:t>
      </w:r>
      <w:r w:rsidR="0055105C">
        <w:t xml:space="preserve"> </w:t>
      </w:r>
      <w:r>
        <w:t xml:space="preserve">Quarter 4 of 2025, the construction output dropped by 2.1% and 124 workers were slain in job-related accidents in Great Britain in 2024/25 (HSE, 2025). The </w:t>
      </w:r>
      <w:r w:rsidR="0055105C">
        <w:t xml:space="preserve">kind of </w:t>
      </w:r>
      <w:r>
        <w:t xml:space="preserve">uncontrollable risk may lead to time waste, disagreement, cost increase, failure of quality, </w:t>
      </w:r>
      <w:r w:rsidR="006035BB" w:rsidRPr="006035BB">
        <w:t>reputational damage</w:t>
      </w:r>
      <w:r>
        <w:t xml:space="preserve">, and the contracts may be redistributed instead of eliminating risk </w:t>
      </w:r>
      <w:r w:rsidR="004B538D" w:rsidRPr="004B538D">
        <w:t>(Hartley, 2021)</w:t>
      </w:r>
      <w:r>
        <w:t>. This essay will discuss five risk planning stages and four methods of contracting that should rely on the complexity of the projects, the capability and uncertainty management of clients.</w:t>
      </w:r>
    </w:p>
    <w:p w14:paraId="59CD43AE" w14:textId="77777777" w:rsidR="00815620" w:rsidRDefault="00815620" w:rsidP="00815620">
      <w:pPr>
        <w:spacing w:line="360" w:lineRule="auto"/>
      </w:pPr>
    </w:p>
    <w:p w14:paraId="6516B135" w14:textId="4FA236D0" w:rsidR="00815620" w:rsidRDefault="00815620" w:rsidP="00815620">
      <w:pPr>
        <w:spacing w:line="360" w:lineRule="auto"/>
      </w:pPr>
      <w:r>
        <w:t xml:space="preserve">Uncertainty, instead of a list of hazards, is project risk which impacts project objectives. Projects are evaluated based on thwarted threats and by opportunities utilised wisely </w:t>
      </w:r>
      <w:r w:rsidRPr="00AE0224">
        <w:t>(Ward and Chapman, 2021)</w:t>
      </w:r>
      <w:r>
        <w:t>. Risk is dynamic and probable; it impacts cost, time, quality, safety, scope and reputation</w:t>
      </w:r>
      <w:r w:rsidR="00353616">
        <w:t>,</w:t>
      </w:r>
      <w:r>
        <w:t xml:space="preserve"> as well as one risk can lead to another. It must also be owned, as uncertainty that has not been explicitly assigned or tracked is likely to lead to delays, conflicts, or weak decisions (Hillson, 2024). As a matter of fact, the construction and renovation projects are associated with unknown flaws, delays in planning, insolvency of subcontractors, inflation in prices, non-observance of the regulations, and coordination issues between specialists and trades, which demonstrate that risk is also a governance problem </w:t>
      </w:r>
      <w:r w:rsidRPr="00AE0224">
        <w:t>(PMI, 2021)</w:t>
      </w:r>
      <w:r>
        <w:t>.</w:t>
      </w:r>
    </w:p>
    <w:p w14:paraId="32993039" w14:textId="7F5A7B34" w:rsidR="00815620" w:rsidRDefault="00815620" w:rsidP="00815620">
      <w:pPr>
        <w:spacing w:line="360" w:lineRule="auto"/>
      </w:pPr>
      <w:r>
        <w:t xml:space="preserve">The risk planning is important as the failure of the projects is not always due to uncertainty but rather to low anticipation, ineffective coordination and slow reaction. Systematic process enhances forecasting, allocation of resources and quality of decisions by connecting assumptions and evidence as well as contingent measures </w:t>
      </w:r>
      <w:r w:rsidRPr="00AE0224">
        <w:t>(Ward and Chapman, 2021)</w:t>
      </w:r>
      <w:r>
        <w:t xml:space="preserve">. The declining production and cost in the UK remain a blow to margins and resilience of contractors (ONS, 2026). Risk planning is not something to idealise. It is effective as long as the information used is of high quality, the team has competence and desires to update assumptions. When the risk register is transformed into a compliance document, instead of a live management tool, it </w:t>
      </w:r>
      <w:r w:rsidR="00353616">
        <w:t>instils</w:t>
      </w:r>
      <w:r>
        <w:t xml:space="preserve"> an illusion of control, as opposed to performance </w:t>
      </w:r>
      <w:r w:rsidRPr="00AE0224">
        <w:t>(Hartley, 2021)</w:t>
      </w:r>
      <w:r>
        <w:t>.</w:t>
      </w:r>
    </w:p>
    <w:p w14:paraId="39DBB8C0" w14:textId="5BDE85E9" w:rsidR="00815620" w:rsidRDefault="00815620" w:rsidP="00815620">
      <w:pPr>
        <w:spacing w:line="360" w:lineRule="auto"/>
      </w:pPr>
      <w:r>
        <w:lastRenderedPageBreak/>
        <w:t xml:space="preserve">The first operational stage is identification, since risks that are not recognised cannot be prioritised to be funded or controlled. Identification should be done early in the lifecycle and proceed through the lifecycle, including technical, financial, legal, and external sources of uncertainty. The following tools can be identified as brainstorming, expert judgement, lessons learned, checklists and stakeholder analysis </w:t>
      </w:r>
      <w:r w:rsidR="00C46AA9" w:rsidRPr="00C46AA9">
        <w:t>(Chapman, 2026)</w:t>
      </w:r>
      <w:r>
        <w:t xml:space="preserve">. Common in UK refurbishment and retrofit works are identification of asbestos, latent deterioration, building-control approvals, compliance costs, supply disruption and objections by occupiers. As an example, HSE estimates that 2,218 people died in Great Britain because of mesothelioma, a disease caused by exposure to asbestos, in 2023, which illustrates the long-term consequences of asbestos (HSE, 2025). It is, however, not entirely perfect, as the identification is not yet fully developed, stakeholders may not present their issues, and teams may excessively cling to precedence. Weak identification, therefore, distorts later stages </w:t>
      </w:r>
      <w:r w:rsidRPr="00AE0224">
        <w:t>(Hillson, 2024)</w:t>
      </w:r>
      <w:r>
        <w:t>.</w:t>
      </w:r>
    </w:p>
    <w:p w14:paraId="3D4B6083" w14:textId="17CA9EF6" w:rsidR="00815620" w:rsidRDefault="00815620" w:rsidP="00815620">
      <w:pPr>
        <w:spacing w:line="360" w:lineRule="auto"/>
      </w:pPr>
      <w:r>
        <w:t xml:space="preserve">Once the risks have been identified, they must be analysed in terms of probability, impact, urgency, and interdependence, so that effort is distributed in a proportional manner rather than based on political considerations. Probability-impact matrices and high, medium, and low rankings based on the qualitative analysis </w:t>
      </w:r>
      <w:r w:rsidR="00353616">
        <w:t>are still</w:t>
      </w:r>
      <w:r>
        <w:t xml:space="preserve"> popular because </w:t>
      </w:r>
      <w:r w:rsidR="00353616">
        <w:t>they are</w:t>
      </w:r>
      <w:r>
        <w:t xml:space="preserve"> fast and visible (Hartley, 2021). Quantitative techniques that could provide a better financial explanation but need data and analytical capabilities not always available in one-off projects</w:t>
      </w:r>
      <w:r w:rsidR="00353616">
        <w:t>,</w:t>
      </w:r>
      <w:r>
        <w:t xml:space="preserve"> are scenario modelling, sensitivity analysis, and expected monetary value (Ward and Chapman, 2021). In practice</w:t>
      </w:r>
      <w:r w:rsidR="00353616">
        <w:t>,</w:t>
      </w:r>
      <w:r>
        <w:t xml:space="preserve"> seniorities would be given to the latent defects, </w:t>
      </w:r>
      <w:r w:rsidR="00353616">
        <w:t>specialist service</w:t>
      </w:r>
      <w:r>
        <w:t xml:space="preserve"> and regulatory variations, as these are a threat to the programme certainty and the control of cost. However, managerial judgment, organisational risk appetite and stakeholder priorities can also be found in the analysis. Feeling misled </w:t>
      </w:r>
      <w:r w:rsidR="00353616">
        <w:t>by</w:t>
      </w:r>
      <w:r>
        <w:t xml:space="preserve"> a complex model, </w:t>
      </w:r>
      <w:r w:rsidR="00353616">
        <w:t xml:space="preserve">a </w:t>
      </w:r>
      <w:r>
        <w:t xml:space="preserve">simple approach may still be applied to take action with unrealistic assumptions made </w:t>
      </w:r>
      <w:r w:rsidR="003A6210" w:rsidRPr="003A6210">
        <w:t>(Hartley, 2021)</w:t>
      </w:r>
      <w:r w:rsidR="003A6210">
        <w:t>.</w:t>
      </w:r>
    </w:p>
    <w:p w14:paraId="0FC2555D" w14:textId="3B221BC9" w:rsidR="00815620" w:rsidRDefault="00815620" w:rsidP="00815620">
      <w:pPr>
        <w:spacing w:line="360" w:lineRule="auto"/>
      </w:pPr>
      <w:r>
        <w:t>The diagnosis is turned into action by risk response planning. The most frequent ones are avoidance, mitigation, transfer or sharing, and acceptance, and enhancement may be applied in situations when the opportunities could be determined (PMI, 2021). The avoidance in construction and refurbishment can include redesign, mitigation might need intrusive survey, early supplier consultation, or long lead ordering of the material</w:t>
      </w:r>
      <w:r w:rsidR="00353616">
        <w:t>,</w:t>
      </w:r>
      <w:r>
        <w:t xml:space="preserve"> and acceptance may be conducive to low-impact uncertainties backed by contingency </w:t>
      </w:r>
      <w:r w:rsidRPr="00AE0224">
        <w:t>(Hillson, 2024)</w:t>
      </w:r>
      <w:r>
        <w:t xml:space="preserve">. The point of crisis is that response planning does not kill the risk; it only transforms the risk into a different form, time, cost or ownership. Not every risk can be transferred efficiently, and when trying to push the risk excessively onto contractors, the tender price is likely to rise; defensive behaviour </w:t>
      </w:r>
      <w:r>
        <w:lastRenderedPageBreak/>
        <w:t xml:space="preserve">or scope and liability disputes tend to occur </w:t>
      </w:r>
      <w:r w:rsidR="004B538D" w:rsidRPr="004B538D">
        <w:t>(Chapman, 2026)</w:t>
      </w:r>
      <w:r>
        <w:t xml:space="preserve">. The issue of sustainability, waste management, and compliance can also add complexity to coordination </w:t>
      </w:r>
      <w:r w:rsidRPr="00AE0224">
        <w:t>(</w:t>
      </w:r>
      <w:proofErr w:type="spellStart"/>
      <w:r w:rsidRPr="00AE0224">
        <w:t>Garoghan</w:t>
      </w:r>
      <w:proofErr w:type="spellEnd"/>
      <w:r w:rsidRPr="00AE0224">
        <w:t> </w:t>
      </w:r>
      <w:r w:rsidRPr="00AE0224">
        <w:rPr>
          <w:i/>
          <w:iCs/>
        </w:rPr>
        <w:t>et al.</w:t>
      </w:r>
      <w:r w:rsidRPr="00AE0224">
        <w:t>, 2025)</w:t>
      </w:r>
      <w:r>
        <w:t>.</w:t>
      </w:r>
    </w:p>
    <w:p w14:paraId="2D51871C" w14:textId="77777777" w:rsidR="00815620" w:rsidRDefault="00815620" w:rsidP="00815620">
      <w:pPr>
        <w:spacing w:line="360" w:lineRule="auto"/>
      </w:pPr>
      <w:r>
        <w:t>The difference between active risk management and ceremonial planning is monitoring and control. With the changing nature of projects, risks should be revised and reevaluated based on the emerging information. Risk register status reports, meetings, changing issues and change-control records, and so on, are practical mechanisms (Hillson, 2024; PMI, 2021). This is important since during the delivery, there are always new uncertainties which arise, particularly in the projects that are initiated by the existing buildings or specialised packages. Priorities may change due to unexpected findings, supply delays, and underperformance of contractors and may need to be changed immediately in cost plans, programmes and procurement decisions. The UK is a country where health-and-safety issues have strengthened the necessity to monitor the work actively, and 35 deaths of workers occurred in the construction industry in 2024/25, which is the largest number of any industry sector (HSE, 2025). Surveillance must be in balance since too much reporting may be bureaucratic and lose focus on control.</w:t>
      </w:r>
    </w:p>
    <w:p w14:paraId="2BB90B19" w14:textId="77777777" w:rsidR="00815620" w:rsidRDefault="00815620" w:rsidP="00815620">
      <w:pPr>
        <w:spacing w:line="360" w:lineRule="auto"/>
      </w:pPr>
      <w:r>
        <w:t xml:space="preserve">The five stages are an interdependent system taken together. Poor identification undermines analysis, weak analysis elicits superficial results, and a lack of good monitoring will result in the past decision becoming obsolete when circumstances vary. Risk planning is only useful in project achievement once it is brought into governance, budgeting, procurement and stakeholder communication as opposed to being an administrative routine </w:t>
      </w:r>
      <w:r w:rsidRPr="00AE0224">
        <w:t>(Ward and Chapman, 2021)</w:t>
      </w:r>
      <w:r>
        <w:t>. This directly causes the process of contracting, as when major uncertainties are known, clients have to make decisions as to how the responsibilities and interfaces should be organised.</w:t>
      </w:r>
    </w:p>
    <w:p w14:paraId="74EB9452" w14:textId="6A68B6E3" w:rsidR="00815620" w:rsidRDefault="00815620" w:rsidP="00815620">
      <w:pPr>
        <w:spacing w:line="360" w:lineRule="auto"/>
      </w:pPr>
      <w:r>
        <w:t>Contracting strategy is not a legal formality; it is a management option. It must represent the complexity of the project</w:t>
      </w:r>
      <w:r w:rsidR="00353616">
        <w:t>,</w:t>
      </w:r>
      <w:r>
        <w:t xml:space="preserve"> </w:t>
      </w:r>
      <w:r w:rsidR="00353616">
        <w:t>seek</w:t>
      </w:r>
      <w:r>
        <w:t xml:space="preserve"> control, internal capability, time pressure and readiness to accept or partake in risk</w:t>
      </w:r>
      <w:r w:rsidR="004B538D">
        <w:t xml:space="preserve"> </w:t>
      </w:r>
      <w:r w:rsidR="004B538D" w:rsidRPr="004B538D">
        <w:t>(Merrow, 2022)</w:t>
      </w:r>
      <w:r>
        <w:t xml:space="preserve">. This discourse deals with route contracting and not price techniques. Contracts determine commercial relations, behaviour and claims exposure, and coordination burdens, flexibility and accountability </w:t>
      </w:r>
      <w:r w:rsidR="004B538D">
        <w:t>(</w:t>
      </w:r>
      <w:r>
        <w:t>Masterman</w:t>
      </w:r>
      <w:r w:rsidR="004B538D">
        <w:t xml:space="preserve">, </w:t>
      </w:r>
      <w:r>
        <w:t>2022). The important question is what route would suit the context of the project.</w:t>
      </w:r>
    </w:p>
    <w:p w14:paraId="0CA6109E" w14:textId="203A9E1D" w:rsidR="00815620" w:rsidRDefault="00815620" w:rsidP="00815620">
      <w:pPr>
        <w:spacing w:line="360" w:lineRule="auto"/>
      </w:pPr>
      <w:r>
        <w:t xml:space="preserve">In a turnkey contract, a single contractor is responsible for a large degree of installing an entire finished facility, which would include design and construction. </w:t>
      </w:r>
      <w:r w:rsidRPr="00C817BE">
        <w:t xml:space="preserve">It is appealing since it enjoys a single-point responsibility, lessens the challenge of coordination, and improves time assurance to its clients (Masterman, 2022). This may simplify the process of governance and lessen interface conflicts in projects which are relatively stable. Turnkey, however, also removes client </w:t>
      </w:r>
      <w:r w:rsidRPr="00C817BE">
        <w:lastRenderedPageBreak/>
        <w:t xml:space="preserve">control </w:t>
      </w:r>
      <w:r w:rsidR="00353616">
        <w:t>and</w:t>
      </w:r>
      <w:r w:rsidRPr="00C817BE">
        <w:t xml:space="preserve"> may negatively impact flexibility after the contract is cemented.</w:t>
      </w:r>
      <w:r>
        <w:t xml:space="preserve"> With a high level of uncertainty, the contractors might be willing to transfer the risk to bids, such that apparent simplicity is relatively expensive </w:t>
      </w:r>
      <w:r w:rsidR="00B82B82" w:rsidRPr="00B82B82">
        <w:t>(Turner, 2017)</w:t>
      </w:r>
      <w:r>
        <w:t>. Turnkey is likely to be more appropriate to the situation in which the scope is well-known, and accountability is highly-regarded, than in situations in which iterative choices or invasive inquiries are anticipated.</w:t>
      </w:r>
    </w:p>
    <w:p w14:paraId="59D83691" w14:textId="77777777" w:rsidR="00815620" w:rsidRDefault="00815620" w:rsidP="00815620">
      <w:pPr>
        <w:spacing w:line="360" w:lineRule="auto"/>
      </w:pPr>
      <w:r>
        <w:t xml:space="preserve">Multicontract positions the client in direct contractual relationships with multiple specialist contractors. This can enhance transparency, package flexibility and access to expert knowledge, and it can also save on the cost of marking up a single lead contractor </w:t>
      </w:r>
      <w:r w:rsidRPr="00AE0224">
        <w:t>(Masterman, 2022)</w:t>
      </w:r>
      <w:r>
        <w:t>. Multicontract can seem appealing in cases where building services and fit-out, structural repair, and demolition are easily delineated. However, its greatest drawback is interface risk. Without strong project control among the client, the fragmentation may result in delay, blame-shifting and the mixed-up responsibility of faults as well as slippage in the programme. According to Hartley (2021), the capability of coordination can be as significant as the technical competence. Multicontract is hence applicable in mature clients of the company with established governance systems, rather than clients in need of simplicity or minimal management.</w:t>
      </w:r>
    </w:p>
    <w:p w14:paraId="56B24938" w14:textId="77777777" w:rsidR="00815620" w:rsidRDefault="00815620" w:rsidP="00815620">
      <w:pPr>
        <w:spacing w:line="360" w:lineRule="auto"/>
      </w:pPr>
      <w:r>
        <w:t xml:space="preserve">DIY goes even deeper in client control as it retains the direct procurement and delivery responsibility instead of delegating it to a prime contractor to oversee the entire project. This can provide flexibility and cost savings in small and simple projects. Nevertheless, its weakness is more evident when the complexity increases. Various interfaces, statutory obligations and expert risks are typical of commercial, refurbishment and compliance-sensitive projects and can be hard to handle by inexperienced clients </w:t>
      </w:r>
      <w:r w:rsidRPr="00865A92">
        <w:t>(Hartley, 2021)</w:t>
      </w:r>
      <w:r>
        <w:t xml:space="preserve">. This issue is supported by the UK safety data: construction is the industry with the highest fatality rate among workers, and HSE instructions reveal the weakness of small-site work and untidily organised management (HSE, 2024; HSE, 2025). Top DIY </w:t>
      </w:r>
      <w:proofErr w:type="gramStart"/>
      <w:r>
        <w:t>pathway</w:t>
      </w:r>
      <w:proofErr w:type="gramEnd"/>
      <w:r>
        <w:t xml:space="preserve"> therefore, cannot be the best way to pursue complex projects unless the client is highly technical, possesses good governance and quality resources to be in a position to take risks at will.</w:t>
      </w:r>
    </w:p>
    <w:p w14:paraId="5A7A9540" w14:textId="77777777" w:rsidR="00815620" w:rsidRDefault="00815620" w:rsidP="00815620">
      <w:pPr>
        <w:spacing w:line="360" w:lineRule="auto"/>
      </w:pPr>
      <w:r>
        <w:t xml:space="preserve">A DIY and hybrid multi-contract are little more flexible. The selected decisions will be strategically controlled by the client in this case, but the technically challenging packages will be outsourced to the specialists. This will be effective when there is uncertainty in conditions, phased delivery is necessary, or the client wishes to maintain control over design change, sequencing or occupier requirements without necessarily absorbing the full load of operation. This can offer a more balanced flexibility and expertise requirement in refurbishment, where </w:t>
      </w:r>
      <w:r>
        <w:lastRenderedPageBreak/>
        <w:t xml:space="preserve">both sustainability, waste management and specialist compliance requirements are required in addition to delivery efficiency </w:t>
      </w:r>
      <w:r w:rsidRPr="00865A92">
        <w:t>(</w:t>
      </w:r>
      <w:proofErr w:type="spellStart"/>
      <w:r w:rsidRPr="00865A92">
        <w:t>Garoghan</w:t>
      </w:r>
      <w:proofErr w:type="spellEnd"/>
      <w:r w:rsidRPr="00865A92">
        <w:t> </w:t>
      </w:r>
      <w:r w:rsidRPr="00865A92">
        <w:rPr>
          <w:i/>
          <w:iCs/>
        </w:rPr>
        <w:t>et al.</w:t>
      </w:r>
      <w:r w:rsidRPr="00865A92">
        <w:t>, 2025)</w:t>
      </w:r>
      <w:r>
        <w:t xml:space="preserve">. The drawback is that a hybrid arrangement can adopt the shortcomings of both methods in a case where there is confusion over governance. What is required is accountability, communication and interface management in particular </w:t>
      </w:r>
      <w:r w:rsidRPr="00865A92">
        <w:t>(Hillson, 2024)</w:t>
      </w:r>
      <w:r>
        <w:t>. In general, there is no universally better route of contracting. Turnkey is more applicable in cases where single-point accountability and speed are the most important; multicontract plus DIY in cases where adaptability and expertise coordination are most important; pure multicontract in the case of capable clients; and full DIY is possible only in a few situations.</w:t>
      </w:r>
    </w:p>
    <w:p w14:paraId="7E9EB29B" w14:textId="77777777" w:rsidR="00815620" w:rsidRDefault="00815620" w:rsidP="00815620">
      <w:pPr>
        <w:spacing w:line="360" w:lineRule="auto"/>
      </w:pPr>
    </w:p>
    <w:p w14:paraId="793E459D" w14:textId="454972BC" w:rsidR="00815620" w:rsidRDefault="00815620" w:rsidP="00815620">
      <w:pPr>
        <w:spacing w:line="360" w:lineRule="auto"/>
      </w:pPr>
      <w:r>
        <w:t>Therefore, project delivery is possible only when technical planning is effective, and uncertainty is expected to be considered. Risk planning offers a systematic foundation on which uncertainty may be identified, assessed, reacted to, guarded and controlled prior to evolving into delay to over-spending, low quality or damaged reputation. Each phase plays its part in a different way, but they are all interdependent, and if a single phase is weak, it will adversely affect the other phases. Contracting choice is also a strategic choice since it determines accountability, control, efforts of coordination, adaptability and efficiency of delivery. As a result, the right path will rely on the complexity of a project, the inner capacity of the client and how much risk may be unloaded without compromising value and flexibility. One method of critical approach is the realisation that risk planning and contracting are both contextual decisions, and their effective delivery depends on their matching with project realities.</w:t>
      </w:r>
    </w:p>
    <w:p w14:paraId="1F937958" w14:textId="7C946B37" w:rsidR="0091248B" w:rsidRDefault="0091248B" w:rsidP="0091248B">
      <w:pPr>
        <w:spacing w:line="360" w:lineRule="auto"/>
      </w:pPr>
    </w:p>
    <w:p w14:paraId="44B3BB26" w14:textId="77777777" w:rsidR="0091248B" w:rsidRDefault="0091248B" w:rsidP="0091248B">
      <w:pPr>
        <w:spacing w:line="360" w:lineRule="auto"/>
      </w:pPr>
      <w:r>
        <w:br w:type="page"/>
      </w:r>
    </w:p>
    <w:p w14:paraId="7F2CE0BC" w14:textId="77777777" w:rsidR="0091248B" w:rsidRPr="0091248B" w:rsidRDefault="0091248B" w:rsidP="0091248B">
      <w:pPr>
        <w:spacing w:line="360" w:lineRule="auto"/>
        <w:rPr>
          <w:b/>
          <w:bCs/>
          <w:sz w:val="28"/>
          <w:szCs w:val="28"/>
        </w:rPr>
      </w:pPr>
      <w:r w:rsidRPr="0091248B">
        <w:rPr>
          <w:b/>
          <w:bCs/>
          <w:sz w:val="28"/>
          <w:szCs w:val="28"/>
        </w:rPr>
        <w:lastRenderedPageBreak/>
        <w:t>Reference List</w:t>
      </w:r>
    </w:p>
    <w:p w14:paraId="17296606" w14:textId="77777777" w:rsidR="00B82B82" w:rsidRPr="003A6210" w:rsidRDefault="00B82B82" w:rsidP="003A6210">
      <w:pPr>
        <w:spacing w:line="360" w:lineRule="auto"/>
      </w:pPr>
      <w:r w:rsidRPr="003A6210">
        <w:t>Chapman, R. (2026) </w:t>
      </w:r>
      <w:r w:rsidRPr="003A6210">
        <w:rPr>
          <w:i/>
          <w:iCs/>
        </w:rPr>
        <w:t>The rules of project risk management: Implementation guidelines for major projects</w:t>
      </w:r>
      <w:r w:rsidRPr="003A6210">
        <w:t>. 2nd ed. London, England: Routledge.</w:t>
      </w:r>
    </w:p>
    <w:p w14:paraId="326662E1" w14:textId="77777777" w:rsidR="00B82B82" w:rsidRPr="00B82B82" w:rsidRDefault="00B82B82" w:rsidP="00B82B82">
      <w:pPr>
        <w:spacing w:line="360" w:lineRule="auto"/>
      </w:pPr>
      <w:proofErr w:type="spellStart"/>
      <w:r w:rsidRPr="00B82B82">
        <w:t>Garoghan</w:t>
      </w:r>
      <w:proofErr w:type="spellEnd"/>
      <w:r w:rsidRPr="00B82B82">
        <w:t xml:space="preserve">, S., Adewumi, A.S., </w:t>
      </w:r>
      <w:proofErr w:type="spellStart"/>
      <w:r w:rsidRPr="00B82B82">
        <w:t>Ofetotse</w:t>
      </w:r>
      <w:proofErr w:type="spellEnd"/>
      <w:r w:rsidRPr="00B82B82">
        <w:t>, E.L., Onyango, V. and Dawodu, A. (2025) “Enhancing sustainable waste management strategies for small and medium-sized enterprises: a focus on commercial refurbishment projects in the United Kingdom,” </w:t>
      </w:r>
      <w:r w:rsidRPr="00B82B82">
        <w:rPr>
          <w:i/>
          <w:iCs/>
        </w:rPr>
        <w:t>Frontiers in Built Environment</w:t>
      </w:r>
      <w:r w:rsidRPr="00B82B82">
        <w:t>, 11.</w:t>
      </w:r>
    </w:p>
    <w:p w14:paraId="5141DFAC" w14:textId="77777777" w:rsidR="00B82B82" w:rsidRPr="0091248B" w:rsidRDefault="00B82B82" w:rsidP="0091248B">
      <w:pPr>
        <w:spacing w:line="360" w:lineRule="auto"/>
      </w:pPr>
      <w:r w:rsidRPr="0091248B">
        <w:t>Hartley, S. (2021) </w:t>
      </w:r>
      <w:r w:rsidRPr="0091248B">
        <w:rPr>
          <w:i/>
          <w:iCs/>
        </w:rPr>
        <w:t>Project Management: A practical guide to planning and managing projects</w:t>
      </w:r>
      <w:r w:rsidRPr="0091248B">
        <w:t>. 4th ed. London, England: Routledge.</w:t>
      </w:r>
    </w:p>
    <w:p w14:paraId="672EA63E" w14:textId="77777777" w:rsidR="00B82B82" w:rsidRPr="0091248B" w:rsidRDefault="00B82B82" w:rsidP="0091248B">
      <w:pPr>
        <w:spacing w:line="360" w:lineRule="auto"/>
      </w:pPr>
      <w:r w:rsidRPr="0091248B">
        <w:t>Health and Safety Executive (HSE) (2024) </w:t>
      </w:r>
      <w:r w:rsidRPr="0091248B">
        <w:rPr>
          <w:i/>
          <w:iCs/>
        </w:rPr>
        <w:t xml:space="preserve">Are you a small </w:t>
      </w:r>
      <w:proofErr w:type="gramStart"/>
      <w:r w:rsidRPr="0091248B">
        <w:rPr>
          <w:i/>
          <w:iCs/>
        </w:rPr>
        <w:t>builder?</w:t>
      </w:r>
      <w:r w:rsidRPr="0091248B">
        <w:t>,</w:t>
      </w:r>
      <w:proofErr w:type="gramEnd"/>
      <w:r w:rsidRPr="0091248B">
        <w:t> </w:t>
      </w:r>
      <w:r w:rsidRPr="0091248B">
        <w:rPr>
          <w:i/>
          <w:iCs/>
        </w:rPr>
        <w:t>Gov.uk</w:t>
      </w:r>
      <w:r w:rsidRPr="0091248B">
        <w:t xml:space="preserve">. Available at: </w:t>
      </w:r>
      <w:hyperlink r:id="rId6" w:history="1">
        <w:r w:rsidRPr="0091248B">
          <w:rPr>
            <w:rStyle w:val="Hyperlink"/>
          </w:rPr>
          <w:t>https://www.hse.gov.uk/construction/areyou/builder.htm</w:t>
        </w:r>
      </w:hyperlink>
      <w:r w:rsidRPr="0091248B">
        <w:t>?</w:t>
      </w:r>
      <w:r>
        <w:t xml:space="preserve"> </w:t>
      </w:r>
      <w:r w:rsidRPr="0091248B">
        <w:t>(Accessed: March 17, 2026).</w:t>
      </w:r>
    </w:p>
    <w:p w14:paraId="03AC93C9" w14:textId="77777777" w:rsidR="00B82B82" w:rsidRPr="0091248B" w:rsidRDefault="00B82B82" w:rsidP="0091248B">
      <w:pPr>
        <w:spacing w:line="360" w:lineRule="auto"/>
      </w:pPr>
      <w:r w:rsidRPr="0091248B">
        <w:t>Hillson, D. (2024) “Managing project risk,” in </w:t>
      </w:r>
      <w:r w:rsidRPr="0091248B">
        <w:rPr>
          <w:i/>
          <w:iCs/>
        </w:rPr>
        <w:t>The Handbook of Project Management</w:t>
      </w:r>
      <w:r w:rsidRPr="0091248B">
        <w:t>. London: Routledge, pp. 213–229.</w:t>
      </w:r>
    </w:p>
    <w:p w14:paraId="0EAE31C8" w14:textId="77777777" w:rsidR="00B82B82" w:rsidRPr="0091248B" w:rsidRDefault="00B82B82" w:rsidP="0091248B">
      <w:pPr>
        <w:spacing w:line="360" w:lineRule="auto"/>
      </w:pPr>
      <w:r w:rsidRPr="0091248B">
        <w:t>HSE (2025) </w:t>
      </w:r>
      <w:r w:rsidRPr="0091248B">
        <w:rPr>
          <w:i/>
          <w:iCs/>
        </w:rPr>
        <w:t>Work-related fatal injuries in Great Britain</w:t>
      </w:r>
      <w:r w:rsidRPr="0091248B">
        <w:t>, </w:t>
      </w:r>
      <w:r w:rsidRPr="0091248B">
        <w:rPr>
          <w:i/>
          <w:iCs/>
        </w:rPr>
        <w:t>Gov.uk</w:t>
      </w:r>
      <w:r w:rsidRPr="0091248B">
        <w:t xml:space="preserve">. Available at: </w:t>
      </w:r>
      <w:hyperlink r:id="rId7" w:history="1">
        <w:r w:rsidRPr="0091248B">
          <w:rPr>
            <w:rStyle w:val="Hyperlink"/>
          </w:rPr>
          <w:t>https://www.hse.gov.uk/statistics/fatals-overview.htm</w:t>
        </w:r>
      </w:hyperlink>
      <w:r w:rsidRPr="0091248B">
        <w:t>?</w:t>
      </w:r>
      <w:r>
        <w:t xml:space="preserve"> </w:t>
      </w:r>
      <w:r w:rsidRPr="0091248B">
        <w:t>(Accessed: March 16, 2026).</w:t>
      </w:r>
    </w:p>
    <w:p w14:paraId="4BB87C21" w14:textId="77777777" w:rsidR="00B82B82" w:rsidRPr="0091248B" w:rsidRDefault="00B82B82" w:rsidP="0091248B">
      <w:pPr>
        <w:spacing w:line="360" w:lineRule="auto"/>
      </w:pPr>
      <w:r w:rsidRPr="0091248B">
        <w:t>Masterman, J.W.E. (2022) </w:t>
      </w:r>
      <w:r w:rsidRPr="0091248B">
        <w:rPr>
          <w:i/>
          <w:iCs/>
        </w:rPr>
        <w:t>An introduction to building procurement systems</w:t>
      </w:r>
      <w:r w:rsidRPr="0091248B">
        <w:t>. London, England: Taylor &amp; Francis.</w:t>
      </w:r>
    </w:p>
    <w:p w14:paraId="7F7ED9D9" w14:textId="77777777" w:rsidR="00B82B82" w:rsidRPr="00B82B82" w:rsidRDefault="00B82B82" w:rsidP="00B82B82">
      <w:pPr>
        <w:spacing w:line="360" w:lineRule="auto"/>
      </w:pPr>
      <w:r w:rsidRPr="00B82B82">
        <w:t>Merrow, E.W. (2022) </w:t>
      </w:r>
      <w:r w:rsidRPr="00B82B82">
        <w:rPr>
          <w:i/>
          <w:iCs/>
        </w:rPr>
        <w:t>Contract strategies for major projects: Mastering the most difficult element of project management</w:t>
      </w:r>
      <w:r w:rsidRPr="00B82B82">
        <w:t>. John Wiley &amp; Sons.</w:t>
      </w:r>
    </w:p>
    <w:p w14:paraId="40784E32" w14:textId="77777777" w:rsidR="00B82B82" w:rsidRPr="0091248B" w:rsidRDefault="00B82B82" w:rsidP="0091248B">
      <w:pPr>
        <w:spacing w:line="360" w:lineRule="auto"/>
      </w:pPr>
      <w:r w:rsidRPr="0091248B">
        <w:t xml:space="preserve">Office for National Statistics (ONS) (2026) “UK Job Vacancies (thousands) - Construction.” Office for National Statistics. Available at: </w:t>
      </w:r>
      <w:hyperlink r:id="rId8" w:history="1">
        <w:r w:rsidRPr="0091248B">
          <w:rPr>
            <w:rStyle w:val="Hyperlink"/>
          </w:rPr>
          <w:t>https://www.ons.gov.uk/employmentandlabourmarket/peopleinwork/employmentandemployeetypes/timeseries/jp9l/lms</w:t>
        </w:r>
      </w:hyperlink>
      <w:r w:rsidRPr="0091248B">
        <w:t>?</w:t>
      </w:r>
      <w:r>
        <w:t xml:space="preserve"> </w:t>
      </w:r>
      <w:r w:rsidRPr="0091248B">
        <w:t>(Accessed: March 17, 2026).</w:t>
      </w:r>
    </w:p>
    <w:p w14:paraId="625CB173" w14:textId="77777777" w:rsidR="00B82B82" w:rsidRPr="0091248B" w:rsidRDefault="00B82B82" w:rsidP="0091248B">
      <w:pPr>
        <w:spacing w:line="360" w:lineRule="auto"/>
      </w:pPr>
      <w:r w:rsidRPr="0091248B">
        <w:t>Project Management Institute (PMI) (2021) </w:t>
      </w:r>
      <w:r w:rsidRPr="0091248B">
        <w:rPr>
          <w:i/>
          <w:iCs/>
        </w:rPr>
        <w:t>A guide to the Project Management Body of Knowledge (PMBOK guide) and the Standard for project management</w:t>
      </w:r>
      <w:r w:rsidRPr="0091248B">
        <w:t>. 7th ed. Newton Square, PA: Project Management Institute.</w:t>
      </w:r>
    </w:p>
    <w:p w14:paraId="19106817" w14:textId="77777777" w:rsidR="00B82B82" w:rsidRPr="00B82B82" w:rsidRDefault="00B82B82" w:rsidP="00B82B82">
      <w:pPr>
        <w:spacing w:line="360" w:lineRule="auto"/>
      </w:pPr>
      <w:r w:rsidRPr="00B82B82">
        <w:t>Turner, J.R. (ed.) (2017) </w:t>
      </w:r>
      <w:r w:rsidRPr="00B82B82">
        <w:rPr>
          <w:i/>
          <w:iCs/>
        </w:rPr>
        <w:t>Contracting for Project Management</w:t>
      </w:r>
      <w:r w:rsidRPr="00B82B82">
        <w:t>. London, England: Routledge.</w:t>
      </w:r>
    </w:p>
    <w:p w14:paraId="2575EFA2" w14:textId="77777777" w:rsidR="00B82B82" w:rsidRDefault="00B82B82" w:rsidP="0091248B">
      <w:pPr>
        <w:spacing w:line="360" w:lineRule="auto"/>
      </w:pPr>
      <w:r w:rsidRPr="0091248B">
        <w:lastRenderedPageBreak/>
        <w:t>Ward, S. and Chapman, C. (2021) </w:t>
      </w:r>
      <w:r w:rsidRPr="0091248B">
        <w:rPr>
          <w:i/>
          <w:iCs/>
        </w:rPr>
        <w:t>How to Manage Project Opportunity and risk: Why uncertainty management can be a much better approach than risk management</w:t>
      </w:r>
      <w:r w:rsidRPr="0091248B">
        <w:t>. New York, NY: John Wiley &amp; Sons.</w:t>
      </w:r>
    </w:p>
    <w:p w14:paraId="0191E862" w14:textId="77777777" w:rsidR="003A6210" w:rsidRDefault="003A6210" w:rsidP="0091248B">
      <w:pPr>
        <w:spacing w:line="360" w:lineRule="auto"/>
      </w:pPr>
    </w:p>
    <w:sectPr w:rsidR="003A6210" w:rsidSect="0016180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CEEFB" w14:textId="77777777" w:rsidR="00F26334" w:rsidRDefault="00F26334" w:rsidP="0091248B">
      <w:pPr>
        <w:spacing w:after="0" w:line="240" w:lineRule="auto"/>
      </w:pPr>
      <w:r>
        <w:separator/>
      </w:r>
    </w:p>
  </w:endnote>
  <w:endnote w:type="continuationSeparator" w:id="0">
    <w:p w14:paraId="28F57BD9" w14:textId="77777777" w:rsidR="00F26334" w:rsidRDefault="00F26334" w:rsidP="00912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362902"/>
      <w:docPartObj>
        <w:docPartGallery w:val="Page Numbers (Bottom of Page)"/>
        <w:docPartUnique/>
      </w:docPartObj>
    </w:sdtPr>
    <w:sdtContent>
      <w:p w14:paraId="7292D5D2" w14:textId="58C1A9A0" w:rsidR="0091248B" w:rsidRDefault="0091248B">
        <w:pPr>
          <w:pStyle w:val="Footer"/>
          <w:jc w:val="right"/>
        </w:pPr>
        <w:r>
          <w:fldChar w:fldCharType="begin"/>
        </w:r>
        <w:r>
          <w:instrText>PAGE   \* MERGEFORMAT</w:instrText>
        </w:r>
        <w:r>
          <w:fldChar w:fldCharType="separate"/>
        </w:r>
        <w:r>
          <w:t>2</w:t>
        </w:r>
        <w:r>
          <w:fldChar w:fldCharType="end"/>
        </w:r>
      </w:p>
    </w:sdtContent>
  </w:sdt>
  <w:p w14:paraId="38317321" w14:textId="77777777" w:rsidR="0091248B" w:rsidRDefault="00912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9FAC2" w14:textId="77777777" w:rsidR="00F26334" w:rsidRDefault="00F26334" w:rsidP="0091248B">
      <w:pPr>
        <w:spacing w:after="0" w:line="240" w:lineRule="auto"/>
      </w:pPr>
      <w:r>
        <w:separator/>
      </w:r>
    </w:p>
  </w:footnote>
  <w:footnote w:type="continuationSeparator" w:id="0">
    <w:p w14:paraId="72E40028" w14:textId="77777777" w:rsidR="00F26334" w:rsidRDefault="00F26334" w:rsidP="009124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B0E"/>
    <w:rsid w:val="00002861"/>
    <w:rsid w:val="00084B8C"/>
    <w:rsid w:val="000E123F"/>
    <w:rsid w:val="00106B70"/>
    <w:rsid w:val="00147B3B"/>
    <w:rsid w:val="0016180E"/>
    <w:rsid w:val="0017105A"/>
    <w:rsid w:val="001A2DDC"/>
    <w:rsid w:val="002412AE"/>
    <w:rsid w:val="0028672F"/>
    <w:rsid w:val="00293332"/>
    <w:rsid w:val="00330095"/>
    <w:rsid w:val="00353616"/>
    <w:rsid w:val="003A6210"/>
    <w:rsid w:val="004808B9"/>
    <w:rsid w:val="004B135A"/>
    <w:rsid w:val="004B538D"/>
    <w:rsid w:val="004D182A"/>
    <w:rsid w:val="004E35EF"/>
    <w:rsid w:val="0055105C"/>
    <w:rsid w:val="005C562A"/>
    <w:rsid w:val="005E6285"/>
    <w:rsid w:val="006035BB"/>
    <w:rsid w:val="00605B0E"/>
    <w:rsid w:val="00662BB4"/>
    <w:rsid w:val="00690320"/>
    <w:rsid w:val="006A7588"/>
    <w:rsid w:val="006B3E6A"/>
    <w:rsid w:val="006F6778"/>
    <w:rsid w:val="006F6A34"/>
    <w:rsid w:val="00793780"/>
    <w:rsid w:val="007A3775"/>
    <w:rsid w:val="007A39DD"/>
    <w:rsid w:val="00815620"/>
    <w:rsid w:val="0081760F"/>
    <w:rsid w:val="008177E6"/>
    <w:rsid w:val="00824D3C"/>
    <w:rsid w:val="00866106"/>
    <w:rsid w:val="008D4A4C"/>
    <w:rsid w:val="008F0849"/>
    <w:rsid w:val="0091248B"/>
    <w:rsid w:val="00940A2D"/>
    <w:rsid w:val="00AD1F80"/>
    <w:rsid w:val="00AE30C2"/>
    <w:rsid w:val="00AE31C4"/>
    <w:rsid w:val="00B82B82"/>
    <w:rsid w:val="00B90654"/>
    <w:rsid w:val="00BA3E51"/>
    <w:rsid w:val="00C06F83"/>
    <w:rsid w:val="00C46AA9"/>
    <w:rsid w:val="00CB1B1D"/>
    <w:rsid w:val="00DD4538"/>
    <w:rsid w:val="00E00EE5"/>
    <w:rsid w:val="00E7661A"/>
    <w:rsid w:val="00EF741B"/>
    <w:rsid w:val="00F26334"/>
    <w:rsid w:val="00F75007"/>
    <w:rsid w:val="00FB0690"/>
    <w:rsid w:val="00FE508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932BE"/>
  <w15:chartTrackingRefBased/>
  <w15:docId w15:val="{EAE0DD70-CF21-45CC-9A56-28B232A1C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F80"/>
    <w:pPr>
      <w:jc w:val="both"/>
    </w:pPr>
    <w:rPr>
      <w:rFonts w:ascii="Times New Roman" w:hAnsi="Times New Roman"/>
    </w:rPr>
  </w:style>
  <w:style w:type="paragraph" w:styleId="Heading1">
    <w:name w:val="heading 1"/>
    <w:basedOn w:val="Normal"/>
    <w:next w:val="Normal"/>
    <w:link w:val="Heading1Char"/>
    <w:autoRedefine/>
    <w:uiPriority w:val="9"/>
    <w:qFormat/>
    <w:rsid w:val="00AD1F80"/>
    <w:pPr>
      <w:keepNext/>
      <w:keepLines/>
      <w:spacing w:before="360" w:after="80" w:line="360" w:lineRule="auto"/>
      <w:outlineLvl w:val="0"/>
    </w:pPr>
    <w:rPr>
      <w:rFonts w:eastAsiaTheme="majorEastAsia" w:cstheme="majorBidi"/>
      <w:b/>
      <w:sz w:val="32"/>
      <w:szCs w:val="40"/>
    </w:rPr>
  </w:style>
  <w:style w:type="paragraph" w:styleId="Heading2">
    <w:name w:val="heading 2"/>
    <w:basedOn w:val="Normal"/>
    <w:next w:val="Normal"/>
    <w:link w:val="Heading2Char"/>
    <w:autoRedefine/>
    <w:uiPriority w:val="9"/>
    <w:semiHidden/>
    <w:unhideWhenUsed/>
    <w:qFormat/>
    <w:rsid w:val="00AD1F8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AD1F8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05B0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5B0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5B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5B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5B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5B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8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AD1F80"/>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AD1F80"/>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605B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B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B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B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B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B0E"/>
    <w:rPr>
      <w:rFonts w:eastAsiaTheme="majorEastAsia" w:cstheme="majorBidi"/>
      <w:color w:val="272727" w:themeColor="text1" w:themeTint="D8"/>
    </w:rPr>
  </w:style>
  <w:style w:type="paragraph" w:styleId="Title">
    <w:name w:val="Title"/>
    <w:basedOn w:val="Normal"/>
    <w:next w:val="Normal"/>
    <w:link w:val="TitleChar"/>
    <w:uiPriority w:val="10"/>
    <w:qFormat/>
    <w:rsid w:val="00605B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B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B0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B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B0E"/>
    <w:pPr>
      <w:spacing w:before="160"/>
      <w:jc w:val="center"/>
    </w:pPr>
    <w:rPr>
      <w:i/>
      <w:iCs/>
      <w:color w:val="404040" w:themeColor="text1" w:themeTint="BF"/>
    </w:rPr>
  </w:style>
  <w:style w:type="character" w:customStyle="1" w:styleId="QuoteChar">
    <w:name w:val="Quote Char"/>
    <w:basedOn w:val="DefaultParagraphFont"/>
    <w:link w:val="Quote"/>
    <w:uiPriority w:val="29"/>
    <w:rsid w:val="00605B0E"/>
    <w:rPr>
      <w:rFonts w:ascii="Times New Roman" w:hAnsi="Times New Roman"/>
      <w:i/>
      <w:iCs/>
      <w:color w:val="404040" w:themeColor="text1" w:themeTint="BF"/>
    </w:rPr>
  </w:style>
  <w:style w:type="paragraph" w:styleId="ListParagraph">
    <w:name w:val="List Paragraph"/>
    <w:basedOn w:val="Normal"/>
    <w:uiPriority w:val="34"/>
    <w:qFormat/>
    <w:rsid w:val="00605B0E"/>
    <w:pPr>
      <w:ind w:left="720"/>
      <w:contextualSpacing/>
    </w:pPr>
  </w:style>
  <w:style w:type="character" w:styleId="IntenseEmphasis">
    <w:name w:val="Intense Emphasis"/>
    <w:basedOn w:val="DefaultParagraphFont"/>
    <w:uiPriority w:val="21"/>
    <w:qFormat/>
    <w:rsid w:val="00605B0E"/>
    <w:rPr>
      <w:i/>
      <w:iCs/>
      <w:color w:val="0F4761" w:themeColor="accent1" w:themeShade="BF"/>
    </w:rPr>
  </w:style>
  <w:style w:type="paragraph" w:styleId="IntenseQuote">
    <w:name w:val="Intense Quote"/>
    <w:basedOn w:val="Normal"/>
    <w:next w:val="Normal"/>
    <w:link w:val="IntenseQuoteChar"/>
    <w:uiPriority w:val="30"/>
    <w:qFormat/>
    <w:rsid w:val="00605B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B0E"/>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5B0E"/>
    <w:rPr>
      <w:b/>
      <w:bCs/>
      <w:smallCaps/>
      <w:color w:val="0F4761" w:themeColor="accent1" w:themeShade="BF"/>
      <w:spacing w:val="5"/>
    </w:rPr>
  </w:style>
  <w:style w:type="paragraph" w:styleId="Header">
    <w:name w:val="header"/>
    <w:basedOn w:val="Normal"/>
    <w:link w:val="HeaderChar"/>
    <w:uiPriority w:val="99"/>
    <w:unhideWhenUsed/>
    <w:rsid w:val="00912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48B"/>
    <w:rPr>
      <w:rFonts w:ascii="Times New Roman" w:hAnsi="Times New Roman"/>
    </w:rPr>
  </w:style>
  <w:style w:type="paragraph" w:styleId="Footer">
    <w:name w:val="footer"/>
    <w:basedOn w:val="Normal"/>
    <w:link w:val="FooterChar"/>
    <w:uiPriority w:val="99"/>
    <w:unhideWhenUsed/>
    <w:rsid w:val="00912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48B"/>
    <w:rPr>
      <w:rFonts w:ascii="Times New Roman" w:hAnsi="Times New Roman"/>
    </w:rPr>
  </w:style>
  <w:style w:type="character" w:styleId="Hyperlink">
    <w:name w:val="Hyperlink"/>
    <w:basedOn w:val="DefaultParagraphFont"/>
    <w:uiPriority w:val="99"/>
    <w:unhideWhenUsed/>
    <w:rsid w:val="0091248B"/>
    <w:rPr>
      <w:color w:val="467886" w:themeColor="hyperlink"/>
      <w:u w:val="single"/>
    </w:rPr>
  </w:style>
  <w:style w:type="character" w:styleId="UnresolvedMention">
    <w:name w:val="Unresolved Mention"/>
    <w:basedOn w:val="DefaultParagraphFont"/>
    <w:uiPriority w:val="99"/>
    <w:semiHidden/>
    <w:unhideWhenUsed/>
    <w:rsid w:val="0091248B"/>
    <w:rPr>
      <w:color w:val="605E5C"/>
      <w:shd w:val="clear" w:color="auto" w:fill="E1DFDD"/>
    </w:rPr>
  </w:style>
  <w:style w:type="character" w:styleId="FollowedHyperlink">
    <w:name w:val="FollowedHyperlink"/>
    <w:basedOn w:val="DefaultParagraphFont"/>
    <w:uiPriority w:val="99"/>
    <w:semiHidden/>
    <w:unhideWhenUsed/>
    <w:rsid w:val="00C46A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timeseries/jp9l/lms" TargetMode="External"/><Relationship Id="rId3" Type="http://schemas.openxmlformats.org/officeDocument/2006/relationships/webSettings" Target="webSettings.xml"/><Relationship Id="rId7" Type="http://schemas.openxmlformats.org/officeDocument/2006/relationships/hyperlink" Target="https://www.hse.gov.uk/statistics/fatals-overview.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se.gov.uk/construction/areyou/builder.ht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C5CEF2-FF8B-42BB-AC6F-D365CAC56CE8}">
  <we:reference id="wa200000368" version="1.0.0.0" store="en-GB" storeType="OMEX"/>
  <we:alternateReferences>
    <we:reference id="WA200000368" version="1.0.0.0" store="" storeType="OMEX"/>
  </we:alternateReferences>
  <we:properties>
    <we:property name="documentId" value="&quot;0975661dda0e050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909</TotalTime>
  <Pages>8</Pages>
  <Words>2711</Words>
  <Characters>13179</Characters>
  <Application>Microsoft Office Word</Application>
  <DocSecurity>0</DocSecurity>
  <Lines>337</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8</cp:revision>
  <dcterms:created xsi:type="dcterms:W3CDTF">2026-03-16T21:22:00Z</dcterms:created>
  <dcterms:modified xsi:type="dcterms:W3CDTF">2026-03-18T11:57:00Z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2d7ab22f-4c7c-4395-a080-fdc45806b882</vt:lpwstr>
  </property>
</Properties>
</file>