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CE59B" w14:textId="77777777" w:rsidR="009D63A1" w:rsidRDefault="009D63A1">
      <w:pPr>
        <w:rPr>
          <w:rFonts w:ascii="Arial" w:hAnsi="Arial" w:cs="Arial"/>
          <w:sz w:val="88"/>
          <w:szCs w:val="88"/>
        </w:rPr>
      </w:pPr>
    </w:p>
    <w:p w14:paraId="7C81150C" w14:textId="77777777" w:rsidR="009D63A1" w:rsidRDefault="009D63A1">
      <w:pPr>
        <w:rPr>
          <w:rFonts w:ascii="Arial" w:hAnsi="Arial" w:cs="Arial"/>
          <w:sz w:val="88"/>
          <w:szCs w:val="88"/>
        </w:rPr>
      </w:pPr>
    </w:p>
    <w:p w14:paraId="4AE504CD" w14:textId="7F116923" w:rsidR="00A10671" w:rsidRPr="000B1AC4" w:rsidRDefault="00CA6CC5">
      <w:pPr>
        <w:rPr>
          <w:rFonts w:ascii="Arial" w:hAnsi="Arial" w:cs="Arial"/>
          <w:b/>
          <w:bCs/>
          <w:color w:val="525252" w:themeColor="accent3" w:themeShade="80"/>
          <w:sz w:val="72"/>
          <w:szCs w:val="72"/>
        </w:rPr>
      </w:pPr>
      <w:r w:rsidRPr="000B1AC4">
        <w:rPr>
          <w:rFonts w:ascii="Arial" w:hAnsi="Arial" w:cs="Arial"/>
          <w:b/>
          <w:bCs/>
          <w:color w:val="525252" w:themeColor="accent3" w:themeShade="80"/>
          <w:sz w:val="72"/>
          <w:szCs w:val="72"/>
        </w:rPr>
        <w:t>The Deepening Mental Health Crisis in the Hospitality Industry</w:t>
      </w:r>
    </w:p>
    <w:p w14:paraId="2AF6AEC4" w14:textId="77777777" w:rsidR="00CA6CC5" w:rsidRDefault="00CA6CC5"/>
    <w:p w14:paraId="68F196D3" w14:textId="77777777" w:rsidR="00CA6CC5" w:rsidRDefault="00CA6CC5"/>
    <w:p w14:paraId="40028BC1" w14:textId="77777777" w:rsidR="00CA6CC5" w:rsidRDefault="00CA6CC5"/>
    <w:p w14:paraId="05BB44FD" w14:textId="77777777" w:rsidR="00CA6CC5" w:rsidRPr="008A40AE" w:rsidRDefault="00CA6CC5">
      <w:pPr>
        <w:rPr>
          <w:rFonts w:ascii="Arial" w:hAnsi="Arial" w:cs="Arial"/>
          <w:sz w:val="32"/>
          <w:szCs w:val="32"/>
        </w:rPr>
      </w:pPr>
    </w:p>
    <w:p w14:paraId="553FF0CA" w14:textId="7C9A5237" w:rsidR="00096C67" w:rsidRPr="00096C67" w:rsidRDefault="00096C67" w:rsidP="00096C67">
      <w:pPr>
        <w:rPr>
          <w:rFonts w:ascii="Arial" w:hAnsi="Arial" w:cs="Arial"/>
          <w:sz w:val="32"/>
          <w:szCs w:val="32"/>
        </w:rPr>
      </w:pPr>
      <w:r w:rsidRPr="00096C67">
        <w:rPr>
          <w:rFonts w:ascii="Arial" w:hAnsi="Arial" w:cs="Arial"/>
          <w:sz w:val="32"/>
          <w:szCs w:val="32"/>
        </w:rPr>
        <w:t>Student name: Rosario del Rocio Garcia Baez </w:t>
      </w:r>
    </w:p>
    <w:p w14:paraId="110553A5" w14:textId="77777777" w:rsidR="00096C67" w:rsidRPr="00096C67" w:rsidRDefault="00096C67" w:rsidP="00096C67">
      <w:pPr>
        <w:rPr>
          <w:rFonts w:ascii="Arial" w:hAnsi="Arial" w:cs="Arial"/>
          <w:sz w:val="32"/>
          <w:szCs w:val="32"/>
        </w:rPr>
      </w:pPr>
      <w:r w:rsidRPr="00096C67">
        <w:rPr>
          <w:rFonts w:ascii="Arial" w:hAnsi="Arial" w:cs="Arial"/>
          <w:sz w:val="32"/>
          <w:szCs w:val="32"/>
        </w:rPr>
        <w:t>Student number: 2230623 </w:t>
      </w:r>
    </w:p>
    <w:p w14:paraId="1466A7C0" w14:textId="77777777" w:rsidR="00096C67" w:rsidRPr="00096C67" w:rsidRDefault="00096C67" w:rsidP="00096C67">
      <w:pPr>
        <w:rPr>
          <w:rFonts w:ascii="Arial" w:hAnsi="Arial" w:cs="Arial"/>
          <w:sz w:val="32"/>
          <w:szCs w:val="32"/>
        </w:rPr>
      </w:pPr>
      <w:r w:rsidRPr="00096C67">
        <w:rPr>
          <w:rFonts w:ascii="Arial" w:hAnsi="Arial" w:cs="Arial"/>
          <w:sz w:val="32"/>
          <w:szCs w:val="32"/>
        </w:rPr>
        <w:t>Lecture name: Lisa Knight </w:t>
      </w:r>
    </w:p>
    <w:p w14:paraId="413E3D2D" w14:textId="059D25F3" w:rsidR="00096C67" w:rsidRPr="00096C67" w:rsidRDefault="00096C67" w:rsidP="00096C67">
      <w:pPr>
        <w:rPr>
          <w:rFonts w:ascii="Arial" w:hAnsi="Arial" w:cs="Arial"/>
          <w:sz w:val="32"/>
          <w:szCs w:val="32"/>
        </w:rPr>
      </w:pPr>
      <w:r w:rsidRPr="00096C67">
        <w:rPr>
          <w:rFonts w:ascii="Arial" w:hAnsi="Arial" w:cs="Arial"/>
          <w:sz w:val="32"/>
          <w:szCs w:val="32"/>
        </w:rPr>
        <w:t xml:space="preserve">Date submission: </w:t>
      </w:r>
      <w:r w:rsidR="00170F28">
        <w:rPr>
          <w:rFonts w:ascii="Arial" w:hAnsi="Arial" w:cs="Arial"/>
          <w:sz w:val="32"/>
          <w:szCs w:val="32"/>
        </w:rPr>
        <w:t>30</w:t>
      </w:r>
      <w:r w:rsidR="00170F28" w:rsidRPr="00170F28">
        <w:rPr>
          <w:rFonts w:ascii="Arial" w:hAnsi="Arial" w:cs="Arial"/>
          <w:sz w:val="32"/>
          <w:szCs w:val="32"/>
          <w:vertAlign w:val="superscript"/>
        </w:rPr>
        <w:t>th</w:t>
      </w:r>
      <w:r w:rsidR="00170F28">
        <w:rPr>
          <w:rFonts w:ascii="Arial" w:hAnsi="Arial" w:cs="Arial"/>
          <w:sz w:val="32"/>
          <w:szCs w:val="32"/>
        </w:rPr>
        <w:t xml:space="preserve"> October 2025</w:t>
      </w:r>
    </w:p>
    <w:p w14:paraId="0BBDCBAE" w14:textId="103BB7C3" w:rsidR="00096C67" w:rsidRPr="00096C67" w:rsidRDefault="00096C67" w:rsidP="00096C67">
      <w:pPr>
        <w:rPr>
          <w:rFonts w:ascii="Arial" w:hAnsi="Arial" w:cs="Arial"/>
          <w:sz w:val="32"/>
          <w:szCs w:val="32"/>
        </w:rPr>
      </w:pPr>
      <w:r w:rsidRPr="00096C67">
        <w:rPr>
          <w:rFonts w:ascii="Arial" w:hAnsi="Arial" w:cs="Arial"/>
          <w:sz w:val="32"/>
          <w:szCs w:val="32"/>
        </w:rPr>
        <w:t xml:space="preserve">Module tittle: </w:t>
      </w:r>
      <w:r w:rsidR="00F03995" w:rsidRPr="008A40AE">
        <w:rPr>
          <w:rFonts w:ascii="Arial" w:hAnsi="Arial" w:cs="Arial"/>
          <w:sz w:val="32"/>
          <w:szCs w:val="32"/>
        </w:rPr>
        <w:t>Contemporary Themes in the Hotel and Hospitality Sector.</w:t>
      </w:r>
    </w:p>
    <w:p w14:paraId="0B3B8E02" w14:textId="48876946" w:rsidR="00096C67" w:rsidRPr="00096C67" w:rsidRDefault="00096C67" w:rsidP="00096C67">
      <w:pPr>
        <w:rPr>
          <w:rFonts w:ascii="Arial" w:hAnsi="Arial" w:cs="Arial"/>
          <w:sz w:val="32"/>
          <w:szCs w:val="32"/>
        </w:rPr>
      </w:pPr>
      <w:r w:rsidRPr="00096C67">
        <w:rPr>
          <w:rFonts w:ascii="Arial" w:hAnsi="Arial" w:cs="Arial"/>
          <w:sz w:val="32"/>
          <w:szCs w:val="32"/>
        </w:rPr>
        <w:t xml:space="preserve">Module code: </w:t>
      </w:r>
      <w:r w:rsidR="00C72CC7" w:rsidRPr="008A40AE">
        <w:rPr>
          <w:rFonts w:ascii="Arial" w:hAnsi="Arial" w:cs="Arial"/>
          <w:sz w:val="32"/>
          <w:szCs w:val="32"/>
        </w:rPr>
        <w:t>BMIH6001</w:t>
      </w:r>
    </w:p>
    <w:p w14:paraId="7AB32F89" w14:textId="77777777" w:rsidR="00CA6CC5" w:rsidRDefault="00CA6CC5"/>
    <w:p w14:paraId="1DFBC02D" w14:textId="77777777" w:rsidR="00CA6CC5" w:rsidRDefault="00CA6CC5"/>
    <w:p w14:paraId="7F68AF69" w14:textId="77777777" w:rsidR="00CA6CC5" w:rsidRDefault="00CA6CC5"/>
    <w:p w14:paraId="23B95259" w14:textId="77777777" w:rsidR="006D7BCC" w:rsidRDefault="006D7BCC"/>
    <w:p w14:paraId="1AFF44B5" w14:textId="77777777" w:rsidR="00CA6CC5" w:rsidRDefault="00CA6CC5"/>
    <w:p w14:paraId="3455AEFE" w14:textId="77777777" w:rsidR="00CE0A36" w:rsidRDefault="00CE0A36" w:rsidP="00592926">
      <w:pPr>
        <w:spacing w:line="360" w:lineRule="auto"/>
        <w:jc w:val="both"/>
      </w:pPr>
    </w:p>
    <w:p w14:paraId="5DB00A4B" w14:textId="69351439" w:rsidR="00CA6CC5" w:rsidRPr="00CA6CC5" w:rsidRDefault="00CA6CC5" w:rsidP="00592926">
      <w:pPr>
        <w:spacing w:line="360" w:lineRule="auto"/>
        <w:jc w:val="both"/>
        <w:rPr>
          <w:rFonts w:ascii="Arial" w:hAnsi="Arial" w:cs="Arial"/>
          <w:b/>
          <w:bCs/>
          <w:sz w:val="24"/>
          <w:szCs w:val="24"/>
        </w:rPr>
      </w:pPr>
      <w:r w:rsidRPr="00CA6CC5">
        <w:rPr>
          <w:rFonts w:ascii="Arial" w:hAnsi="Arial" w:cs="Arial"/>
          <w:b/>
          <w:bCs/>
          <w:sz w:val="24"/>
          <w:szCs w:val="24"/>
        </w:rPr>
        <w:lastRenderedPageBreak/>
        <w:t>Abstract</w:t>
      </w:r>
    </w:p>
    <w:p w14:paraId="4587D5B5" w14:textId="2FC95A87" w:rsidR="00CA6CC5" w:rsidRPr="00CA6CC5" w:rsidRDefault="00CA6CC5" w:rsidP="00592926">
      <w:pPr>
        <w:spacing w:line="360" w:lineRule="auto"/>
        <w:jc w:val="both"/>
        <w:rPr>
          <w:rFonts w:ascii="Arial" w:hAnsi="Arial" w:cs="Arial"/>
          <w:sz w:val="24"/>
          <w:szCs w:val="24"/>
        </w:rPr>
      </w:pPr>
      <w:r w:rsidRPr="00CA6CC5">
        <w:rPr>
          <w:rFonts w:ascii="Arial" w:hAnsi="Arial" w:cs="Arial"/>
          <w:sz w:val="24"/>
          <w:szCs w:val="24"/>
        </w:rPr>
        <w:t>Mental health remains a critical yet under</w:t>
      </w:r>
      <w:r w:rsidR="00D012CB">
        <w:rPr>
          <w:rFonts w:ascii="Arial" w:hAnsi="Arial" w:cs="Arial"/>
          <w:sz w:val="24"/>
          <w:szCs w:val="24"/>
        </w:rPr>
        <w:t xml:space="preserve"> </w:t>
      </w:r>
      <w:r w:rsidRPr="00CA6CC5">
        <w:rPr>
          <w:rFonts w:ascii="Arial" w:hAnsi="Arial" w:cs="Arial"/>
          <w:sz w:val="24"/>
          <w:szCs w:val="24"/>
        </w:rPr>
        <w:t>explored issue within the hospitality industry, where long working hours, high stress, and emotional labour place employees at elevated risk of psychological strain. Globally, hospitality workers report disproportionately high levels of anxiety, depression, and burnout compared to other sectors, a trend mirrored in the United Kingdom. Despite increasing awareness, stigma and a lack of structured support mechanisms prevent many employees from seeking help, contributing to staff turnover, reduced productivity, and compromised service quality. This paper explores the prevalence and drivers of mental health challenges in hotels and food &amp; beverage operations, drawing on recent empirical studies, industry reports, and global comparisons. The analysis utilises the PEAS framework—examining Problems, Evidence, Analysis, and Solutions—to systematically investigate structural and cultural factors underpinning this crisis. Recommendations are provided for management practices, organisational policies, and industry-wide interventions aimed at fostering psychological safety, improving employee well-being, and reducing operational risks. The paper concludes that addressing mental health in hospitality is not solely an individual responsibility but requires coordinated action across organisational and industry levels to create sustainable, supportive work environments (Hospitality Action, 2024; The Burnt Chef Project, 2020; Mental Health Foundation, 2023).</w:t>
      </w:r>
    </w:p>
    <w:p w14:paraId="25F24892" w14:textId="77777777" w:rsidR="00CE0A36" w:rsidRDefault="00CA6CC5" w:rsidP="00FF5345">
      <w:pPr>
        <w:spacing w:line="360" w:lineRule="auto"/>
        <w:jc w:val="both"/>
        <w:rPr>
          <w:rFonts w:ascii="Arial" w:hAnsi="Arial" w:cs="Arial"/>
          <w:sz w:val="24"/>
          <w:szCs w:val="24"/>
        </w:rPr>
      </w:pPr>
      <w:r w:rsidRPr="00CA6CC5">
        <w:rPr>
          <w:rFonts w:ascii="Arial" w:hAnsi="Arial" w:cs="Arial"/>
          <w:sz w:val="24"/>
          <w:szCs w:val="24"/>
        </w:rPr>
        <w:pict w14:anchorId="4A669D5E">
          <v:rect id="_x0000_i1031" style="width:0;height:1.5pt" o:hralign="center" o:hrstd="t" o:hr="t" fillcolor="#a0a0a0" stroked="f"/>
        </w:pict>
      </w:r>
    </w:p>
    <w:p w14:paraId="7D3E6347" w14:textId="77777777" w:rsidR="00CE0A36" w:rsidRDefault="00CE0A36" w:rsidP="00FF5345">
      <w:pPr>
        <w:spacing w:line="360" w:lineRule="auto"/>
        <w:jc w:val="both"/>
        <w:rPr>
          <w:rFonts w:ascii="Arial" w:hAnsi="Arial" w:cs="Arial"/>
          <w:sz w:val="24"/>
          <w:szCs w:val="24"/>
        </w:rPr>
      </w:pPr>
    </w:p>
    <w:p w14:paraId="35506E5B" w14:textId="77777777" w:rsidR="00CE0A36" w:rsidRDefault="00CE0A36" w:rsidP="00FF5345">
      <w:pPr>
        <w:spacing w:line="360" w:lineRule="auto"/>
        <w:jc w:val="both"/>
        <w:rPr>
          <w:rFonts w:ascii="Arial" w:hAnsi="Arial" w:cs="Arial"/>
          <w:sz w:val="24"/>
          <w:szCs w:val="24"/>
        </w:rPr>
      </w:pPr>
    </w:p>
    <w:p w14:paraId="2F7EEB27" w14:textId="77777777" w:rsidR="00CE0A36" w:rsidRDefault="00CE0A36" w:rsidP="00FF5345">
      <w:pPr>
        <w:spacing w:line="360" w:lineRule="auto"/>
        <w:jc w:val="both"/>
        <w:rPr>
          <w:rFonts w:ascii="Arial" w:hAnsi="Arial" w:cs="Arial"/>
          <w:sz w:val="24"/>
          <w:szCs w:val="24"/>
        </w:rPr>
      </w:pPr>
    </w:p>
    <w:p w14:paraId="099D3496" w14:textId="77777777" w:rsidR="00CE0A36" w:rsidRDefault="00CE0A36" w:rsidP="00FF5345">
      <w:pPr>
        <w:spacing w:line="360" w:lineRule="auto"/>
        <w:jc w:val="both"/>
        <w:rPr>
          <w:rFonts w:ascii="Arial" w:hAnsi="Arial" w:cs="Arial"/>
          <w:sz w:val="24"/>
          <w:szCs w:val="24"/>
        </w:rPr>
      </w:pPr>
    </w:p>
    <w:p w14:paraId="1542E23F" w14:textId="77777777" w:rsidR="00CE0A36" w:rsidRDefault="00CE0A36" w:rsidP="00FF5345">
      <w:pPr>
        <w:spacing w:line="360" w:lineRule="auto"/>
        <w:jc w:val="both"/>
        <w:rPr>
          <w:rFonts w:ascii="Arial" w:hAnsi="Arial" w:cs="Arial"/>
          <w:sz w:val="24"/>
          <w:szCs w:val="24"/>
        </w:rPr>
      </w:pPr>
    </w:p>
    <w:p w14:paraId="6CBB7D5E" w14:textId="77777777" w:rsidR="00CE0A36" w:rsidRDefault="00CE0A36" w:rsidP="00FF5345">
      <w:pPr>
        <w:spacing w:line="360" w:lineRule="auto"/>
        <w:jc w:val="both"/>
        <w:rPr>
          <w:rFonts w:ascii="Arial" w:hAnsi="Arial" w:cs="Arial"/>
          <w:sz w:val="24"/>
          <w:szCs w:val="24"/>
        </w:rPr>
      </w:pPr>
    </w:p>
    <w:p w14:paraId="04748B50" w14:textId="77777777" w:rsidR="00CE0A36" w:rsidRDefault="00CE0A36" w:rsidP="00FF5345">
      <w:pPr>
        <w:spacing w:line="360" w:lineRule="auto"/>
        <w:jc w:val="both"/>
        <w:rPr>
          <w:rFonts w:ascii="Arial" w:hAnsi="Arial" w:cs="Arial"/>
          <w:sz w:val="24"/>
          <w:szCs w:val="24"/>
        </w:rPr>
      </w:pPr>
    </w:p>
    <w:p w14:paraId="5A5FA991" w14:textId="77777777" w:rsidR="00CE0A36" w:rsidRDefault="00CE0A36" w:rsidP="00FF5345">
      <w:pPr>
        <w:spacing w:line="360" w:lineRule="auto"/>
        <w:jc w:val="both"/>
        <w:rPr>
          <w:rFonts w:ascii="Arial" w:hAnsi="Arial" w:cs="Arial"/>
          <w:sz w:val="24"/>
          <w:szCs w:val="24"/>
        </w:rPr>
      </w:pPr>
    </w:p>
    <w:p w14:paraId="33861F62" w14:textId="0611225B" w:rsidR="00CA6CC5" w:rsidRPr="00CA6CC5" w:rsidRDefault="00CA6CC5" w:rsidP="00FF5345">
      <w:pPr>
        <w:spacing w:line="360" w:lineRule="auto"/>
        <w:jc w:val="both"/>
        <w:rPr>
          <w:rFonts w:ascii="Arial" w:hAnsi="Arial" w:cs="Arial"/>
          <w:sz w:val="24"/>
          <w:szCs w:val="24"/>
        </w:rPr>
      </w:pPr>
      <w:r w:rsidRPr="00CA6CC5">
        <w:rPr>
          <w:rFonts w:ascii="Arial" w:hAnsi="Arial" w:cs="Arial"/>
          <w:b/>
          <w:bCs/>
          <w:sz w:val="24"/>
          <w:szCs w:val="24"/>
        </w:rPr>
        <w:lastRenderedPageBreak/>
        <w:t>Introduction</w:t>
      </w:r>
    </w:p>
    <w:p w14:paraId="3B6EB67D" w14:textId="77777777" w:rsidR="00CA6CC5" w:rsidRPr="00CA6CC5" w:rsidRDefault="00CA6CC5" w:rsidP="00740C5E">
      <w:pPr>
        <w:spacing w:line="360" w:lineRule="auto"/>
        <w:jc w:val="both"/>
        <w:rPr>
          <w:rFonts w:ascii="Arial" w:hAnsi="Arial" w:cs="Arial"/>
          <w:sz w:val="24"/>
          <w:szCs w:val="24"/>
        </w:rPr>
      </w:pPr>
      <w:r w:rsidRPr="00CA6CC5">
        <w:rPr>
          <w:rFonts w:ascii="Arial" w:hAnsi="Arial" w:cs="Arial"/>
          <w:sz w:val="24"/>
          <w:szCs w:val="24"/>
        </w:rPr>
        <w:t>The hospitality industry is a cornerstone of the global economy, providing millions of jobs and contributing significantly to national GDP. In the United Kingdom alone, the sector employs over three million individuals across hotels, restaurants, bars, and associated services (UK Hospitality, 2023). While this industry offers vibrant career opportunities, it is also characterised by high-pressure environments, long and often irregular working hours, and a service culture that prioritises guest satisfaction over employee well-being (</w:t>
      </w:r>
      <w:proofErr w:type="spellStart"/>
      <w:r w:rsidRPr="00CA6CC5">
        <w:rPr>
          <w:rFonts w:ascii="Arial" w:hAnsi="Arial" w:cs="Arial"/>
          <w:sz w:val="24"/>
          <w:szCs w:val="24"/>
        </w:rPr>
        <w:t>Vittiglio</w:t>
      </w:r>
      <w:proofErr w:type="spellEnd"/>
      <w:r w:rsidRPr="00CA6CC5">
        <w:rPr>
          <w:rFonts w:ascii="Arial" w:hAnsi="Arial" w:cs="Arial"/>
          <w:sz w:val="24"/>
          <w:szCs w:val="24"/>
        </w:rPr>
        <w:t>, 2024). These conditions make hospitality workers particularly vulnerable to mental health challenges, including stress, burnout, anxiety, and depression (Cambridge University, 2023).</w:t>
      </w:r>
    </w:p>
    <w:p w14:paraId="215BA29E" w14:textId="77777777" w:rsidR="00CA6CC5" w:rsidRPr="00CA6CC5" w:rsidRDefault="00CA6CC5" w:rsidP="00740C5E">
      <w:pPr>
        <w:spacing w:line="360" w:lineRule="auto"/>
        <w:jc w:val="both"/>
        <w:rPr>
          <w:rFonts w:ascii="Arial" w:hAnsi="Arial" w:cs="Arial"/>
          <w:sz w:val="24"/>
          <w:szCs w:val="24"/>
        </w:rPr>
      </w:pPr>
      <w:r w:rsidRPr="00CA6CC5">
        <w:rPr>
          <w:rFonts w:ascii="Arial" w:hAnsi="Arial" w:cs="Arial"/>
          <w:sz w:val="24"/>
          <w:szCs w:val="24"/>
        </w:rPr>
        <w:t>Hotels and accommodation operations often require employees to balance complex schedules with 24/7 operational demands. Front-of-house staff, housekeeping, and management teams face constant time pressures and customer-facing responsibilities that can exacerbate emotional exhaustion (Slow Food, 2025). Similarly, the food &amp; beverage segment—including chefs, bartenders, and restaurant staff—frequently experiences high-intensity workloads, physically demanding tasks, and inconsistent breaks, contributing to cumulative psychological strain (Unilever Food Solutions, 2024). Globally, these pressures are not unique to the UK; studies in the United States, Australia, and Europe reveal similar patterns of elevated stress, job dissatisfaction, and mental health risk among hospitality workers (</w:t>
      </w:r>
      <w:proofErr w:type="spellStart"/>
      <w:r w:rsidRPr="00CA6CC5">
        <w:rPr>
          <w:rFonts w:ascii="Arial" w:hAnsi="Arial" w:cs="Arial"/>
          <w:sz w:val="24"/>
          <w:szCs w:val="24"/>
        </w:rPr>
        <w:t>Gallantium</w:t>
      </w:r>
      <w:proofErr w:type="spellEnd"/>
      <w:r w:rsidRPr="00CA6CC5">
        <w:rPr>
          <w:rFonts w:ascii="Arial" w:hAnsi="Arial" w:cs="Arial"/>
          <w:sz w:val="24"/>
          <w:szCs w:val="24"/>
        </w:rPr>
        <w:t xml:space="preserve">, 2023; </w:t>
      </w:r>
      <w:proofErr w:type="spellStart"/>
      <w:r w:rsidRPr="00CA6CC5">
        <w:rPr>
          <w:rFonts w:ascii="Arial" w:hAnsi="Arial" w:cs="Arial"/>
          <w:sz w:val="24"/>
          <w:szCs w:val="24"/>
        </w:rPr>
        <w:t>Vittiglio</w:t>
      </w:r>
      <w:proofErr w:type="spellEnd"/>
      <w:r w:rsidRPr="00CA6CC5">
        <w:rPr>
          <w:rFonts w:ascii="Arial" w:hAnsi="Arial" w:cs="Arial"/>
          <w:sz w:val="24"/>
          <w:szCs w:val="24"/>
        </w:rPr>
        <w:t>, 2024).</w:t>
      </w:r>
    </w:p>
    <w:p w14:paraId="537A4CA2" w14:textId="77777777" w:rsidR="00CA6CC5" w:rsidRPr="00CA6CC5" w:rsidRDefault="00CA6CC5" w:rsidP="00740C5E">
      <w:pPr>
        <w:spacing w:line="360" w:lineRule="auto"/>
        <w:jc w:val="both"/>
        <w:rPr>
          <w:rFonts w:ascii="Arial" w:hAnsi="Arial" w:cs="Arial"/>
          <w:sz w:val="24"/>
          <w:szCs w:val="24"/>
        </w:rPr>
      </w:pPr>
      <w:r w:rsidRPr="00CA6CC5">
        <w:rPr>
          <w:rFonts w:ascii="Arial" w:hAnsi="Arial" w:cs="Arial"/>
          <w:sz w:val="24"/>
          <w:szCs w:val="24"/>
        </w:rPr>
        <w:t>Despite widespread recognition of the issue, mental health remains highly stigmatised within the sector. Employees often hesitate to disclose psychological difficulties or access support for fear of judgement or professional repercussions (The Burnt Chef Project, 2020). This silence exacerbates stress and contributes to a vicious cycle of burnout, absenteeism, and high staff turnover. UK-specific surveys report that more than 75% of hospitality workers have experienced mental health issues at some point in their careers, highlighting the urgency of systemic solutions (Hospitality Action, 2024).</w:t>
      </w:r>
    </w:p>
    <w:p w14:paraId="15DAB666" w14:textId="77777777" w:rsidR="00CA6CC5" w:rsidRPr="00CA6CC5" w:rsidRDefault="00CA6CC5" w:rsidP="00740C5E">
      <w:pPr>
        <w:spacing w:line="360" w:lineRule="auto"/>
        <w:jc w:val="both"/>
        <w:rPr>
          <w:rFonts w:ascii="Arial" w:hAnsi="Arial" w:cs="Arial"/>
          <w:sz w:val="24"/>
          <w:szCs w:val="24"/>
        </w:rPr>
      </w:pPr>
      <w:r w:rsidRPr="00CA6CC5">
        <w:rPr>
          <w:rFonts w:ascii="Arial" w:hAnsi="Arial" w:cs="Arial"/>
          <w:sz w:val="24"/>
          <w:szCs w:val="24"/>
        </w:rPr>
        <w:t xml:space="preserve">The aim of this paper is to critically examine the factors driving the mental health crisis in hospitality, with a primary focus on UK hotels and food &amp; beverage operations while incorporating global comparisons. Using the PEAS framework, the study will analyse the problems, present current evidence, critically evaluate structural and cultural </w:t>
      </w:r>
      <w:r w:rsidRPr="00CA6CC5">
        <w:rPr>
          <w:rFonts w:ascii="Arial" w:hAnsi="Arial" w:cs="Arial"/>
          <w:sz w:val="24"/>
          <w:szCs w:val="24"/>
        </w:rPr>
        <w:lastRenderedPageBreak/>
        <w:t xml:space="preserve">contributors, and propose solutions for both organisations and the wider industry. By adopting an academic-human lens, this research emphasises the lived experiences of employees while also providing actionable insights for management and policy interventions (Mental Health Foundation, 2023; </w:t>
      </w:r>
      <w:proofErr w:type="spellStart"/>
      <w:r w:rsidRPr="00CA6CC5">
        <w:rPr>
          <w:rFonts w:ascii="Arial" w:hAnsi="Arial" w:cs="Arial"/>
          <w:sz w:val="24"/>
          <w:szCs w:val="24"/>
        </w:rPr>
        <w:t>Vittiglio</w:t>
      </w:r>
      <w:proofErr w:type="spellEnd"/>
      <w:r w:rsidRPr="00CA6CC5">
        <w:rPr>
          <w:rFonts w:ascii="Arial" w:hAnsi="Arial" w:cs="Arial"/>
          <w:sz w:val="24"/>
          <w:szCs w:val="24"/>
        </w:rPr>
        <w:t>, 2024).</w:t>
      </w:r>
    </w:p>
    <w:p w14:paraId="372965C0" w14:textId="77777777" w:rsidR="00CA6CC5" w:rsidRPr="00FF5345" w:rsidRDefault="00CA6CC5" w:rsidP="00FF5345">
      <w:pPr>
        <w:spacing w:line="360" w:lineRule="auto"/>
        <w:jc w:val="both"/>
        <w:rPr>
          <w:rFonts w:ascii="Arial" w:hAnsi="Arial" w:cs="Arial"/>
          <w:sz w:val="24"/>
          <w:szCs w:val="24"/>
        </w:rPr>
      </w:pPr>
    </w:p>
    <w:p w14:paraId="3044527B" w14:textId="77777777" w:rsidR="00CA6CC5" w:rsidRPr="00FF5345" w:rsidRDefault="00CA6CC5" w:rsidP="00FF5345">
      <w:pPr>
        <w:spacing w:line="360" w:lineRule="auto"/>
        <w:jc w:val="both"/>
        <w:rPr>
          <w:rFonts w:ascii="Arial" w:hAnsi="Arial" w:cs="Arial"/>
          <w:sz w:val="24"/>
          <w:szCs w:val="24"/>
        </w:rPr>
      </w:pPr>
    </w:p>
    <w:p w14:paraId="32D1ADC4" w14:textId="77777777" w:rsidR="00740C5E" w:rsidRDefault="00740C5E" w:rsidP="00FF5345">
      <w:pPr>
        <w:spacing w:line="360" w:lineRule="auto"/>
        <w:jc w:val="both"/>
        <w:rPr>
          <w:rFonts w:ascii="Arial" w:hAnsi="Arial" w:cs="Arial"/>
          <w:b/>
          <w:bCs/>
          <w:sz w:val="24"/>
          <w:szCs w:val="24"/>
        </w:rPr>
      </w:pPr>
    </w:p>
    <w:p w14:paraId="43EDD59C" w14:textId="77777777" w:rsidR="00CE0A36" w:rsidRDefault="00CE0A36" w:rsidP="002E0BC1">
      <w:pPr>
        <w:spacing w:line="360" w:lineRule="auto"/>
        <w:jc w:val="both"/>
        <w:rPr>
          <w:rFonts w:ascii="Arial" w:hAnsi="Arial" w:cs="Arial"/>
          <w:b/>
          <w:bCs/>
          <w:sz w:val="24"/>
          <w:szCs w:val="24"/>
        </w:rPr>
      </w:pPr>
    </w:p>
    <w:p w14:paraId="2DAC503B" w14:textId="77777777" w:rsidR="00CE0A36" w:rsidRDefault="00CE0A36" w:rsidP="002E0BC1">
      <w:pPr>
        <w:spacing w:line="360" w:lineRule="auto"/>
        <w:jc w:val="both"/>
        <w:rPr>
          <w:rFonts w:ascii="Arial" w:hAnsi="Arial" w:cs="Arial"/>
          <w:b/>
          <w:bCs/>
          <w:sz w:val="24"/>
          <w:szCs w:val="24"/>
        </w:rPr>
      </w:pPr>
    </w:p>
    <w:p w14:paraId="6B3DC742" w14:textId="77777777" w:rsidR="00CE0A36" w:rsidRDefault="00CE0A36" w:rsidP="002E0BC1">
      <w:pPr>
        <w:spacing w:line="360" w:lineRule="auto"/>
        <w:jc w:val="both"/>
        <w:rPr>
          <w:rFonts w:ascii="Arial" w:hAnsi="Arial" w:cs="Arial"/>
          <w:b/>
          <w:bCs/>
          <w:sz w:val="24"/>
          <w:szCs w:val="24"/>
        </w:rPr>
      </w:pPr>
    </w:p>
    <w:p w14:paraId="1E0DE777" w14:textId="77777777" w:rsidR="00CE0A36" w:rsidRDefault="00CE0A36" w:rsidP="002E0BC1">
      <w:pPr>
        <w:spacing w:line="360" w:lineRule="auto"/>
        <w:jc w:val="both"/>
        <w:rPr>
          <w:rFonts w:ascii="Arial" w:hAnsi="Arial" w:cs="Arial"/>
          <w:b/>
          <w:bCs/>
          <w:sz w:val="24"/>
          <w:szCs w:val="24"/>
        </w:rPr>
      </w:pPr>
    </w:p>
    <w:p w14:paraId="336BD259" w14:textId="77777777" w:rsidR="00CE0A36" w:rsidRDefault="00CE0A36" w:rsidP="002E0BC1">
      <w:pPr>
        <w:spacing w:line="360" w:lineRule="auto"/>
        <w:jc w:val="both"/>
        <w:rPr>
          <w:rFonts w:ascii="Arial" w:hAnsi="Arial" w:cs="Arial"/>
          <w:b/>
          <w:bCs/>
          <w:sz w:val="24"/>
          <w:szCs w:val="24"/>
        </w:rPr>
      </w:pPr>
    </w:p>
    <w:p w14:paraId="7E0F9FA9" w14:textId="77777777" w:rsidR="00CE0A36" w:rsidRDefault="00CE0A36" w:rsidP="002E0BC1">
      <w:pPr>
        <w:spacing w:line="360" w:lineRule="auto"/>
        <w:jc w:val="both"/>
        <w:rPr>
          <w:rFonts w:ascii="Arial" w:hAnsi="Arial" w:cs="Arial"/>
          <w:b/>
          <w:bCs/>
          <w:sz w:val="24"/>
          <w:szCs w:val="24"/>
        </w:rPr>
      </w:pPr>
    </w:p>
    <w:p w14:paraId="4DDD4853" w14:textId="77777777" w:rsidR="00CE0A36" w:rsidRDefault="00CE0A36" w:rsidP="002E0BC1">
      <w:pPr>
        <w:spacing w:line="360" w:lineRule="auto"/>
        <w:jc w:val="both"/>
        <w:rPr>
          <w:rFonts w:ascii="Arial" w:hAnsi="Arial" w:cs="Arial"/>
          <w:b/>
          <w:bCs/>
          <w:sz w:val="24"/>
          <w:szCs w:val="24"/>
        </w:rPr>
      </w:pPr>
    </w:p>
    <w:p w14:paraId="6C35196B" w14:textId="77777777" w:rsidR="00CE0A36" w:rsidRDefault="00CE0A36" w:rsidP="002E0BC1">
      <w:pPr>
        <w:spacing w:line="360" w:lineRule="auto"/>
        <w:jc w:val="both"/>
        <w:rPr>
          <w:rFonts w:ascii="Arial" w:hAnsi="Arial" w:cs="Arial"/>
          <w:b/>
          <w:bCs/>
          <w:sz w:val="24"/>
          <w:szCs w:val="24"/>
        </w:rPr>
      </w:pPr>
    </w:p>
    <w:p w14:paraId="124E8524" w14:textId="77777777" w:rsidR="00CE0A36" w:rsidRDefault="00CE0A36" w:rsidP="002E0BC1">
      <w:pPr>
        <w:spacing w:line="360" w:lineRule="auto"/>
        <w:jc w:val="both"/>
        <w:rPr>
          <w:rFonts w:ascii="Arial" w:hAnsi="Arial" w:cs="Arial"/>
          <w:b/>
          <w:bCs/>
          <w:sz w:val="24"/>
          <w:szCs w:val="24"/>
        </w:rPr>
      </w:pPr>
    </w:p>
    <w:p w14:paraId="3380D9BC" w14:textId="77777777" w:rsidR="00CE0A36" w:rsidRDefault="00CE0A36" w:rsidP="002E0BC1">
      <w:pPr>
        <w:spacing w:line="360" w:lineRule="auto"/>
        <w:jc w:val="both"/>
        <w:rPr>
          <w:rFonts w:ascii="Arial" w:hAnsi="Arial" w:cs="Arial"/>
          <w:b/>
          <w:bCs/>
          <w:sz w:val="24"/>
          <w:szCs w:val="24"/>
        </w:rPr>
      </w:pPr>
    </w:p>
    <w:p w14:paraId="02CD3279" w14:textId="77777777" w:rsidR="00CE0A36" w:rsidRDefault="00CE0A36" w:rsidP="002E0BC1">
      <w:pPr>
        <w:spacing w:line="360" w:lineRule="auto"/>
        <w:jc w:val="both"/>
        <w:rPr>
          <w:rFonts w:ascii="Arial" w:hAnsi="Arial" w:cs="Arial"/>
          <w:b/>
          <w:bCs/>
          <w:sz w:val="24"/>
          <w:szCs w:val="24"/>
        </w:rPr>
      </w:pPr>
    </w:p>
    <w:p w14:paraId="0A61FB11" w14:textId="77777777" w:rsidR="00CE0A36" w:rsidRDefault="00CE0A36" w:rsidP="002E0BC1">
      <w:pPr>
        <w:spacing w:line="360" w:lineRule="auto"/>
        <w:jc w:val="both"/>
        <w:rPr>
          <w:rFonts w:ascii="Arial" w:hAnsi="Arial" w:cs="Arial"/>
          <w:b/>
          <w:bCs/>
          <w:sz w:val="24"/>
          <w:szCs w:val="24"/>
        </w:rPr>
      </w:pPr>
    </w:p>
    <w:p w14:paraId="777D14DC" w14:textId="77777777" w:rsidR="00CE0A36" w:rsidRDefault="00CE0A36" w:rsidP="002E0BC1">
      <w:pPr>
        <w:spacing w:line="360" w:lineRule="auto"/>
        <w:jc w:val="both"/>
        <w:rPr>
          <w:rFonts w:ascii="Arial" w:hAnsi="Arial" w:cs="Arial"/>
          <w:b/>
          <w:bCs/>
          <w:sz w:val="24"/>
          <w:szCs w:val="24"/>
        </w:rPr>
      </w:pPr>
    </w:p>
    <w:p w14:paraId="619074C0" w14:textId="77777777" w:rsidR="00CE0A36" w:rsidRDefault="00CE0A36" w:rsidP="002E0BC1">
      <w:pPr>
        <w:spacing w:line="360" w:lineRule="auto"/>
        <w:jc w:val="both"/>
        <w:rPr>
          <w:rFonts w:ascii="Arial" w:hAnsi="Arial" w:cs="Arial"/>
          <w:b/>
          <w:bCs/>
          <w:sz w:val="24"/>
          <w:szCs w:val="24"/>
        </w:rPr>
      </w:pPr>
    </w:p>
    <w:p w14:paraId="76804045" w14:textId="77777777" w:rsidR="00CE0A36" w:rsidRDefault="00CE0A36" w:rsidP="002E0BC1">
      <w:pPr>
        <w:spacing w:line="360" w:lineRule="auto"/>
        <w:jc w:val="both"/>
        <w:rPr>
          <w:rFonts w:ascii="Arial" w:hAnsi="Arial" w:cs="Arial"/>
          <w:b/>
          <w:bCs/>
          <w:sz w:val="24"/>
          <w:szCs w:val="24"/>
        </w:rPr>
      </w:pPr>
    </w:p>
    <w:p w14:paraId="61D5D62D" w14:textId="77777777" w:rsidR="00CE0A36" w:rsidRDefault="00CE0A36" w:rsidP="002E0BC1">
      <w:pPr>
        <w:spacing w:line="360" w:lineRule="auto"/>
        <w:jc w:val="both"/>
        <w:rPr>
          <w:rFonts w:ascii="Arial" w:hAnsi="Arial" w:cs="Arial"/>
          <w:b/>
          <w:bCs/>
          <w:sz w:val="24"/>
          <w:szCs w:val="24"/>
        </w:rPr>
      </w:pPr>
    </w:p>
    <w:p w14:paraId="3615050C" w14:textId="77777777" w:rsidR="00CE0A36" w:rsidRDefault="00CE0A36" w:rsidP="002E0BC1">
      <w:pPr>
        <w:spacing w:line="360" w:lineRule="auto"/>
        <w:jc w:val="both"/>
        <w:rPr>
          <w:rFonts w:ascii="Arial" w:hAnsi="Arial" w:cs="Arial"/>
          <w:b/>
          <w:bCs/>
          <w:sz w:val="24"/>
          <w:szCs w:val="24"/>
        </w:rPr>
      </w:pPr>
    </w:p>
    <w:p w14:paraId="5062668A" w14:textId="77777777" w:rsidR="00CE0A36" w:rsidRDefault="00CE0A36" w:rsidP="002E0BC1">
      <w:pPr>
        <w:spacing w:line="360" w:lineRule="auto"/>
        <w:jc w:val="both"/>
        <w:rPr>
          <w:rFonts w:ascii="Arial" w:hAnsi="Arial" w:cs="Arial"/>
          <w:b/>
          <w:bCs/>
          <w:sz w:val="24"/>
          <w:szCs w:val="24"/>
        </w:rPr>
      </w:pPr>
    </w:p>
    <w:p w14:paraId="0CCCAADF" w14:textId="5F6F6AD5" w:rsidR="00CA6CC5" w:rsidRPr="00CA6CC5" w:rsidRDefault="00CA6CC5" w:rsidP="002E0BC1">
      <w:pPr>
        <w:spacing w:line="360" w:lineRule="auto"/>
        <w:jc w:val="both"/>
        <w:rPr>
          <w:rFonts w:ascii="Arial" w:hAnsi="Arial" w:cs="Arial"/>
          <w:b/>
          <w:bCs/>
          <w:sz w:val="24"/>
          <w:szCs w:val="24"/>
        </w:rPr>
      </w:pPr>
      <w:r w:rsidRPr="00CA6CC5">
        <w:rPr>
          <w:rFonts w:ascii="Arial" w:hAnsi="Arial" w:cs="Arial"/>
          <w:b/>
          <w:bCs/>
          <w:sz w:val="24"/>
          <w:szCs w:val="24"/>
        </w:rPr>
        <w:lastRenderedPageBreak/>
        <w:t>P – Problems: The Mental Health Crisis in Hospitality</w:t>
      </w:r>
    </w:p>
    <w:p w14:paraId="22C3DF97" w14:textId="77777777" w:rsidR="00CA6CC5" w:rsidRPr="00CA6CC5" w:rsidRDefault="00CA6CC5" w:rsidP="002E0BC1">
      <w:pPr>
        <w:spacing w:line="360" w:lineRule="auto"/>
        <w:jc w:val="both"/>
        <w:rPr>
          <w:rFonts w:ascii="Arial" w:hAnsi="Arial" w:cs="Arial"/>
          <w:sz w:val="24"/>
          <w:szCs w:val="24"/>
        </w:rPr>
      </w:pPr>
      <w:r w:rsidRPr="00CA6CC5">
        <w:rPr>
          <w:rFonts w:ascii="Arial" w:hAnsi="Arial" w:cs="Arial"/>
          <w:sz w:val="24"/>
          <w:szCs w:val="24"/>
        </w:rPr>
        <w:t>The hospitality sector is widely acknowledged as a high-pressure environment, where employees are expected to deliver exceptional service under demanding conditions. Across both hotels and food &amp; beverage operations, long working hours, irregular shifts, and emotionally charged interactions with guests create persistent stressors that can severely impact mental health (</w:t>
      </w:r>
      <w:proofErr w:type="spellStart"/>
      <w:r w:rsidRPr="00CA6CC5">
        <w:rPr>
          <w:rFonts w:ascii="Arial" w:hAnsi="Arial" w:cs="Arial"/>
          <w:sz w:val="24"/>
          <w:szCs w:val="24"/>
        </w:rPr>
        <w:t>Vittiglio</w:t>
      </w:r>
      <w:proofErr w:type="spellEnd"/>
      <w:r w:rsidRPr="00CA6CC5">
        <w:rPr>
          <w:rFonts w:ascii="Arial" w:hAnsi="Arial" w:cs="Arial"/>
          <w:sz w:val="24"/>
          <w:szCs w:val="24"/>
        </w:rPr>
        <w:t>, 2024). In the UK, a survey by Hospitality Action (2024) revealed that over 75% of hospitality workers reported experiencing mental health challenges, with nearly half identifying workplace-related stress as a primary factor. Globally, similar trends have been observed in North America, Europe, and Australia, where hospitality employees consistently report higher levels of anxiety and depression compared to other service industries (</w:t>
      </w:r>
      <w:proofErr w:type="spellStart"/>
      <w:r w:rsidRPr="00CA6CC5">
        <w:rPr>
          <w:rFonts w:ascii="Arial" w:hAnsi="Arial" w:cs="Arial"/>
          <w:sz w:val="24"/>
          <w:szCs w:val="24"/>
        </w:rPr>
        <w:t>Gallantium</w:t>
      </w:r>
      <w:proofErr w:type="spellEnd"/>
      <w:r w:rsidRPr="00CA6CC5">
        <w:rPr>
          <w:rFonts w:ascii="Arial" w:hAnsi="Arial" w:cs="Arial"/>
          <w:sz w:val="24"/>
          <w:szCs w:val="24"/>
        </w:rPr>
        <w:t>, 2023; Slow Food, 2025).</w:t>
      </w:r>
    </w:p>
    <w:p w14:paraId="4F656EA2"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One of the primary drivers of the crisis is burnout, defined as prolonged physical and emotional exhaustion resulting from chronic workplace stress. Burnout is particularly prevalent among chefs and kitchen staff, who often work consecutive long shifts with limited breaks in high-pressure environments (The Burnt Chef Project, 2020). In hotel operations, front-of-house staff face continual demands from guests while managing multiple responsibilities simultaneously, which increases the likelihood of mental fatigue and emotional strain (Cambridge University, 2023). Research suggests that burnout not only diminishes personal well-being but also negatively impacts job performance, leading to errors, absenteeism, and higher turnover rates (</w:t>
      </w:r>
      <w:proofErr w:type="spellStart"/>
      <w:r w:rsidRPr="00CA6CC5">
        <w:rPr>
          <w:rFonts w:ascii="Arial" w:hAnsi="Arial" w:cs="Arial"/>
          <w:sz w:val="24"/>
          <w:szCs w:val="24"/>
        </w:rPr>
        <w:t>Vittiglio</w:t>
      </w:r>
      <w:proofErr w:type="spellEnd"/>
      <w:r w:rsidRPr="00CA6CC5">
        <w:rPr>
          <w:rFonts w:ascii="Arial" w:hAnsi="Arial" w:cs="Arial"/>
          <w:sz w:val="24"/>
          <w:szCs w:val="24"/>
        </w:rPr>
        <w:t>, 2024).</w:t>
      </w:r>
    </w:p>
    <w:p w14:paraId="01522156"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b/>
          <w:bCs/>
          <w:sz w:val="24"/>
          <w:szCs w:val="24"/>
        </w:rPr>
        <w:t>Poor work-life balance</w:t>
      </w:r>
      <w:r w:rsidRPr="00CA6CC5">
        <w:rPr>
          <w:rFonts w:ascii="Arial" w:hAnsi="Arial" w:cs="Arial"/>
          <w:sz w:val="24"/>
          <w:szCs w:val="24"/>
        </w:rPr>
        <w:t xml:space="preserve"> is another significant problem. Hospitality employees frequently report irregular schedules and late-night or weekend shifts, which disrupt social and family life, further intensifying stress and contributing to psychological distress (Mental Health Foundation, 2023). Low pay and job insecurity exacerbate these pressures, particularly for junior staff and those in the food &amp; beverage sector. Globally, wage-related stress has been shown to correlate with higher incidences of depression and anxiety among hospitality workers (</w:t>
      </w:r>
      <w:proofErr w:type="spellStart"/>
      <w:r w:rsidRPr="00CA6CC5">
        <w:rPr>
          <w:rFonts w:ascii="Arial" w:hAnsi="Arial" w:cs="Arial"/>
          <w:sz w:val="24"/>
          <w:szCs w:val="24"/>
        </w:rPr>
        <w:t>Gallantium</w:t>
      </w:r>
      <w:proofErr w:type="spellEnd"/>
      <w:r w:rsidRPr="00CA6CC5">
        <w:rPr>
          <w:rFonts w:ascii="Arial" w:hAnsi="Arial" w:cs="Arial"/>
          <w:sz w:val="24"/>
          <w:szCs w:val="24"/>
        </w:rPr>
        <w:t>, 2023).</w:t>
      </w:r>
    </w:p>
    <w:p w14:paraId="46D5839C"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 xml:space="preserve">The sector also struggles with stigma and lack of organisational support. Many employees feel unable to disclose mental health issues for fear of judgement or negative career consequences (The Burnt Chef Project, 2020). This culture of silence </w:t>
      </w:r>
      <w:r w:rsidRPr="00CA6CC5">
        <w:rPr>
          <w:rFonts w:ascii="Arial" w:hAnsi="Arial" w:cs="Arial"/>
          <w:sz w:val="24"/>
          <w:szCs w:val="24"/>
        </w:rPr>
        <w:lastRenderedPageBreak/>
        <w:t>prevents early intervention, allowing problems to escalate. In the UK, a study found that 60% of hospitality employees experiencing mental health issues did not access support services due to fear of stigma, highlighting a significant gap in organisational care (Hospitality Action, 2024).</w:t>
      </w:r>
    </w:p>
    <w:p w14:paraId="0826C753"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In addition, bullying, harassment, and high workplace demands further compound mental health challenges. Employees frequently navigate aggressive guest behaviour and high-performance expectations without sufficient managerial support (Slow Food, 2025). Globally, these structural and cultural issues are consistent across countries, suggesting that the mental health crisis in hospitality is not merely a local problem but a systemic industry-wide concern (</w:t>
      </w:r>
      <w:proofErr w:type="spellStart"/>
      <w:r w:rsidRPr="00CA6CC5">
        <w:rPr>
          <w:rFonts w:ascii="Arial" w:hAnsi="Arial" w:cs="Arial"/>
          <w:sz w:val="24"/>
          <w:szCs w:val="24"/>
        </w:rPr>
        <w:t>Vittiglio</w:t>
      </w:r>
      <w:proofErr w:type="spellEnd"/>
      <w:r w:rsidRPr="00CA6CC5">
        <w:rPr>
          <w:rFonts w:ascii="Arial" w:hAnsi="Arial" w:cs="Arial"/>
          <w:sz w:val="24"/>
          <w:szCs w:val="24"/>
        </w:rPr>
        <w:t>, 2024).</w:t>
      </w:r>
    </w:p>
    <w:p w14:paraId="52B97D50"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Collectively, these factors illustrate the multifaceted nature of the mental health crisis in hospitality. Employees are exposed to prolonged stress, limited support, and cultural barriers that amplify psychological strain, leading to burnout, high turnover, and diminished operational efficiency. Addressing these problems requires both organisational interventions and industry-wide reforms to protect workforce well-being and ensure sustainable business practices (Mental Health Foundation, 2023).</w:t>
      </w:r>
    </w:p>
    <w:p w14:paraId="6FD958ED" w14:textId="77777777" w:rsidR="00CA6CC5" w:rsidRPr="00CA6CC5" w:rsidRDefault="00CA6CC5" w:rsidP="00FF5345">
      <w:pPr>
        <w:spacing w:line="360" w:lineRule="auto"/>
        <w:jc w:val="both"/>
        <w:rPr>
          <w:rFonts w:ascii="Arial" w:hAnsi="Arial" w:cs="Arial"/>
          <w:b/>
          <w:bCs/>
          <w:sz w:val="24"/>
          <w:szCs w:val="24"/>
        </w:rPr>
      </w:pPr>
      <w:r w:rsidRPr="00CA6CC5">
        <w:rPr>
          <w:rFonts w:ascii="Arial" w:hAnsi="Arial" w:cs="Arial"/>
          <w:b/>
          <w:bCs/>
          <w:sz w:val="24"/>
          <w:szCs w:val="24"/>
        </w:rPr>
        <w:t>E – Evidence: Current Data on Mental Health in Hospitality</w:t>
      </w:r>
    </w:p>
    <w:p w14:paraId="00356DC5"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The prevalence of mental health issues in the hospitality sector is increasingly well-documented. In the United Kingdom, the Hospitality Action “Taking the Temperature 2024” survey revealed that 76% of hospitality employees have experienced a mental health problem at some stage in their career, with 47% reporting that stress and burnout directly contributed to absenteeism or consideration of leaving their role (Hospitality Action, 2024). This aligns with findings from the Mental Health Foundation (2023), which reported that workers in hospitality experience elevated levels of anxiety and depression compared with employees in other service industries, largely due to long working hours, high-pressure environments, and irregular schedules.</w:t>
      </w:r>
    </w:p>
    <w:p w14:paraId="1CC0C0D0"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Globally, the situation mirrors the UK experience. A 2023 European Hospitality Mental Health study found that over 70% of hospitality employees in France, Germany, and Spain reported experiencing work-related stress, with a significant proportion identifying long hours, low wages, and job insecurity as primary contributors (</w:t>
      </w:r>
      <w:proofErr w:type="spellStart"/>
      <w:r w:rsidRPr="00CA6CC5">
        <w:rPr>
          <w:rFonts w:ascii="Arial" w:hAnsi="Arial" w:cs="Arial"/>
          <w:sz w:val="24"/>
          <w:szCs w:val="24"/>
        </w:rPr>
        <w:t>Gallantium</w:t>
      </w:r>
      <w:proofErr w:type="spellEnd"/>
      <w:r w:rsidRPr="00CA6CC5">
        <w:rPr>
          <w:rFonts w:ascii="Arial" w:hAnsi="Arial" w:cs="Arial"/>
          <w:sz w:val="24"/>
          <w:szCs w:val="24"/>
        </w:rPr>
        <w:t xml:space="preserve">, 2023). In North America, research indicates that food &amp; beverage professionals, particularly chefs and kitchen staff, report one of the highest burnout </w:t>
      </w:r>
      <w:r w:rsidRPr="00CA6CC5">
        <w:rPr>
          <w:rFonts w:ascii="Arial" w:hAnsi="Arial" w:cs="Arial"/>
          <w:sz w:val="24"/>
          <w:szCs w:val="24"/>
        </w:rPr>
        <w:lastRenderedPageBreak/>
        <w:t>rates among service sectors, with emotional exhaustion and job dissatisfaction being prevalent (</w:t>
      </w:r>
      <w:proofErr w:type="spellStart"/>
      <w:r w:rsidRPr="00CA6CC5">
        <w:rPr>
          <w:rFonts w:ascii="Arial" w:hAnsi="Arial" w:cs="Arial"/>
          <w:sz w:val="24"/>
          <w:szCs w:val="24"/>
        </w:rPr>
        <w:t>Vittiglio</w:t>
      </w:r>
      <w:proofErr w:type="spellEnd"/>
      <w:r w:rsidRPr="00CA6CC5">
        <w:rPr>
          <w:rFonts w:ascii="Arial" w:hAnsi="Arial" w:cs="Arial"/>
          <w:sz w:val="24"/>
          <w:szCs w:val="24"/>
        </w:rPr>
        <w:t>, 2024). These findings suggest that the mental health crisis in hospitality is a global issue, not confined to the UK, and that structural and cultural factors within the industry are key drivers.</w:t>
      </w:r>
    </w:p>
    <w:p w14:paraId="29B19F6B"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The food &amp; beverage sector is particularly vulnerable. The Burnt Chef Project (2020) survey indicated that 80% of chefs and kitchen staff had experienced at least one mental health issue, including depression, anxiety, or stress-related disorders, often exacerbated by workplace culture, long hours, and inconsistent breaks. While the Burnt Chef Project is UK-focused, its findings are representative of wider trends across international culinary environments, highlighting systemic industry pressures.</w:t>
      </w:r>
    </w:p>
    <w:p w14:paraId="1E3D820C"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Evidence also indicates a lack of organisational support as a key contributor. Hospitality Action (2024) found that 60% of UK hospitality workers experiencing mental health difficulties did not seek help due to stigma or fear of negative repercussions. Similar patterns are observed internationally, with employees reporting that managerial support and access to counselling services remain inconsistent across hotels, restaurants, and event venues (Slow Food, 2025). This evidence underlines the need for robust workplace policies and supportive cultures that address both prevention and early intervention.</w:t>
      </w:r>
    </w:p>
    <w:p w14:paraId="38B2C659"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Finally, economic pressures on the industry further exacerbate mental health challenges. Rising costs, tight staffing, and high customer expectations contribute to a stressful environment for employees. A UK report highlighted that hospitality workers experiencing high workload pressures were 35% more likely to report mental health problems than those in less demanding sectors (Unilever Food Solutions, 2024). Globally, workforce shortages have intensified these pressures, resulting in longer shifts, reduced breaks, and increased burnout across both hotels and food &amp; beverage operations.</w:t>
      </w:r>
    </w:p>
    <w:p w14:paraId="3D7022D1"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Collectively, these data points provide compelling evidence that mental health challenges in hospitality are both widespread and systemic, affecting employee well-being, operational efficiency, and retention. They also indicate that both cultural and structural interventions are needed to address these issues, which will be explored in the subsequent analysis section.</w:t>
      </w:r>
    </w:p>
    <w:p w14:paraId="1A9F3B6B" w14:textId="77777777" w:rsidR="00CA6CC5" w:rsidRPr="00FF5345" w:rsidRDefault="00CA6CC5" w:rsidP="00FF5345">
      <w:pPr>
        <w:spacing w:line="360" w:lineRule="auto"/>
        <w:jc w:val="both"/>
        <w:rPr>
          <w:rFonts w:ascii="Arial" w:hAnsi="Arial" w:cs="Arial"/>
          <w:sz w:val="24"/>
          <w:szCs w:val="24"/>
        </w:rPr>
      </w:pPr>
    </w:p>
    <w:p w14:paraId="26B1AF73" w14:textId="77777777" w:rsidR="00CA6CC5" w:rsidRPr="00CA6CC5" w:rsidRDefault="00CA6CC5" w:rsidP="00FF5345">
      <w:pPr>
        <w:spacing w:line="360" w:lineRule="auto"/>
        <w:jc w:val="both"/>
        <w:rPr>
          <w:rFonts w:ascii="Arial" w:hAnsi="Arial" w:cs="Arial"/>
          <w:b/>
          <w:bCs/>
          <w:sz w:val="24"/>
          <w:szCs w:val="24"/>
        </w:rPr>
      </w:pPr>
      <w:r w:rsidRPr="00CA6CC5">
        <w:rPr>
          <w:rFonts w:ascii="Arial" w:hAnsi="Arial" w:cs="Arial"/>
          <w:b/>
          <w:bCs/>
          <w:sz w:val="24"/>
          <w:szCs w:val="24"/>
        </w:rPr>
        <w:lastRenderedPageBreak/>
        <w:t>A – Analysis: Structural and Cultural Drivers of Mental Health Challenges</w:t>
      </w:r>
    </w:p>
    <w:p w14:paraId="09A48A59"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The persistence of mental health challenges in hospitality is rooted in a complex interplay of structural, cultural, and economic factors. Structurally, the industry is characterised by high job demands and low control, which aligns with the Job Demands–Resources (JD-R) Model, suggesting that excessive demands without adequate resources lead to burnout and psychological strain (Bakker &amp; Demerouti, 2023). In hotels, front-of-house staff must manage multiple tasks simultaneously, from guest relations to administrative duties, often with insufficient support or training, which intensifies stress and increases vulnerability to mental health problems (</w:t>
      </w:r>
      <w:proofErr w:type="spellStart"/>
      <w:r w:rsidRPr="00CA6CC5">
        <w:rPr>
          <w:rFonts w:ascii="Arial" w:hAnsi="Arial" w:cs="Arial"/>
          <w:sz w:val="24"/>
          <w:szCs w:val="24"/>
        </w:rPr>
        <w:t>Vittiglio</w:t>
      </w:r>
      <w:proofErr w:type="spellEnd"/>
      <w:r w:rsidRPr="00CA6CC5">
        <w:rPr>
          <w:rFonts w:ascii="Arial" w:hAnsi="Arial" w:cs="Arial"/>
          <w:sz w:val="24"/>
          <w:szCs w:val="24"/>
        </w:rPr>
        <w:t>, 2024). Similarly, food &amp; beverage staff, particularly chefs and kitchen personnel, face prolonged periods of intense physical and emotional labour, reinforcing a culture where overwork is normalized and burnout becomes inevitable (The Burnt Chef Project, 2020).</w:t>
      </w:r>
    </w:p>
    <w:p w14:paraId="085C3B52"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Culturally, hospitality organisations often perpetuate a “service-first” mentality that prioritises customer satisfaction above employee well-being. This cultural norm discourages workers from voicing concerns about mental health, creating stigma and isolation (Mental Health Foundation, 2023). In the UK, 60% of hospitality employees experiencing mental health challenges reported avoiding support services due to fear of judgement, while internationally, similar patterns of silence and stigma persist in Europe, North America, and Asia (</w:t>
      </w:r>
      <w:proofErr w:type="spellStart"/>
      <w:r w:rsidRPr="00CA6CC5">
        <w:rPr>
          <w:rFonts w:ascii="Arial" w:hAnsi="Arial" w:cs="Arial"/>
          <w:sz w:val="24"/>
          <w:szCs w:val="24"/>
        </w:rPr>
        <w:t>Gallantium</w:t>
      </w:r>
      <w:proofErr w:type="spellEnd"/>
      <w:r w:rsidRPr="00CA6CC5">
        <w:rPr>
          <w:rFonts w:ascii="Arial" w:hAnsi="Arial" w:cs="Arial"/>
          <w:sz w:val="24"/>
          <w:szCs w:val="24"/>
        </w:rPr>
        <w:t>, 2023). This cultural barrier demonstrates that mental health challenges are not solely individual issues but embedded within organisational and societal attitudes.</w:t>
      </w:r>
    </w:p>
    <w:p w14:paraId="555C7B1A"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Economic factors further exacerbate these challenges. The hospitality sector frequently operates under tight margins, particularly in hotels and restaurants, limiting the resources available for mental health interventions. Low wages, precarious contracts, and understaffing increase stress and reduce employees’ ability to engage in restorative activities outside work (Unilever Food Solutions, 2024). Globally, workforce shortages have intensified pressure on remaining staff, leading to longer shifts, fewer breaks, and a higher likelihood of burnout, demonstrating that economic and structural conditions interact to sustain the crisis (Slow Food, 2025).</w:t>
      </w:r>
    </w:p>
    <w:p w14:paraId="57EB64C4"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 xml:space="preserve">Comparing the UK to global trends reveals both commonalities and differences. While high-pressure environments, long hours, and stigma are consistent globally, UK </w:t>
      </w:r>
      <w:r w:rsidRPr="00CA6CC5">
        <w:rPr>
          <w:rFonts w:ascii="Arial" w:hAnsi="Arial" w:cs="Arial"/>
          <w:sz w:val="24"/>
          <w:szCs w:val="24"/>
        </w:rPr>
        <w:lastRenderedPageBreak/>
        <w:t>hospitality workers often face additional challenges related to post-pandemic recovery, including staff shortages and intensified workloads, which exacerbate mental health risks (Hospitality Action, 2024). In contrast, some European countries have implemented stronger employee support frameworks, including mandatory mental health training and accessible counselling, highlighting opportunities for UK industry adoption.</w:t>
      </w:r>
    </w:p>
    <w:p w14:paraId="7C85A89D"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Finally, the lack of psychological safety within many hospitality workplaces contributes to the problem. Employees who perceive their environment as unsafe to express mental health concerns are more likely to experience chronic stress, absenteeism, and reduced engagement (Edmondson, 2023). Addressing cultural norms, implementing managerial training, and providing structured support are essential to mitigating these structural and cultural drivers.</w:t>
      </w:r>
    </w:p>
    <w:p w14:paraId="2EA28114"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Collectively, the analysis demonstrates that mental health challenges in hospitality are systemic, influenced by structural job demands, cultural stigma, economic pressures, and insufficient organisational support. Sustainable improvement requires interventions at multiple levels, from organisational policy to industry-wide cultural change (</w:t>
      </w:r>
      <w:proofErr w:type="spellStart"/>
      <w:r w:rsidRPr="00CA6CC5">
        <w:rPr>
          <w:rFonts w:ascii="Arial" w:hAnsi="Arial" w:cs="Arial"/>
          <w:sz w:val="24"/>
          <w:szCs w:val="24"/>
        </w:rPr>
        <w:t>Vittiglio</w:t>
      </w:r>
      <w:proofErr w:type="spellEnd"/>
      <w:r w:rsidRPr="00CA6CC5">
        <w:rPr>
          <w:rFonts w:ascii="Arial" w:hAnsi="Arial" w:cs="Arial"/>
          <w:sz w:val="24"/>
          <w:szCs w:val="24"/>
        </w:rPr>
        <w:t>, 2024; Mental Health Foundation, 2023).</w:t>
      </w:r>
    </w:p>
    <w:p w14:paraId="6215CB06" w14:textId="77777777" w:rsidR="00CA6CC5" w:rsidRPr="00FF5345" w:rsidRDefault="00CA6CC5" w:rsidP="00FF5345">
      <w:pPr>
        <w:spacing w:line="360" w:lineRule="auto"/>
        <w:jc w:val="both"/>
        <w:rPr>
          <w:rFonts w:ascii="Arial" w:hAnsi="Arial" w:cs="Arial"/>
          <w:sz w:val="24"/>
          <w:szCs w:val="24"/>
        </w:rPr>
      </w:pPr>
    </w:p>
    <w:p w14:paraId="1B7DCB78" w14:textId="77777777" w:rsidR="00CA6CC5" w:rsidRPr="00FF5345" w:rsidRDefault="00CA6CC5" w:rsidP="00FF5345">
      <w:pPr>
        <w:spacing w:line="360" w:lineRule="auto"/>
        <w:jc w:val="both"/>
        <w:rPr>
          <w:rFonts w:ascii="Arial" w:hAnsi="Arial" w:cs="Arial"/>
          <w:sz w:val="24"/>
          <w:szCs w:val="24"/>
        </w:rPr>
      </w:pPr>
    </w:p>
    <w:p w14:paraId="74E2F26B" w14:textId="77777777" w:rsidR="00CA6CC5" w:rsidRPr="00CA6CC5" w:rsidRDefault="00CA6CC5" w:rsidP="00FF5345">
      <w:pPr>
        <w:spacing w:line="360" w:lineRule="auto"/>
        <w:jc w:val="both"/>
        <w:rPr>
          <w:rFonts w:ascii="Arial" w:hAnsi="Arial" w:cs="Arial"/>
          <w:b/>
          <w:bCs/>
          <w:sz w:val="24"/>
          <w:szCs w:val="24"/>
        </w:rPr>
      </w:pPr>
      <w:r w:rsidRPr="00CA6CC5">
        <w:rPr>
          <w:rFonts w:ascii="Arial" w:hAnsi="Arial" w:cs="Arial"/>
          <w:b/>
          <w:bCs/>
          <w:sz w:val="24"/>
          <w:szCs w:val="24"/>
        </w:rPr>
        <w:t>S – Solutions: Strategies to Address Mental Health Challenges</w:t>
      </w:r>
    </w:p>
    <w:p w14:paraId="417AF2EC" w14:textId="77777777" w:rsidR="00CA6CC5" w:rsidRDefault="00CA6CC5" w:rsidP="00FF5345">
      <w:pPr>
        <w:spacing w:line="360" w:lineRule="auto"/>
        <w:jc w:val="both"/>
        <w:rPr>
          <w:rFonts w:ascii="Arial" w:hAnsi="Arial" w:cs="Arial"/>
          <w:sz w:val="24"/>
          <w:szCs w:val="24"/>
        </w:rPr>
      </w:pPr>
      <w:r w:rsidRPr="00CA6CC5">
        <w:rPr>
          <w:rFonts w:ascii="Arial" w:hAnsi="Arial" w:cs="Arial"/>
          <w:sz w:val="24"/>
          <w:szCs w:val="24"/>
        </w:rPr>
        <w:t>Addressing the mental health crisis in hospitality requires coordinated interventions at organisational and industry levels. Short-term solutions focus on immediate employee support, while long-term strategies aim to embed sustainable cultural and structural change.</w:t>
      </w:r>
    </w:p>
    <w:p w14:paraId="03617995" w14:textId="77777777" w:rsidR="00F96767" w:rsidRPr="00CA6CC5" w:rsidRDefault="00F96767" w:rsidP="00FF5345">
      <w:pPr>
        <w:spacing w:line="360" w:lineRule="auto"/>
        <w:jc w:val="both"/>
        <w:rPr>
          <w:rFonts w:ascii="Arial" w:hAnsi="Arial" w:cs="Arial"/>
          <w:sz w:val="24"/>
          <w:szCs w:val="24"/>
        </w:rPr>
      </w:pPr>
    </w:p>
    <w:p w14:paraId="71D29976" w14:textId="77777777" w:rsidR="00F96767" w:rsidRDefault="00CA6CC5" w:rsidP="00715052">
      <w:pPr>
        <w:spacing w:line="360" w:lineRule="auto"/>
        <w:jc w:val="both"/>
        <w:rPr>
          <w:rFonts w:ascii="Arial" w:hAnsi="Arial" w:cs="Arial"/>
          <w:b/>
          <w:bCs/>
          <w:sz w:val="24"/>
          <w:szCs w:val="24"/>
        </w:rPr>
      </w:pPr>
      <w:r w:rsidRPr="00CA6CC5">
        <w:rPr>
          <w:rFonts w:ascii="Arial" w:hAnsi="Arial" w:cs="Arial"/>
          <w:b/>
          <w:bCs/>
          <w:sz w:val="24"/>
          <w:szCs w:val="24"/>
        </w:rPr>
        <w:t>1.Employee Assistance Programs (EAPs) and Counselling Services</w:t>
      </w:r>
    </w:p>
    <w:p w14:paraId="24C631E9" w14:textId="7A802FC0" w:rsidR="00CA6CC5" w:rsidRDefault="00CA6CC5" w:rsidP="00715052">
      <w:pPr>
        <w:spacing w:line="360" w:lineRule="auto"/>
        <w:jc w:val="both"/>
        <w:rPr>
          <w:rFonts w:ascii="Arial" w:hAnsi="Arial" w:cs="Arial"/>
          <w:sz w:val="24"/>
          <w:szCs w:val="24"/>
        </w:rPr>
      </w:pPr>
      <w:r w:rsidRPr="00CA6CC5">
        <w:rPr>
          <w:rFonts w:ascii="Arial" w:hAnsi="Arial" w:cs="Arial"/>
          <w:sz w:val="24"/>
          <w:szCs w:val="24"/>
        </w:rPr>
        <w:t>One of the most direct interventions is the provision of confidential counselling and EAPs. These services allow employees to seek psychological support without fear of stigma or professional consequences. Evidence shows that organisations offering EAPs report reduced absenteeism and improved staff retention, particularly in high-</w:t>
      </w:r>
      <w:r w:rsidRPr="00CA6CC5">
        <w:rPr>
          <w:rFonts w:ascii="Arial" w:hAnsi="Arial" w:cs="Arial"/>
          <w:sz w:val="24"/>
          <w:szCs w:val="24"/>
        </w:rPr>
        <w:lastRenderedPageBreak/>
        <w:t>pressure hotel and food &amp; beverage roles (Mental Health Foundation, 2023; Slow Food, 2025). UK examples include leading hotel chains that have integrated EAP access alongside regular check-ins with HR and management.</w:t>
      </w:r>
    </w:p>
    <w:p w14:paraId="7B146BF8" w14:textId="77777777" w:rsidR="00F96767" w:rsidRPr="00CA6CC5" w:rsidRDefault="00F96767" w:rsidP="00715052">
      <w:pPr>
        <w:spacing w:line="360" w:lineRule="auto"/>
        <w:jc w:val="both"/>
        <w:rPr>
          <w:rFonts w:ascii="Arial" w:hAnsi="Arial" w:cs="Arial"/>
          <w:sz w:val="24"/>
          <w:szCs w:val="24"/>
        </w:rPr>
      </w:pPr>
    </w:p>
    <w:p w14:paraId="102BE7D1" w14:textId="77777777" w:rsidR="00F96767" w:rsidRDefault="00CA6CC5" w:rsidP="00FC3845">
      <w:pPr>
        <w:spacing w:line="360" w:lineRule="auto"/>
        <w:jc w:val="both"/>
        <w:rPr>
          <w:rFonts w:ascii="Arial" w:hAnsi="Arial" w:cs="Arial"/>
          <w:b/>
          <w:bCs/>
          <w:sz w:val="24"/>
          <w:szCs w:val="24"/>
        </w:rPr>
      </w:pPr>
      <w:r w:rsidRPr="00CA6CC5">
        <w:rPr>
          <w:rFonts w:ascii="Arial" w:hAnsi="Arial" w:cs="Arial"/>
          <w:b/>
          <w:bCs/>
          <w:sz w:val="24"/>
          <w:szCs w:val="24"/>
        </w:rPr>
        <w:t>2.Mental Health Training and Awareness Campaigns</w:t>
      </w:r>
    </w:p>
    <w:p w14:paraId="627579E1" w14:textId="597F0F70" w:rsidR="00CA6CC5" w:rsidRPr="00CA6CC5" w:rsidRDefault="00CA6CC5" w:rsidP="00FC3845">
      <w:pPr>
        <w:spacing w:line="360" w:lineRule="auto"/>
        <w:jc w:val="both"/>
        <w:rPr>
          <w:rFonts w:ascii="Arial" w:hAnsi="Arial" w:cs="Arial"/>
          <w:sz w:val="24"/>
          <w:szCs w:val="24"/>
        </w:rPr>
      </w:pPr>
      <w:r w:rsidRPr="00CA6CC5">
        <w:rPr>
          <w:rFonts w:ascii="Arial" w:hAnsi="Arial" w:cs="Arial"/>
          <w:sz w:val="24"/>
          <w:szCs w:val="24"/>
        </w:rPr>
        <w:t>Training managers and staff to recognise early signs of mental health issues is crucial. Programmes that incorporate awareness of stress, burnout, and resilience have been shown to foster a supportive workplace culture and reduce stigma (</w:t>
      </w:r>
      <w:proofErr w:type="spellStart"/>
      <w:r w:rsidRPr="00CA6CC5">
        <w:rPr>
          <w:rFonts w:ascii="Arial" w:hAnsi="Arial" w:cs="Arial"/>
          <w:sz w:val="24"/>
          <w:szCs w:val="24"/>
        </w:rPr>
        <w:t>Vittiglio</w:t>
      </w:r>
      <w:proofErr w:type="spellEnd"/>
      <w:r w:rsidRPr="00CA6CC5">
        <w:rPr>
          <w:rFonts w:ascii="Arial" w:hAnsi="Arial" w:cs="Arial"/>
          <w:sz w:val="24"/>
          <w:szCs w:val="24"/>
        </w:rPr>
        <w:t>, 2024). Globally, European hospitality firms have successfully implemented mandatory mental health workshops, demonstrating measurable reductions in staff stress levels and improved organisational climate (</w:t>
      </w:r>
      <w:proofErr w:type="spellStart"/>
      <w:r w:rsidRPr="00CA6CC5">
        <w:rPr>
          <w:rFonts w:ascii="Arial" w:hAnsi="Arial" w:cs="Arial"/>
          <w:sz w:val="24"/>
          <w:szCs w:val="24"/>
        </w:rPr>
        <w:t>Gallantium</w:t>
      </w:r>
      <w:proofErr w:type="spellEnd"/>
      <w:r w:rsidRPr="00CA6CC5">
        <w:rPr>
          <w:rFonts w:ascii="Arial" w:hAnsi="Arial" w:cs="Arial"/>
          <w:sz w:val="24"/>
          <w:szCs w:val="24"/>
        </w:rPr>
        <w:t>, 2023). In the UK, similar initiatives can be integrated into onboarding and ongoing professional development.</w:t>
      </w:r>
    </w:p>
    <w:p w14:paraId="0B47E49B" w14:textId="77777777" w:rsidR="00F96767" w:rsidRDefault="00CA6CC5" w:rsidP="00501C8B">
      <w:pPr>
        <w:spacing w:line="360" w:lineRule="auto"/>
        <w:jc w:val="both"/>
        <w:rPr>
          <w:rFonts w:ascii="Arial" w:hAnsi="Arial" w:cs="Arial"/>
          <w:b/>
          <w:bCs/>
          <w:sz w:val="24"/>
          <w:szCs w:val="24"/>
        </w:rPr>
      </w:pPr>
      <w:r w:rsidRPr="00CA6CC5">
        <w:rPr>
          <w:rFonts w:ascii="Arial" w:hAnsi="Arial" w:cs="Arial"/>
          <w:b/>
          <w:bCs/>
          <w:sz w:val="24"/>
          <w:szCs w:val="24"/>
        </w:rPr>
        <w:t>3.Flexible Work Practices and Work-Life Balance Initiatives</w:t>
      </w:r>
    </w:p>
    <w:p w14:paraId="4FD19C75" w14:textId="6019C634" w:rsidR="00CA6CC5" w:rsidRPr="00CA6CC5" w:rsidRDefault="00CA6CC5" w:rsidP="00501C8B">
      <w:pPr>
        <w:spacing w:line="360" w:lineRule="auto"/>
        <w:jc w:val="both"/>
        <w:rPr>
          <w:rFonts w:ascii="Arial" w:hAnsi="Arial" w:cs="Arial"/>
          <w:sz w:val="24"/>
          <w:szCs w:val="24"/>
        </w:rPr>
      </w:pPr>
      <w:r w:rsidRPr="00CA6CC5">
        <w:rPr>
          <w:rFonts w:ascii="Arial" w:hAnsi="Arial" w:cs="Arial"/>
          <w:sz w:val="24"/>
          <w:szCs w:val="24"/>
        </w:rPr>
        <w:t>Adjusting shift patterns, providing adequate breaks, and enabling flexible scheduling are practical solutions to reduce burnout. Evidence from UK hotels indicates that staff with improved work-life balance experience lower stress and higher job satisfaction (Hospitality Action, 2024). Internationally, hotel groups that implement job rotation and predictable schedules report significant reductions in employee turnover, indicating a scalable model for broader adoption.</w:t>
      </w:r>
    </w:p>
    <w:p w14:paraId="3A50803D" w14:textId="77777777" w:rsidR="00F96767" w:rsidRDefault="00CA6CC5" w:rsidP="00501C8B">
      <w:pPr>
        <w:spacing w:line="360" w:lineRule="auto"/>
        <w:jc w:val="both"/>
        <w:rPr>
          <w:rFonts w:ascii="Arial" w:hAnsi="Arial" w:cs="Arial"/>
          <w:b/>
          <w:bCs/>
          <w:sz w:val="24"/>
          <w:szCs w:val="24"/>
        </w:rPr>
      </w:pPr>
      <w:r w:rsidRPr="00CA6CC5">
        <w:rPr>
          <w:rFonts w:ascii="Arial" w:hAnsi="Arial" w:cs="Arial"/>
          <w:b/>
          <w:bCs/>
          <w:sz w:val="24"/>
          <w:szCs w:val="24"/>
        </w:rPr>
        <w:t>4.Organisational Culture Change and Psychological Safety</w:t>
      </w:r>
    </w:p>
    <w:p w14:paraId="376C07AD" w14:textId="3D54887D" w:rsidR="00CA6CC5" w:rsidRPr="00CA6CC5" w:rsidRDefault="00CA6CC5" w:rsidP="00501C8B">
      <w:pPr>
        <w:spacing w:line="360" w:lineRule="auto"/>
        <w:jc w:val="both"/>
        <w:rPr>
          <w:rFonts w:ascii="Arial" w:hAnsi="Arial" w:cs="Arial"/>
          <w:sz w:val="24"/>
          <w:szCs w:val="24"/>
        </w:rPr>
      </w:pPr>
      <w:r w:rsidRPr="00CA6CC5">
        <w:rPr>
          <w:rFonts w:ascii="Arial" w:hAnsi="Arial" w:cs="Arial"/>
          <w:sz w:val="24"/>
          <w:szCs w:val="24"/>
        </w:rPr>
        <w:t>Creating an environment where employees feel safe to discuss mental health is essential. Leaders must actively challenge stigma, encourage open dialogue, and model healthy workplace behaviours. Psychological safety frameworks, rooted in organisational psychology, have proven effective in hospitality and other service industries, enabling staff to communicate concerns without fear of repercussion (Edmondson, 2023).</w:t>
      </w:r>
    </w:p>
    <w:p w14:paraId="2EB36391" w14:textId="77777777" w:rsidR="00F96767" w:rsidRDefault="00CA6CC5" w:rsidP="00501C8B">
      <w:pPr>
        <w:spacing w:line="360" w:lineRule="auto"/>
        <w:jc w:val="both"/>
        <w:rPr>
          <w:rFonts w:ascii="Arial" w:hAnsi="Arial" w:cs="Arial"/>
          <w:b/>
          <w:bCs/>
          <w:sz w:val="24"/>
          <w:szCs w:val="24"/>
        </w:rPr>
      </w:pPr>
      <w:r w:rsidRPr="00CA6CC5">
        <w:rPr>
          <w:rFonts w:ascii="Arial" w:hAnsi="Arial" w:cs="Arial"/>
          <w:b/>
          <w:bCs/>
          <w:sz w:val="24"/>
          <w:szCs w:val="24"/>
        </w:rPr>
        <w:t>5.Industry-Wide</w:t>
      </w:r>
      <w:r w:rsidR="00FC3845">
        <w:rPr>
          <w:rFonts w:ascii="Arial" w:hAnsi="Arial" w:cs="Arial"/>
          <w:b/>
          <w:bCs/>
          <w:sz w:val="24"/>
          <w:szCs w:val="24"/>
        </w:rPr>
        <w:t xml:space="preserve"> </w:t>
      </w:r>
      <w:r w:rsidRPr="00CA6CC5">
        <w:rPr>
          <w:rFonts w:ascii="Arial" w:hAnsi="Arial" w:cs="Arial"/>
          <w:b/>
          <w:bCs/>
          <w:sz w:val="24"/>
          <w:szCs w:val="24"/>
        </w:rPr>
        <w:t>Collaboration and Policy Support</w:t>
      </w:r>
    </w:p>
    <w:p w14:paraId="466F4327" w14:textId="32FF8E10" w:rsidR="00CA6CC5" w:rsidRPr="00CA6CC5" w:rsidRDefault="00CA6CC5" w:rsidP="00501C8B">
      <w:pPr>
        <w:spacing w:line="360" w:lineRule="auto"/>
        <w:jc w:val="both"/>
        <w:rPr>
          <w:rFonts w:ascii="Arial" w:hAnsi="Arial" w:cs="Arial"/>
          <w:sz w:val="24"/>
          <w:szCs w:val="24"/>
        </w:rPr>
      </w:pPr>
      <w:r w:rsidRPr="00CA6CC5">
        <w:rPr>
          <w:rFonts w:ascii="Arial" w:hAnsi="Arial" w:cs="Arial"/>
          <w:sz w:val="24"/>
          <w:szCs w:val="24"/>
        </w:rPr>
        <w:t xml:space="preserve">Beyond individual organisations, industry bodies and professional associations can drive systemic change. Initiatives such as The Burnt Chef Project highlight the importance of industry-led advocacy, awareness campaigns, and resource provision </w:t>
      </w:r>
      <w:r w:rsidRPr="00CA6CC5">
        <w:rPr>
          <w:rFonts w:ascii="Arial" w:hAnsi="Arial" w:cs="Arial"/>
          <w:sz w:val="24"/>
          <w:szCs w:val="24"/>
        </w:rPr>
        <w:lastRenderedPageBreak/>
        <w:t>for mental health (The Burnt Chef Project, 2020). Government policies supporting mental health in the workplace, alongside partnerships with mental health charities, can provide additional support, particularly for smaller hotels and restaurants that may lack internal resources.</w:t>
      </w:r>
    </w:p>
    <w:p w14:paraId="5B4F9BCC" w14:textId="77777777" w:rsidR="00F96767" w:rsidRDefault="00CA6CC5" w:rsidP="00501C8B">
      <w:pPr>
        <w:spacing w:line="360" w:lineRule="auto"/>
        <w:jc w:val="both"/>
        <w:rPr>
          <w:rFonts w:ascii="Arial" w:hAnsi="Arial" w:cs="Arial"/>
          <w:b/>
          <w:bCs/>
          <w:sz w:val="24"/>
          <w:szCs w:val="24"/>
        </w:rPr>
      </w:pPr>
      <w:r w:rsidRPr="00CA6CC5">
        <w:rPr>
          <w:rFonts w:ascii="Arial" w:hAnsi="Arial" w:cs="Arial"/>
          <w:b/>
          <w:bCs/>
          <w:sz w:val="24"/>
          <w:szCs w:val="24"/>
        </w:rPr>
        <w:t>6.Technological Tools for Wellbeing</w:t>
      </w:r>
    </w:p>
    <w:p w14:paraId="356FF7B3" w14:textId="1818BC13" w:rsidR="00CA6CC5" w:rsidRPr="00CA6CC5" w:rsidRDefault="00CA6CC5" w:rsidP="00501C8B">
      <w:pPr>
        <w:spacing w:line="360" w:lineRule="auto"/>
        <w:jc w:val="both"/>
        <w:rPr>
          <w:rFonts w:ascii="Arial" w:hAnsi="Arial" w:cs="Arial"/>
          <w:sz w:val="24"/>
          <w:szCs w:val="24"/>
        </w:rPr>
      </w:pPr>
      <w:r w:rsidRPr="00CA6CC5">
        <w:rPr>
          <w:rFonts w:ascii="Arial" w:hAnsi="Arial" w:cs="Arial"/>
          <w:sz w:val="24"/>
          <w:szCs w:val="24"/>
        </w:rPr>
        <w:t>Digital interventions, such as mental health apps, online counselling, and employee monitoring platforms for stress, can supplement traditional support. While these should not replace human-led interventions, evidence indicates that tech-based tools increase accessibility and engagement, particularly among younger hospitality employees (Unilever Food Solutions, 2024).</w:t>
      </w:r>
    </w:p>
    <w:p w14:paraId="237E6146" w14:textId="77777777" w:rsidR="00CA6CC5" w:rsidRPr="00CA6CC5" w:rsidRDefault="00CA6CC5" w:rsidP="00501C8B">
      <w:pPr>
        <w:spacing w:line="360" w:lineRule="auto"/>
        <w:jc w:val="both"/>
        <w:rPr>
          <w:rFonts w:ascii="Arial" w:hAnsi="Arial" w:cs="Arial"/>
          <w:sz w:val="24"/>
          <w:szCs w:val="24"/>
        </w:rPr>
      </w:pPr>
      <w:r w:rsidRPr="00CA6CC5">
        <w:rPr>
          <w:rFonts w:ascii="Arial" w:hAnsi="Arial" w:cs="Arial"/>
          <w:sz w:val="24"/>
          <w:szCs w:val="24"/>
        </w:rPr>
        <w:t>In conclusion, a multifaceted approach combining immediate support, cultural change, flexible work practices, and industry collaboration is essential to mitigate the mental health crisis in hospitality. Short-term solutions protect employees today, while long-term strategies ensure systemic improvements that sustain workforce well-being and organisational performance (</w:t>
      </w:r>
      <w:proofErr w:type="spellStart"/>
      <w:r w:rsidRPr="00CA6CC5">
        <w:rPr>
          <w:rFonts w:ascii="Arial" w:hAnsi="Arial" w:cs="Arial"/>
          <w:sz w:val="24"/>
          <w:szCs w:val="24"/>
        </w:rPr>
        <w:t>Vittiglio</w:t>
      </w:r>
      <w:proofErr w:type="spellEnd"/>
      <w:r w:rsidRPr="00CA6CC5">
        <w:rPr>
          <w:rFonts w:ascii="Arial" w:hAnsi="Arial" w:cs="Arial"/>
          <w:sz w:val="24"/>
          <w:szCs w:val="24"/>
        </w:rPr>
        <w:t>, 2024; Mental Health Foundation, 2023).</w:t>
      </w:r>
    </w:p>
    <w:p w14:paraId="70D78BE9" w14:textId="77777777" w:rsidR="00CA6CC5" w:rsidRPr="00FF5345" w:rsidRDefault="00CA6CC5" w:rsidP="00FF5345">
      <w:pPr>
        <w:spacing w:line="360" w:lineRule="auto"/>
        <w:jc w:val="both"/>
        <w:rPr>
          <w:rFonts w:ascii="Arial" w:hAnsi="Arial" w:cs="Arial"/>
          <w:sz w:val="24"/>
          <w:szCs w:val="24"/>
        </w:rPr>
      </w:pPr>
    </w:p>
    <w:p w14:paraId="156DDEE6" w14:textId="77777777" w:rsidR="00CA6CC5" w:rsidRPr="00FF5345" w:rsidRDefault="00CA6CC5" w:rsidP="00FF5345">
      <w:pPr>
        <w:spacing w:line="360" w:lineRule="auto"/>
        <w:jc w:val="both"/>
        <w:rPr>
          <w:rFonts w:ascii="Arial" w:hAnsi="Arial" w:cs="Arial"/>
          <w:sz w:val="24"/>
          <w:szCs w:val="24"/>
        </w:rPr>
      </w:pPr>
    </w:p>
    <w:p w14:paraId="5C312C53" w14:textId="77777777" w:rsidR="00F439AB" w:rsidRDefault="00F439AB" w:rsidP="00FF5345">
      <w:pPr>
        <w:spacing w:line="360" w:lineRule="auto"/>
        <w:jc w:val="both"/>
        <w:rPr>
          <w:rFonts w:ascii="Arial" w:hAnsi="Arial" w:cs="Arial"/>
          <w:b/>
          <w:bCs/>
          <w:sz w:val="24"/>
          <w:szCs w:val="24"/>
        </w:rPr>
      </w:pPr>
    </w:p>
    <w:p w14:paraId="385E524D" w14:textId="77777777" w:rsidR="00F439AB" w:rsidRDefault="00F439AB" w:rsidP="00FF5345">
      <w:pPr>
        <w:spacing w:line="360" w:lineRule="auto"/>
        <w:jc w:val="both"/>
        <w:rPr>
          <w:rFonts w:ascii="Arial" w:hAnsi="Arial" w:cs="Arial"/>
          <w:b/>
          <w:bCs/>
          <w:sz w:val="24"/>
          <w:szCs w:val="24"/>
        </w:rPr>
      </w:pPr>
    </w:p>
    <w:p w14:paraId="212A9A94" w14:textId="77777777" w:rsidR="00F439AB" w:rsidRDefault="00F439AB" w:rsidP="00FF5345">
      <w:pPr>
        <w:spacing w:line="360" w:lineRule="auto"/>
        <w:jc w:val="both"/>
        <w:rPr>
          <w:rFonts w:ascii="Arial" w:hAnsi="Arial" w:cs="Arial"/>
          <w:b/>
          <w:bCs/>
          <w:sz w:val="24"/>
          <w:szCs w:val="24"/>
        </w:rPr>
      </w:pPr>
    </w:p>
    <w:p w14:paraId="094C97B0" w14:textId="77777777" w:rsidR="00F439AB" w:rsidRDefault="00F439AB" w:rsidP="00FF5345">
      <w:pPr>
        <w:spacing w:line="360" w:lineRule="auto"/>
        <w:jc w:val="both"/>
        <w:rPr>
          <w:rFonts w:ascii="Arial" w:hAnsi="Arial" w:cs="Arial"/>
          <w:b/>
          <w:bCs/>
          <w:sz w:val="24"/>
          <w:szCs w:val="24"/>
        </w:rPr>
      </w:pPr>
    </w:p>
    <w:p w14:paraId="49368DBA" w14:textId="77777777" w:rsidR="00F439AB" w:rsidRDefault="00F439AB" w:rsidP="00FF5345">
      <w:pPr>
        <w:spacing w:line="360" w:lineRule="auto"/>
        <w:jc w:val="both"/>
        <w:rPr>
          <w:rFonts w:ascii="Arial" w:hAnsi="Arial" w:cs="Arial"/>
          <w:b/>
          <w:bCs/>
          <w:sz w:val="24"/>
          <w:szCs w:val="24"/>
        </w:rPr>
      </w:pPr>
    </w:p>
    <w:p w14:paraId="7B56A047" w14:textId="77777777" w:rsidR="00F439AB" w:rsidRDefault="00F439AB" w:rsidP="00FF5345">
      <w:pPr>
        <w:spacing w:line="360" w:lineRule="auto"/>
        <w:jc w:val="both"/>
        <w:rPr>
          <w:rFonts w:ascii="Arial" w:hAnsi="Arial" w:cs="Arial"/>
          <w:b/>
          <w:bCs/>
          <w:sz w:val="24"/>
          <w:szCs w:val="24"/>
        </w:rPr>
      </w:pPr>
    </w:p>
    <w:p w14:paraId="1CE304A2" w14:textId="77777777" w:rsidR="00F439AB" w:rsidRDefault="00F439AB" w:rsidP="00FF5345">
      <w:pPr>
        <w:spacing w:line="360" w:lineRule="auto"/>
        <w:jc w:val="both"/>
        <w:rPr>
          <w:rFonts w:ascii="Arial" w:hAnsi="Arial" w:cs="Arial"/>
          <w:b/>
          <w:bCs/>
          <w:sz w:val="24"/>
          <w:szCs w:val="24"/>
        </w:rPr>
      </w:pPr>
    </w:p>
    <w:p w14:paraId="39747713" w14:textId="77777777" w:rsidR="00F439AB" w:rsidRDefault="00F439AB" w:rsidP="00FF5345">
      <w:pPr>
        <w:spacing w:line="360" w:lineRule="auto"/>
        <w:jc w:val="both"/>
        <w:rPr>
          <w:rFonts w:ascii="Arial" w:hAnsi="Arial" w:cs="Arial"/>
          <w:b/>
          <w:bCs/>
          <w:sz w:val="24"/>
          <w:szCs w:val="24"/>
        </w:rPr>
      </w:pPr>
    </w:p>
    <w:p w14:paraId="260B3E65" w14:textId="77777777" w:rsidR="00F439AB" w:rsidRDefault="00F439AB" w:rsidP="00FF5345">
      <w:pPr>
        <w:spacing w:line="360" w:lineRule="auto"/>
        <w:jc w:val="both"/>
        <w:rPr>
          <w:rFonts w:ascii="Arial" w:hAnsi="Arial" w:cs="Arial"/>
          <w:b/>
          <w:bCs/>
          <w:sz w:val="24"/>
          <w:szCs w:val="24"/>
        </w:rPr>
      </w:pPr>
    </w:p>
    <w:p w14:paraId="06E928A1" w14:textId="77777777" w:rsidR="00F439AB" w:rsidRDefault="00F439AB" w:rsidP="00FF5345">
      <w:pPr>
        <w:spacing w:line="360" w:lineRule="auto"/>
        <w:jc w:val="both"/>
        <w:rPr>
          <w:rFonts w:ascii="Arial" w:hAnsi="Arial" w:cs="Arial"/>
          <w:b/>
          <w:bCs/>
          <w:sz w:val="24"/>
          <w:szCs w:val="24"/>
        </w:rPr>
      </w:pPr>
    </w:p>
    <w:p w14:paraId="789B08ED" w14:textId="7B664B8B" w:rsidR="00CA6CC5" w:rsidRPr="00CA6CC5" w:rsidRDefault="00CA6CC5" w:rsidP="00FF5345">
      <w:pPr>
        <w:spacing w:line="360" w:lineRule="auto"/>
        <w:jc w:val="both"/>
        <w:rPr>
          <w:rFonts w:ascii="Arial" w:hAnsi="Arial" w:cs="Arial"/>
          <w:b/>
          <w:bCs/>
          <w:sz w:val="24"/>
          <w:szCs w:val="24"/>
        </w:rPr>
      </w:pPr>
      <w:r w:rsidRPr="00CA6CC5">
        <w:rPr>
          <w:rFonts w:ascii="Arial" w:hAnsi="Arial" w:cs="Arial"/>
          <w:b/>
          <w:bCs/>
          <w:sz w:val="24"/>
          <w:szCs w:val="24"/>
        </w:rPr>
        <w:lastRenderedPageBreak/>
        <w:t>Conclusion</w:t>
      </w:r>
    </w:p>
    <w:p w14:paraId="6EB26AA6"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The mental health crisis in hospitality is a complex, systemic challenge, shaped by structural, cultural, and economic factors. Hotels and food &amp; beverage operations, both in the UK and globally, expose employees to long hours, high-pressure workloads, and emotionally demanding roles that contribute to burnout, anxiety, and depression (</w:t>
      </w:r>
      <w:proofErr w:type="spellStart"/>
      <w:r w:rsidRPr="00CA6CC5">
        <w:rPr>
          <w:rFonts w:ascii="Arial" w:hAnsi="Arial" w:cs="Arial"/>
          <w:sz w:val="24"/>
          <w:szCs w:val="24"/>
        </w:rPr>
        <w:t>Vittiglio</w:t>
      </w:r>
      <w:proofErr w:type="spellEnd"/>
      <w:r w:rsidRPr="00CA6CC5">
        <w:rPr>
          <w:rFonts w:ascii="Arial" w:hAnsi="Arial" w:cs="Arial"/>
          <w:sz w:val="24"/>
          <w:szCs w:val="24"/>
        </w:rPr>
        <w:t>, 2024; Mental Health Foundation, 2023). Stigma, insufficient organisational support, and economic pressures exacerbate these challenges, making it difficult for workers to seek help. Evidence demonstrates that these issues are not limited to individual behaviour but are embedded in workplace culture and industry practices (</w:t>
      </w:r>
      <w:proofErr w:type="spellStart"/>
      <w:r w:rsidRPr="00CA6CC5">
        <w:rPr>
          <w:rFonts w:ascii="Arial" w:hAnsi="Arial" w:cs="Arial"/>
          <w:sz w:val="24"/>
          <w:szCs w:val="24"/>
        </w:rPr>
        <w:t>Gallantium</w:t>
      </w:r>
      <w:proofErr w:type="spellEnd"/>
      <w:r w:rsidRPr="00CA6CC5">
        <w:rPr>
          <w:rFonts w:ascii="Arial" w:hAnsi="Arial" w:cs="Arial"/>
          <w:sz w:val="24"/>
          <w:szCs w:val="24"/>
        </w:rPr>
        <w:t>, 2023). Addressing this crisis requires coordinated interventions that prioritise employee well-being, reduce stigma, and create psychologically safe work environments.</w:t>
      </w:r>
    </w:p>
    <w:p w14:paraId="4DB25A90"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pict w14:anchorId="1331CD3B">
          <v:rect id="_x0000_i1039" style="width:0;height:1.5pt" o:hralign="center" o:hrstd="t" o:hr="t" fillcolor="#a0a0a0" stroked="f"/>
        </w:pict>
      </w:r>
    </w:p>
    <w:p w14:paraId="3255F478" w14:textId="77777777" w:rsidR="00FC3845" w:rsidRDefault="00FC3845" w:rsidP="00FF5345">
      <w:pPr>
        <w:spacing w:line="360" w:lineRule="auto"/>
        <w:jc w:val="both"/>
        <w:rPr>
          <w:rFonts w:ascii="Arial" w:hAnsi="Arial" w:cs="Arial"/>
          <w:b/>
          <w:bCs/>
          <w:sz w:val="24"/>
          <w:szCs w:val="24"/>
        </w:rPr>
      </w:pPr>
    </w:p>
    <w:p w14:paraId="0CA12AC1" w14:textId="77777777" w:rsidR="00FC3845" w:rsidRDefault="00FC3845" w:rsidP="00FF5345">
      <w:pPr>
        <w:spacing w:line="360" w:lineRule="auto"/>
        <w:jc w:val="both"/>
        <w:rPr>
          <w:rFonts w:ascii="Arial" w:hAnsi="Arial" w:cs="Arial"/>
          <w:b/>
          <w:bCs/>
          <w:sz w:val="24"/>
          <w:szCs w:val="24"/>
        </w:rPr>
      </w:pPr>
    </w:p>
    <w:p w14:paraId="4580F9F2" w14:textId="77777777" w:rsidR="00F439AB" w:rsidRDefault="00F439AB" w:rsidP="00FF5345">
      <w:pPr>
        <w:spacing w:line="360" w:lineRule="auto"/>
        <w:jc w:val="both"/>
        <w:rPr>
          <w:rFonts w:ascii="Arial" w:hAnsi="Arial" w:cs="Arial"/>
          <w:b/>
          <w:bCs/>
          <w:sz w:val="24"/>
          <w:szCs w:val="24"/>
        </w:rPr>
      </w:pPr>
    </w:p>
    <w:p w14:paraId="5499281E" w14:textId="77777777" w:rsidR="00F439AB" w:rsidRDefault="00F439AB" w:rsidP="00FF5345">
      <w:pPr>
        <w:spacing w:line="360" w:lineRule="auto"/>
        <w:jc w:val="both"/>
        <w:rPr>
          <w:rFonts w:ascii="Arial" w:hAnsi="Arial" w:cs="Arial"/>
          <w:b/>
          <w:bCs/>
          <w:sz w:val="24"/>
          <w:szCs w:val="24"/>
        </w:rPr>
      </w:pPr>
    </w:p>
    <w:p w14:paraId="59689C8A" w14:textId="77777777" w:rsidR="00F439AB" w:rsidRDefault="00F439AB" w:rsidP="00FF5345">
      <w:pPr>
        <w:spacing w:line="360" w:lineRule="auto"/>
        <w:jc w:val="both"/>
        <w:rPr>
          <w:rFonts w:ascii="Arial" w:hAnsi="Arial" w:cs="Arial"/>
          <w:b/>
          <w:bCs/>
          <w:sz w:val="24"/>
          <w:szCs w:val="24"/>
        </w:rPr>
      </w:pPr>
    </w:p>
    <w:p w14:paraId="43C9BCD8" w14:textId="77777777" w:rsidR="00F439AB" w:rsidRDefault="00F439AB" w:rsidP="00FF5345">
      <w:pPr>
        <w:spacing w:line="360" w:lineRule="auto"/>
        <w:jc w:val="both"/>
        <w:rPr>
          <w:rFonts w:ascii="Arial" w:hAnsi="Arial" w:cs="Arial"/>
          <w:b/>
          <w:bCs/>
          <w:sz w:val="24"/>
          <w:szCs w:val="24"/>
        </w:rPr>
      </w:pPr>
    </w:p>
    <w:p w14:paraId="1CC78ABB" w14:textId="77777777" w:rsidR="00F439AB" w:rsidRDefault="00F439AB" w:rsidP="00FF5345">
      <w:pPr>
        <w:spacing w:line="360" w:lineRule="auto"/>
        <w:jc w:val="both"/>
        <w:rPr>
          <w:rFonts w:ascii="Arial" w:hAnsi="Arial" w:cs="Arial"/>
          <w:b/>
          <w:bCs/>
          <w:sz w:val="24"/>
          <w:szCs w:val="24"/>
        </w:rPr>
      </w:pPr>
    </w:p>
    <w:p w14:paraId="6369C2A2" w14:textId="77777777" w:rsidR="00F439AB" w:rsidRDefault="00F439AB" w:rsidP="00FF5345">
      <w:pPr>
        <w:spacing w:line="360" w:lineRule="auto"/>
        <w:jc w:val="both"/>
        <w:rPr>
          <w:rFonts w:ascii="Arial" w:hAnsi="Arial" w:cs="Arial"/>
          <w:b/>
          <w:bCs/>
          <w:sz w:val="24"/>
          <w:szCs w:val="24"/>
        </w:rPr>
      </w:pPr>
    </w:p>
    <w:p w14:paraId="5F617386" w14:textId="77777777" w:rsidR="00F439AB" w:rsidRDefault="00F439AB" w:rsidP="00FF5345">
      <w:pPr>
        <w:spacing w:line="360" w:lineRule="auto"/>
        <w:jc w:val="both"/>
        <w:rPr>
          <w:rFonts w:ascii="Arial" w:hAnsi="Arial" w:cs="Arial"/>
          <w:b/>
          <w:bCs/>
          <w:sz w:val="24"/>
          <w:szCs w:val="24"/>
        </w:rPr>
      </w:pPr>
    </w:p>
    <w:p w14:paraId="71A40256" w14:textId="77777777" w:rsidR="00193686" w:rsidRDefault="00193686" w:rsidP="00FF5345">
      <w:pPr>
        <w:spacing w:line="360" w:lineRule="auto"/>
        <w:jc w:val="both"/>
        <w:rPr>
          <w:rFonts w:ascii="Arial" w:hAnsi="Arial" w:cs="Arial"/>
          <w:b/>
          <w:bCs/>
          <w:sz w:val="24"/>
          <w:szCs w:val="24"/>
        </w:rPr>
      </w:pPr>
    </w:p>
    <w:p w14:paraId="031A628F" w14:textId="77777777" w:rsidR="005B3883" w:rsidRDefault="005B3883" w:rsidP="00FF5345">
      <w:pPr>
        <w:spacing w:line="360" w:lineRule="auto"/>
        <w:jc w:val="both"/>
        <w:rPr>
          <w:rFonts w:ascii="Arial" w:hAnsi="Arial" w:cs="Arial"/>
          <w:b/>
          <w:bCs/>
          <w:sz w:val="24"/>
          <w:szCs w:val="24"/>
        </w:rPr>
      </w:pPr>
    </w:p>
    <w:p w14:paraId="0FF89096" w14:textId="77777777" w:rsidR="005B3883" w:rsidRDefault="005B3883" w:rsidP="00FF5345">
      <w:pPr>
        <w:spacing w:line="360" w:lineRule="auto"/>
        <w:jc w:val="both"/>
        <w:rPr>
          <w:rFonts w:ascii="Arial" w:hAnsi="Arial" w:cs="Arial"/>
          <w:b/>
          <w:bCs/>
          <w:sz w:val="24"/>
          <w:szCs w:val="24"/>
        </w:rPr>
      </w:pPr>
    </w:p>
    <w:p w14:paraId="2B544DF3" w14:textId="77777777" w:rsidR="005B3883" w:rsidRDefault="005B3883" w:rsidP="00FF5345">
      <w:pPr>
        <w:spacing w:line="360" w:lineRule="auto"/>
        <w:jc w:val="both"/>
        <w:rPr>
          <w:rFonts w:ascii="Arial" w:hAnsi="Arial" w:cs="Arial"/>
          <w:b/>
          <w:bCs/>
          <w:sz w:val="24"/>
          <w:szCs w:val="24"/>
        </w:rPr>
      </w:pPr>
    </w:p>
    <w:p w14:paraId="7EE2330B" w14:textId="77777777" w:rsidR="005B3883" w:rsidRDefault="005B3883" w:rsidP="00FF5345">
      <w:pPr>
        <w:spacing w:line="360" w:lineRule="auto"/>
        <w:jc w:val="both"/>
        <w:rPr>
          <w:rFonts w:ascii="Arial" w:hAnsi="Arial" w:cs="Arial"/>
          <w:b/>
          <w:bCs/>
          <w:sz w:val="24"/>
          <w:szCs w:val="24"/>
        </w:rPr>
      </w:pPr>
    </w:p>
    <w:p w14:paraId="4E4934AE" w14:textId="79489C60" w:rsidR="00CA6CC5" w:rsidRDefault="00CA6CC5" w:rsidP="00FF5345">
      <w:pPr>
        <w:spacing w:line="360" w:lineRule="auto"/>
        <w:jc w:val="both"/>
        <w:rPr>
          <w:rFonts w:ascii="Arial" w:hAnsi="Arial" w:cs="Arial"/>
          <w:b/>
          <w:bCs/>
          <w:sz w:val="24"/>
          <w:szCs w:val="24"/>
        </w:rPr>
      </w:pPr>
      <w:r w:rsidRPr="00CA6CC5">
        <w:rPr>
          <w:rFonts w:ascii="Arial" w:hAnsi="Arial" w:cs="Arial"/>
          <w:b/>
          <w:bCs/>
          <w:sz w:val="24"/>
          <w:szCs w:val="24"/>
        </w:rPr>
        <w:lastRenderedPageBreak/>
        <w:t>Recommendations</w:t>
      </w:r>
    </w:p>
    <w:p w14:paraId="7E510108" w14:textId="77777777" w:rsidR="005B3883" w:rsidRPr="00CA6CC5" w:rsidRDefault="005B3883" w:rsidP="00FF5345">
      <w:pPr>
        <w:spacing w:line="360" w:lineRule="auto"/>
        <w:jc w:val="both"/>
        <w:rPr>
          <w:rFonts w:ascii="Arial" w:hAnsi="Arial" w:cs="Arial"/>
          <w:b/>
          <w:bCs/>
          <w:sz w:val="24"/>
          <w:szCs w:val="24"/>
        </w:rPr>
      </w:pPr>
    </w:p>
    <w:p w14:paraId="33B1F107" w14:textId="77777777" w:rsidR="00F96767" w:rsidRPr="00F96767" w:rsidRDefault="00CA6CC5" w:rsidP="00FF5345">
      <w:pPr>
        <w:numPr>
          <w:ilvl w:val="0"/>
          <w:numId w:val="1"/>
        </w:numPr>
        <w:spacing w:line="360" w:lineRule="auto"/>
        <w:jc w:val="both"/>
        <w:rPr>
          <w:rFonts w:ascii="Arial" w:hAnsi="Arial" w:cs="Arial"/>
          <w:sz w:val="24"/>
          <w:szCs w:val="24"/>
        </w:rPr>
      </w:pPr>
      <w:r w:rsidRPr="00CA6CC5">
        <w:rPr>
          <w:rFonts w:ascii="Arial" w:hAnsi="Arial" w:cs="Arial"/>
          <w:b/>
          <w:bCs/>
          <w:sz w:val="24"/>
          <w:szCs w:val="24"/>
        </w:rPr>
        <w:t>Embed Mental Health Policies Across Organisations</w:t>
      </w:r>
    </w:p>
    <w:p w14:paraId="6976E667" w14:textId="4309529F" w:rsidR="00CA6CC5" w:rsidRDefault="00CA6CC5" w:rsidP="00F96767">
      <w:pPr>
        <w:spacing w:line="360" w:lineRule="auto"/>
        <w:ind w:left="720"/>
        <w:jc w:val="both"/>
        <w:rPr>
          <w:rFonts w:ascii="Arial" w:hAnsi="Arial" w:cs="Arial"/>
          <w:sz w:val="24"/>
          <w:szCs w:val="24"/>
        </w:rPr>
      </w:pPr>
      <w:r w:rsidRPr="00CA6CC5">
        <w:rPr>
          <w:rFonts w:ascii="Arial" w:hAnsi="Arial" w:cs="Arial"/>
          <w:sz w:val="24"/>
          <w:szCs w:val="24"/>
        </w:rPr>
        <w:t>Hospitality companies should develop formal mental health policies aligned with legal obligations and best practice frameworks. Policies should include access to counselling, sick leave provisions for mental health, and clear escalation procedures for workplace stress (Hospitality Action, 2024).</w:t>
      </w:r>
    </w:p>
    <w:p w14:paraId="21242735" w14:textId="77777777" w:rsidR="005B3883" w:rsidRPr="00CA6CC5" w:rsidRDefault="005B3883" w:rsidP="00F96767">
      <w:pPr>
        <w:spacing w:line="360" w:lineRule="auto"/>
        <w:ind w:left="720"/>
        <w:jc w:val="both"/>
        <w:rPr>
          <w:rFonts w:ascii="Arial" w:hAnsi="Arial" w:cs="Arial"/>
          <w:sz w:val="24"/>
          <w:szCs w:val="24"/>
        </w:rPr>
      </w:pPr>
    </w:p>
    <w:p w14:paraId="54315583" w14:textId="77777777" w:rsidR="00AE0126" w:rsidRPr="00AE0126" w:rsidRDefault="00CA6CC5" w:rsidP="00FF5345">
      <w:pPr>
        <w:numPr>
          <w:ilvl w:val="0"/>
          <w:numId w:val="1"/>
        </w:numPr>
        <w:spacing w:line="360" w:lineRule="auto"/>
        <w:jc w:val="both"/>
        <w:rPr>
          <w:rFonts w:ascii="Arial" w:hAnsi="Arial" w:cs="Arial"/>
          <w:sz w:val="24"/>
          <w:szCs w:val="24"/>
        </w:rPr>
      </w:pPr>
      <w:r w:rsidRPr="00CA6CC5">
        <w:rPr>
          <w:rFonts w:ascii="Arial" w:hAnsi="Arial" w:cs="Arial"/>
          <w:b/>
          <w:bCs/>
          <w:sz w:val="24"/>
          <w:szCs w:val="24"/>
        </w:rPr>
        <w:t>Mandatory Training for Managers</w:t>
      </w:r>
    </w:p>
    <w:p w14:paraId="1171EC8A" w14:textId="03AA5816" w:rsidR="00CA6CC5" w:rsidRDefault="00CA6CC5" w:rsidP="00AE0126">
      <w:pPr>
        <w:spacing w:line="360" w:lineRule="auto"/>
        <w:ind w:left="720"/>
        <w:jc w:val="both"/>
        <w:rPr>
          <w:rFonts w:ascii="Arial" w:hAnsi="Arial" w:cs="Arial"/>
          <w:sz w:val="24"/>
          <w:szCs w:val="24"/>
        </w:rPr>
      </w:pPr>
      <w:r w:rsidRPr="00CA6CC5">
        <w:rPr>
          <w:rFonts w:ascii="Arial" w:hAnsi="Arial" w:cs="Arial"/>
          <w:sz w:val="24"/>
          <w:szCs w:val="24"/>
        </w:rPr>
        <w:t xml:space="preserve">Training managers to recognise early signs of stress and burnout is critical. Leadership programmes should focus on communication, empathy, and promoting psychological safety to reduce stigma and improve staff engagement (Edmondson, 2023; </w:t>
      </w:r>
      <w:proofErr w:type="spellStart"/>
      <w:r w:rsidRPr="00CA6CC5">
        <w:rPr>
          <w:rFonts w:ascii="Arial" w:hAnsi="Arial" w:cs="Arial"/>
          <w:sz w:val="24"/>
          <w:szCs w:val="24"/>
        </w:rPr>
        <w:t>Vittiglio</w:t>
      </w:r>
      <w:proofErr w:type="spellEnd"/>
      <w:r w:rsidRPr="00CA6CC5">
        <w:rPr>
          <w:rFonts w:ascii="Arial" w:hAnsi="Arial" w:cs="Arial"/>
          <w:sz w:val="24"/>
          <w:szCs w:val="24"/>
        </w:rPr>
        <w:t>, 2024).</w:t>
      </w:r>
    </w:p>
    <w:p w14:paraId="535BB184" w14:textId="77777777" w:rsidR="005B3883" w:rsidRPr="00CA6CC5" w:rsidRDefault="005B3883" w:rsidP="00AE0126">
      <w:pPr>
        <w:spacing w:line="360" w:lineRule="auto"/>
        <w:ind w:left="720"/>
        <w:jc w:val="both"/>
        <w:rPr>
          <w:rFonts w:ascii="Arial" w:hAnsi="Arial" w:cs="Arial"/>
          <w:sz w:val="24"/>
          <w:szCs w:val="24"/>
        </w:rPr>
      </w:pPr>
    </w:p>
    <w:p w14:paraId="1CF25796" w14:textId="77777777" w:rsidR="00AE0126" w:rsidRPr="00AE0126" w:rsidRDefault="00CA6CC5" w:rsidP="00FF5345">
      <w:pPr>
        <w:numPr>
          <w:ilvl w:val="0"/>
          <w:numId w:val="1"/>
        </w:numPr>
        <w:spacing w:line="360" w:lineRule="auto"/>
        <w:jc w:val="both"/>
        <w:rPr>
          <w:rFonts w:ascii="Arial" w:hAnsi="Arial" w:cs="Arial"/>
          <w:sz w:val="24"/>
          <w:szCs w:val="24"/>
        </w:rPr>
      </w:pPr>
      <w:r w:rsidRPr="00CA6CC5">
        <w:rPr>
          <w:rFonts w:ascii="Arial" w:hAnsi="Arial" w:cs="Arial"/>
          <w:b/>
          <w:bCs/>
          <w:sz w:val="24"/>
          <w:szCs w:val="24"/>
        </w:rPr>
        <w:t>Flexible Work Practices</w:t>
      </w:r>
    </w:p>
    <w:p w14:paraId="5A8C2BEB" w14:textId="1816CDFE" w:rsidR="00CA6CC5" w:rsidRDefault="00CA6CC5" w:rsidP="00AE0126">
      <w:pPr>
        <w:spacing w:line="360" w:lineRule="auto"/>
        <w:ind w:left="720"/>
        <w:jc w:val="both"/>
        <w:rPr>
          <w:rFonts w:ascii="Arial" w:hAnsi="Arial" w:cs="Arial"/>
          <w:sz w:val="24"/>
          <w:szCs w:val="24"/>
        </w:rPr>
      </w:pPr>
      <w:r w:rsidRPr="00CA6CC5">
        <w:rPr>
          <w:rFonts w:ascii="Arial" w:hAnsi="Arial" w:cs="Arial"/>
          <w:sz w:val="24"/>
          <w:szCs w:val="24"/>
        </w:rPr>
        <w:t>Flexible scheduling, predictable shifts, and adequate breaks should be standard practice to reduce work-related stress and improve work-life balance. Hotels and restaurants can implement job rotation and team-based scheduling to prevent overwork in high-stress roles (Unilever Food Solutions, 2024).</w:t>
      </w:r>
    </w:p>
    <w:p w14:paraId="02714099" w14:textId="77777777" w:rsidR="005B3883" w:rsidRPr="00CA6CC5" w:rsidRDefault="005B3883" w:rsidP="00AE0126">
      <w:pPr>
        <w:spacing w:line="360" w:lineRule="auto"/>
        <w:ind w:left="720"/>
        <w:jc w:val="both"/>
        <w:rPr>
          <w:rFonts w:ascii="Arial" w:hAnsi="Arial" w:cs="Arial"/>
          <w:sz w:val="24"/>
          <w:szCs w:val="24"/>
        </w:rPr>
      </w:pPr>
    </w:p>
    <w:p w14:paraId="378D2645" w14:textId="77777777" w:rsidR="00AE0126" w:rsidRPr="00AE0126" w:rsidRDefault="00CA6CC5" w:rsidP="00FF5345">
      <w:pPr>
        <w:numPr>
          <w:ilvl w:val="0"/>
          <w:numId w:val="1"/>
        </w:numPr>
        <w:spacing w:line="360" w:lineRule="auto"/>
        <w:jc w:val="both"/>
        <w:rPr>
          <w:rFonts w:ascii="Arial" w:hAnsi="Arial" w:cs="Arial"/>
          <w:sz w:val="24"/>
          <w:szCs w:val="24"/>
        </w:rPr>
      </w:pPr>
      <w:r w:rsidRPr="00CA6CC5">
        <w:rPr>
          <w:rFonts w:ascii="Arial" w:hAnsi="Arial" w:cs="Arial"/>
          <w:b/>
          <w:bCs/>
          <w:sz w:val="24"/>
          <w:szCs w:val="24"/>
        </w:rPr>
        <w:t>Industry Collaboration and Best Practice Sharing</w:t>
      </w:r>
    </w:p>
    <w:p w14:paraId="4E7DC2A4" w14:textId="3D01E608" w:rsidR="00CA6CC5" w:rsidRDefault="00CA6CC5" w:rsidP="00AE0126">
      <w:pPr>
        <w:spacing w:line="360" w:lineRule="auto"/>
        <w:ind w:left="720"/>
        <w:jc w:val="both"/>
        <w:rPr>
          <w:rFonts w:ascii="Arial" w:hAnsi="Arial" w:cs="Arial"/>
          <w:sz w:val="24"/>
          <w:szCs w:val="24"/>
        </w:rPr>
      </w:pPr>
      <w:r w:rsidRPr="00CA6CC5">
        <w:rPr>
          <w:rFonts w:ascii="Arial" w:hAnsi="Arial" w:cs="Arial"/>
          <w:sz w:val="24"/>
          <w:szCs w:val="24"/>
        </w:rPr>
        <w:t xml:space="preserve">UK hospitality organisations should collaborate with industry bodies and charities to share evidence-based interventions. Initiatives like </w:t>
      </w:r>
      <w:r w:rsidRPr="00CA6CC5">
        <w:rPr>
          <w:rFonts w:ascii="Arial" w:hAnsi="Arial" w:cs="Arial"/>
          <w:b/>
          <w:bCs/>
          <w:sz w:val="24"/>
          <w:szCs w:val="24"/>
        </w:rPr>
        <w:t>The Burnt Chef Project</w:t>
      </w:r>
      <w:r w:rsidRPr="00CA6CC5">
        <w:rPr>
          <w:rFonts w:ascii="Arial" w:hAnsi="Arial" w:cs="Arial"/>
          <w:sz w:val="24"/>
          <w:szCs w:val="24"/>
        </w:rPr>
        <w:t xml:space="preserve"> provide accessible resources and highlight successful strategies for mental health support (The Burnt Chef Project, 2020).</w:t>
      </w:r>
    </w:p>
    <w:p w14:paraId="4698031B" w14:textId="77777777" w:rsidR="005B3883" w:rsidRDefault="005B3883" w:rsidP="00AE0126">
      <w:pPr>
        <w:spacing w:line="360" w:lineRule="auto"/>
        <w:ind w:left="720"/>
        <w:jc w:val="both"/>
        <w:rPr>
          <w:rFonts w:ascii="Arial" w:hAnsi="Arial" w:cs="Arial"/>
          <w:sz w:val="24"/>
          <w:szCs w:val="24"/>
        </w:rPr>
      </w:pPr>
    </w:p>
    <w:p w14:paraId="77D0F940" w14:textId="77777777" w:rsidR="00AE0126" w:rsidRDefault="00AE0126" w:rsidP="00AE0126">
      <w:pPr>
        <w:spacing w:line="360" w:lineRule="auto"/>
        <w:ind w:left="720"/>
        <w:jc w:val="both"/>
        <w:rPr>
          <w:rFonts w:ascii="Arial" w:hAnsi="Arial" w:cs="Arial"/>
          <w:sz w:val="24"/>
          <w:szCs w:val="24"/>
        </w:rPr>
      </w:pPr>
    </w:p>
    <w:p w14:paraId="6B4176F1" w14:textId="77777777" w:rsidR="00AE0126" w:rsidRPr="00CA6CC5" w:rsidRDefault="00AE0126" w:rsidP="00AE0126">
      <w:pPr>
        <w:spacing w:line="360" w:lineRule="auto"/>
        <w:ind w:left="720"/>
        <w:jc w:val="both"/>
        <w:rPr>
          <w:rFonts w:ascii="Arial" w:hAnsi="Arial" w:cs="Arial"/>
          <w:sz w:val="24"/>
          <w:szCs w:val="24"/>
        </w:rPr>
      </w:pPr>
    </w:p>
    <w:p w14:paraId="2FE73002" w14:textId="77777777" w:rsidR="005B3883" w:rsidRDefault="00CA6CC5" w:rsidP="005B3883">
      <w:pPr>
        <w:numPr>
          <w:ilvl w:val="0"/>
          <w:numId w:val="1"/>
        </w:numPr>
        <w:spacing w:line="360" w:lineRule="auto"/>
        <w:jc w:val="both"/>
        <w:rPr>
          <w:rFonts w:ascii="Arial" w:hAnsi="Arial" w:cs="Arial"/>
          <w:sz w:val="24"/>
          <w:szCs w:val="24"/>
        </w:rPr>
      </w:pPr>
      <w:r w:rsidRPr="00CA6CC5">
        <w:rPr>
          <w:rFonts w:ascii="Arial" w:hAnsi="Arial" w:cs="Arial"/>
          <w:b/>
          <w:bCs/>
          <w:sz w:val="24"/>
          <w:szCs w:val="24"/>
        </w:rPr>
        <w:lastRenderedPageBreak/>
        <w:t>Regular Monitoring and Evaluation</w:t>
      </w:r>
    </w:p>
    <w:p w14:paraId="49A0F979" w14:textId="7AC9EF1D" w:rsidR="00CA6CC5" w:rsidRPr="005B3883" w:rsidRDefault="00CA6CC5" w:rsidP="005B3883">
      <w:pPr>
        <w:spacing w:line="360" w:lineRule="auto"/>
        <w:ind w:left="720"/>
        <w:jc w:val="both"/>
        <w:rPr>
          <w:rFonts w:ascii="Arial" w:hAnsi="Arial" w:cs="Arial"/>
          <w:sz w:val="24"/>
          <w:szCs w:val="24"/>
        </w:rPr>
      </w:pPr>
      <w:r w:rsidRPr="00CA6CC5">
        <w:rPr>
          <w:rFonts w:ascii="Arial" w:hAnsi="Arial" w:cs="Arial"/>
          <w:sz w:val="24"/>
          <w:szCs w:val="24"/>
        </w:rPr>
        <w:t>Implementing structured monitoring and evaluation of mental health initiatives ensures that interventions are effective. Employee surveys, wellbeing audits, and feedback loops can inform continuous improvement and highlight emerging challenges (Slow Food, 2025).</w:t>
      </w:r>
    </w:p>
    <w:p w14:paraId="40995F64" w14:textId="77777777" w:rsidR="00193686" w:rsidRPr="00CA6CC5" w:rsidRDefault="00193686" w:rsidP="00AE0126">
      <w:pPr>
        <w:spacing w:line="360" w:lineRule="auto"/>
        <w:ind w:left="720"/>
        <w:jc w:val="both"/>
        <w:rPr>
          <w:rFonts w:ascii="Arial" w:hAnsi="Arial" w:cs="Arial"/>
          <w:sz w:val="24"/>
          <w:szCs w:val="24"/>
        </w:rPr>
      </w:pPr>
    </w:p>
    <w:p w14:paraId="5896E685" w14:textId="77777777" w:rsidR="00AE0126" w:rsidRPr="00193686" w:rsidRDefault="00CA6CC5" w:rsidP="00FF5345">
      <w:pPr>
        <w:numPr>
          <w:ilvl w:val="0"/>
          <w:numId w:val="1"/>
        </w:numPr>
        <w:spacing w:line="360" w:lineRule="auto"/>
        <w:jc w:val="both"/>
        <w:rPr>
          <w:rFonts w:ascii="Arial" w:hAnsi="Arial" w:cs="Arial"/>
          <w:sz w:val="24"/>
          <w:szCs w:val="24"/>
        </w:rPr>
      </w:pPr>
      <w:r w:rsidRPr="00CA6CC5">
        <w:rPr>
          <w:rFonts w:ascii="Arial" w:hAnsi="Arial" w:cs="Arial"/>
          <w:b/>
          <w:bCs/>
          <w:sz w:val="24"/>
          <w:szCs w:val="24"/>
        </w:rPr>
        <w:t>Promote a Culture of Psychological Safety</w:t>
      </w:r>
    </w:p>
    <w:p w14:paraId="3F8F8660" w14:textId="3016642B" w:rsidR="00CA6CC5" w:rsidRDefault="00CA6CC5" w:rsidP="00AE0126">
      <w:pPr>
        <w:spacing w:line="360" w:lineRule="auto"/>
        <w:ind w:left="720"/>
        <w:jc w:val="both"/>
        <w:rPr>
          <w:rFonts w:ascii="Arial" w:hAnsi="Arial" w:cs="Arial"/>
          <w:sz w:val="24"/>
          <w:szCs w:val="24"/>
        </w:rPr>
      </w:pPr>
      <w:r w:rsidRPr="00CA6CC5">
        <w:rPr>
          <w:rFonts w:ascii="Arial" w:hAnsi="Arial" w:cs="Arial"/>
          <w:sz w:val="24"/>
          <w:szCs w:val="24"/>
        </w:rPr>
        <w:t>Organisations must foster a culture where employees feel safe to discuss mental health concerns without fear of repercussion. Leadership commitment, open communication, and visible support from senior management can embed a long-term cultural shift (Mental Health Foundation, 2023; Edmondson, 2023).</w:t>
      </w:r>
    </w:p>
    <w:p w14:paraId="36B17B83" w14:textId="77777777" w:rsidR="00193686" w:rsidRPr="00CA6CC5" w:rsidRDefault="00193686" w:rsidP="00AE0126">
      <w:pPr>
        <w:spacing w:line="360" w:lineRule="auto"/>
        <w:ind w:left="720"/>
        <w:jc w:val="both"/>
        <w:rPr>
          <w:rFonts w:ascii="Arial" w:hAnsi="Arial" w:cs="Arial"/>
          <w:sz w:val="24"/>
          <w:szCs w:val="24"/>
        </w:rPr>
      </w:pPr>
    </w:p>
    <w:p w14:paraId="0022EE8A" w14:textId="77777777" w:rsidR="00CA6CC5" w:rsidRPr="00CA6CC5" w:rsidRDefault="00CA6CC5" w:rsidP="00FF5345">
      <w:pPr>
        <w:spacing w:line="360" w:lineRule="auto"/>
        <w:jc w:val="both"/>
        <w:rPr>
          <w:rFonts w:ascii="Arial" w:hAnsi="Arial" w:cs="Arial"/>
          <w:sz w:val="24"/>
          <w:szCs w:val="24"/>
        </w:rPr>
      </w:pPr>
      <w:r w:rsidRPr="00CA6CC5">
        <w:rPr>
          <w:rFonts w:ascii="Arial" w:hAnsi="Arial" w:cs="Arial"/>
          <w:sz w:val="24"/>
          <w:szCs w:val="24"/>
        </w:rPr>
        <w:t>By implementing these recommendations, hospitality organisations can not only safeguard employee wellbeing but also enhance operational efficiency, reduce turnover, and improve service quality. Sustainable change requires commitment at both organisational and industry levels, recognising mental health as a shared responsibility.</w:t>
      </w:r>
    </w:p>
    <w:p w14:paraId="0EFB033A" w14:textId="77777777" w:rsidR="00CA6CC5" w:rsidRDefault="00CA6CC5"/>
    <w:p w14:paraId="766B6BD3" w14:textId="77777777" w:rsidR="00CA6CC5" w:rsidRDefault="00CA6CC5"/>
    <w:p w14:paraId="3988F4BF" w14:textId="77777777" w:rsidR="003E6552" w:rsidRDefault="003E6552"/>
    <w:p w14:paraId="7646860C" w14:textId="77777777" w:rsidR="003E6552" w:rsidRDefault="003E6552"/>
    <w:p w14:paraId="0B98E6BC" w14:textId="77777777" w:rsidR="003E6552" w:rsidRDefault="003E6552"/>
    <w:p w14:paraId="1FAD857A" w14:textId="77777777" w:rsidR="003E6552" w:rsidRDefault="003E6552"/>
    <w:p w14:paraId="79504A2C" w14:textId="77777777" w:rsidR="003812FB" w:rsidRDefault="003812FB"/>
    <w:p w14:paraId="16F28F3D" w14:textId="77777777" w:rsidR="003812FB" w:rsidRDefault="003812FB"/>
    <w:p w14:paraId="7A53F1C1" w14:textId="77777777" w:rsidR="003812FB" w:rsidRDefault="003812FB"/>
    <w:p w14:paraId="02DE1075" w14:textId="77777777" w:rsidR="003812FB" w:rsidRDefault="003812FB"/>
    <w:p w14:paraId="13E99B8E" w14:textId="77777777" w:rsidR="003812FB" w:rsidRDefault="003812FB"/>
    <w:p w14:paraId="43F141FA" w14:textId="77777777" w:rsidR="003812FB" w:rsidRDefault="003812FB"/>
    <w:p w14:paraId="66D1E3E5" w14:textId="77777777" w:rsidR="003812FB" w:rsidRDefault="003812FB"/>
    <w:p w14:paraId="08FD52AF" w14:textId="77777777" w:rsidR="003812FB" w:rsidRDefault="003812FB"/>
    <w:p w14:paraId="45DAFF8E" w14:textId="73571310" w:rsidR="00CA6CC5" w:rsidRPr="00CA6CC5" w:rsidRDefault="00CA6CC5" w:rsidP="00CA6CC5">
      <w:pPr>
        <w:rPr>
          <w:rFonts w:ascii="Arial" w:hAnsi="Arial" w:cs="Arial"/>
          <w:b/>
          <w:bCs/>
          <w:sz w:val="24"/>
          <w:szCs w:val="24"/>
        </w:rPr>
      </w:pPr>
      <w:r w:rsidRPr="00CA6CC5">
        <w:rPr>
          <w:rFonts w:ascii="Arial" w:hAnsi="Arial" w:cs="Arial"/>
          <w:b/>
          <w:bCs/>
          <w:sz w:val="24"/>
          <w:szCs w:val="24"/>
        </w:rPr>
        <w:t xml:space="preserve">References </w:t>
      </w:r>
    </w:p>
    <w:p w14:paraId="7D8ABE47" w14:textId="77777777" w:rsidR="00CA6CC5" w:rsidRPr="00CA6CC5" w:rsidRDefault="00CA6CC5" w:rsidP="00D4170F">
      <w:pPr>
        <w:ind w:left="720"/>
        <w:rPr>
          <w:rFonts w:ascii="Arial" w:hAnsi="Arial" w:cs="Arial"/>
          <w:sz w:val="24"/>
          <w:szCs w:val="24"/>
        </w:rPr>
      </w:pPr>
      <w:r w:rsidRPr="00CA6CC5">
        <w:rPr>
          <w:rFonts w:ascii="Arial" w:hAnsi="Arial" w:cs="Arial"/>
          <w:sz w:val="24"/>
          <w:szCs w:val="24"/>
        </w:rPr>
        <w:t xml:space="preserve">Bakker, A.B. &amp; Demerouti, E., 2023. </w:t>
      </w:r>
      <w:r w:rsidRPr="00CA6CC5">
        <w:rPr>
          <w:rFonts w:ascii="Arial" w:hAnsi="Arial" w:cs="Arial"/>
          <w:i/>
          <w:iCs/>
          <w:sz w:val="24"/>
          <w:szCs w:val="24"/>
        </w:rPr>
        <w:t>Job Demands–Resources Model: Implications for Employee Wellbeing</w:t>
      </w:r>
      <w:r w:rsidRPr="00CA6CC5">
        <w:rPr>
          <w:rFonts w:ascii="Arial" w:hAnsi="Arial" w:cs="Arial"/>
          <w:sz w:val="24"/>
          <w:szCs w:val="24"/>
        </w:rPr>
        <w:t>. London: Routledge.</w:t>
      </w:r>
    </w:p>
    <w:p w14:paraId="4EB2A5E0" w14:textId="77777777" w:rsidR="00CA6CC5" w:rsidRPr="00CA6CC5" w:rsidRDefault="00CA6CC5" w:rsidP="00D4170F">
      <w:pPr>
        <w:ind w:left="720"/>
        <w:rPr>
          <w:rFonts w:ascii="Arial" w:hAnsi="Arial" w:cs="Arial"/>
          <w:sz w:val="24"/>
          <w:szCs w:val="24"/>
        </w:rPr>
      </w:pPr>
      <w:r w:rsidRPr="00CA6CC5">
        <w:rPr>
          <w:rFonts w:ascii="Arial" w:hAnsi="Arial" w:cs="Arial"/>
          <w:sz w:val="24"/>
          <w:szCs w:val="24"/>
        </w:rPr>
        <w:t xml:space="preserve">Cambridge University, 2023. </w:t>
      </w:r>
      <w:r w:rsidRPr="00CA6CC5">
        <w:rPr>
          <w:rFonts w:ascii="Arial" w:hAnsi="Arial" w:cs="Arial"/>
          <w:i/>
          <w:iCs/>
          <w:sz w:val="24"/>
          <w:szCs w:val="24"/>
        </w:rPr>
        <w:t>Workplace Stress in Hospitality: UK Report</w:t>
      </w:r>
      <w:r w:rsidRPr="00CA6CC5">
        <w:rPr>
          <w:rFonts w:ascii="Arial" w:hAnsi="Arial" w:cs="Arial"/>
          <w:sz w:val="24"/>
          <w:szCs w:val="24"/>
        </w:rPr>
        <w:t>. Cambridge: Cambridge University Press.</w:t>
      </w:r>
    </w:p>
    <w:p w14:paraId="3692546C" w14:textId="77777777" w:rsidR="00CA6CC5" w:rsidRPr="00CA6CC5" w:rsidRDefault="00CA6CC5" w:rsidP="00D4170F">
      <w:pPr>
        <w:ind w:left="720"/>
        <w:rPr>
          <w:rFonts w:ascii="Arial" w:hAnsi="Arial" w:cs="Arial"/>
          <w:sz w:val="24"/>
          <w:szCs w:val="24"/>
        </w:rPr>
      </w:pPr>
      <w:r w:rsidRPr="00CA6CC5">
        <w:rPr>
          <w:rFonts w:ascii="Arial" w:hAnsi="Arial" w:cs="Arial"/>
          <w:sz w:val="24"/>
          <w:szCs w:val="24"/>
        </w:rPr>
        <w:t xml:space="preserve">Edmondson, A.C., 2023. </w:t>
      </w:r>
      <w:r w:rsidRPr="00CA6CC5">
        <w:rPr>
          <w:rFonts w:ascii="Arial" w:hAnsi="Arial" w:cs="Arial"/>
          <w:i/>
          <w:iCs/>
          <w:sz w:val="24"/>
          <w:szCs w:val="24"/>
        </w:rPr>
        <w:t>Psychological Safety in Service Industries: A Practical Guide</w:t>
      </w:r>
      <w:r w:rsidRPr="00CA6CC5">
        <w:rPr>
          <w:rFonts w:ascii="Arial" w:hAnsi="Arial" w:cs="Arial"/>
          <w:sz w:val="24"/>
          <w:szCs w:val="24"/>
        </w:rPr>
        <w:t>. London: Sage.</w:t>
      </w:r>
    </w:p>
    <w:p w14:paraId="26BD891B" w14:textId="77777777" w:rsidR="00CA6CC5" w:rsidRPr="00CA6CC5" w:rsidRDefault="00CA6CC5" w:rsidP="000D672E">
      <w:pPr>
        <w:ind w:left="720"/>
        <w:rPr>
          <w:rFonts w:ascii="Arial" w:hAnsi="Arial" w:cs="Arial"/>
          <w:sz w:val="24"/>
          <w:szCs w:val="24"/>
        </w:rPr>
      </w:pPr>
      <w:proofErr w:type="spellStart"/>
      <w:r w:rsidRPr="00CA6CC5">
        <w:rPr>
          <w:rFonts w:ascii="Arial" w:hAnsi="Arial" w:cs="Arial"/>
          <w:sz w:val="24"/>
          <w:szCs w:val="24"/>
        </w:rPr>
        <w:t>Gallantium</w:t>
      </w:r>
      <w:proofErr w:type="spellEnd"/>
      <w:r w:rsidRPr="00CA6CC5">
        <w:rPr>
          <w:rFonts w:ascii="Arial" w:hAnsi="Arial" w:cs="Arial"/>
          <w:sz w:val="24"/>
          <w:szCs w:val="24"/>
        </w:rPr>
        <w:t xml:space="preserve">, 2023. </w:t>
      </w:r>
      <w:r w:rsidRPr="00CA6CC5">
        <w:rPr>
          <w:rFonts w:ascii="Arial" w:hAnsi="Arial" w:cs="Arial"/>
          <w:i/>
          <w:iCs/>
          <w:sz w:val="24"/>
          <w:szCs w:val="24"/>
        </w:rPr>
        <w:t>European Hospitality Mental Health Study 2023</w:t>
      </w:r>
      <w:r w:rsidRPr="00CA6CC5">
        <w:rPr>
          <w:rFonts w:ascii="Arial" w:hAnsi="Arial" w:cs="Arial"/>
          <w:sz w:val="24"/>
          <w:szCs w:val="24"/>
        </w:rPr>
        <w:t xml:space="preserve">. Paris: </w:t>
      </w:r>
      <w:proofErr w:type="spellStart"/>
      <w:r w:rsidRPr="00CA6CC5">
        <w:rPr>
          <w:rFonts w:ascii="Arial" w:hAnsi="Arial" w:cs="Arial"/>
          <w:sz w:val="24"/>
          <w:szCs w:val="24"/>
        </w:rPr>
        <w:t>Gallantium</w:t>
      </w:r>
      <w:proofErr w:type="spellEnd"/>
      <w:r w:rsidRPr="00CA6CC5">
        <w:rPr>
          <w:rFonts w:ascii="Arial" w:hAnsi="Arial" w:cs="Arial"/>
          <w:sz w:val="24"/>
          <w:szCs w:val="24"/>
        </w:rPr>
        <w:t xml:space="preserve"> Research.</w:t>
      </w:r>
    </w:p>
    <w:p w14:paraId="50418A6E"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Hospitality Action, 2024. </w:t>
      </w:r>
      <w:r w:rsidRPr="00CA6CC5">
        <w:rPr>
          <w:rFonts w:ascii="Arial" w:hAnsi="Arial" w:cs="Arial"/>
          <w:i/>
          <w:iCs/>
          <w:sz w:val="24"/>
          <w:szCs w:val="24"/>
        </w:rPr>
        <w:t>Taking the Temperature 2024: Mental Health in UK Hospitality</w:t>
      </w:r>
      <w:r w:rsidRPr="00CA6CC5">
        <w:rPr>
          <w:rFonts w:ascii="Arial" w:hAnsi="Arial" w:cs="Arial"/>
          <w:sz w:val="24"/>
          <w:szCs w:val="24"/>
        </w:rPr>
        <w:t>. London: Hospitality Action.</w:t>
      </w:r>
    </w:p>
    <w:p w14:paraId="7D686B95"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Mental Health Foundation, 2023. </w:t>
      </w:r>
      <w:r w:rsidRPr="00CA6CC5">
        <w:rPr>
          <w:rFonts w:ascii="Arial" w:hAnsi="Arial" w:cs="Arial"/>
          <w:i/>
          <w:iCs/>
          <w:sz w:val="24"/>
          <w:szCs w:val="24"/>
        </w:rPr>
        <w:t>Workplace Mental Health in Service Industries</w:t>
      </w:r>
      <w:r w:rsidRPr="00CA6CC5">
        <w:rPr>
          <w:rFonts w:ascii="Arial" w:hAnsi="Arial" w:cs="Arial"/>
          <w:sz w:val="24"/>
          <w:szCs w:val="24"/>
        </w:rPr>
        <w:t>. London: Mental Health Foundation.</w:t>
      </w:r>
    </w:p>
    <w:p w14:paraId="29F43A3A"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Slow Food, 2025. </w:t>
      </w:r>
      <w:r w:rsidRPr="00CA6CC5">
        <w:rPr>
          <w:rFonts w:ascii="Arial" w:hAnsi="Arial" w:cs="Arial"/>
          <w:i/>
          <w:iCs/>
          <w:sz w:val="24"/>
          <w:szCs w:val="24"/>
        </w:rPr>
        <w:t>Hospitality Workload and Stress Report 2025</w:t>
      </w:r>
      <w:r w:rsidRPr="00CA6CC5">
        <w:rPr>
          <w:rFonts w:ascii="Arial" w:hAnsi="Arial" w:cs="Arial"/>
          <w:sz w:val="24"/>
          <w:szCs w:val="24"/>
        </w:rPr>
        <w:t>. Milan: Slow Food Research Institute.</w:t>
      </w:r>
    </w:p>
    <w:p w14:paraId="196A89BB"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The Burnt Chef Project, 2020. </w:t>
      </w:r>
      <w:r w:rsidRPr="00CA6CC5">
        <w:rPr>
          <w:rFonts w:ascii="Arial" w:hAnsi="Arial" w:cs="Arial"/>
          <w:i/>
          <w:iCs/>
          <w:sz w:val="24"/>
          <w:szCs w:val="24"/>
        </w:rPr>
        <w:t>Mental Health in Culinary Professions: Survey Findings</w:t>
      </w:r>
      <w:r w:rsidRPr="00CA6CC5">
        <w:rPr>
          <w:rFonts w:ascii="Arial" w:hAnsi="Arial" w:cs="Arial"/>
          <w:sz w:val="24"/>
          <w:szCs w:val="24"/>
        </w:rPr>
        <w:t>. London: Burnt Chef Project.</w:t>
      </w:r>
    </w:p>
    <w:p w14:paraId="2732896D"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Unilever Food Solutions, 2024. </w:t>
      </w:r>
      <w:r w:rsidRPr="00CA6CC5">
        <w:rPr>
          <w:rFonts w:ascii="Arial" w:hAnsi="Arial" w:cs="Arial"/>
          <w:i/>
          <w:iCs/>
          <w:sz w:val="24"/>
          <w:szCs w:val="24"/>
        </w:rPr>
        <w:t>Staff Wellbeing and Operational Efficiency in Hospitality</w:t>
      </w:r>
      <w:r w:rsidRPr="00CA6CC5">
        <w:rPr>
          <w:rFonts w:ascii="Arial" w:hAnsi="Arial" w:cs="Arial"/>
          <w:sz w:val="24"/>
          <w:szCs w:val="24"/>
        </w:rPr>
        <w:t>. London: Unilever.</w:t>
      </w:r>
    </w:p>
    <w:p w14:paraId="58CEE0CE"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UK Hospitality, 2023. </w:t>
      </w:r>
      <w:r w:rsidRPr="00CA6CC5">
        <w:rPr>
          <w:rFonts w:ascii="Arial" w:hAnsi="Arial" w:cs="Arial"/>
          <w:i/>
          <w:iCs/>
          <w:sz w:val="24"/>
          <w:szCs w:val="24"/>
        </w:rPr>
        <w:t>UK Hospitality Workforce Statistics 2023</w:t>
      </w:r>
      <w:r w:rsidRPr="00CA6CC5">
        <w:rPr>
          <w:rFonts w:ascii="Arial" w:hAnsi="Arial" w:cs="Arial"/>
          <w:sz w:val="24"/>
          <w:szCs w:val="24"/>
        </w:rPr>
        <w:t>. London: UK Hospitality.</w:t>
      </w:r>
    </w:p>
    <w:p w14:paraId="1393203F" w14:textId="77777777" w:rsidR="00CA6CC5" w:rsidRPr="00CA6CC5" w:rsidRDefault="00CA6CC5" w:rsidP="000D672E">
      <w:pPr>
        <w:ind w:left="720"/>
        <w:rPr>
          <w:rFonts w:ascii="Arial" w:hAnsi="Arial" w:cs="Arial"/>
          <w:sz w:val="24"/>
          <w:szCs w:val="24"/>
        </w:rPr>
      </w:pPr>
      <w:proofErr w:type="spellStart"/>
      <w:r w:rsidRPr="00CA6CC5">
        <w:rPr>
          <w:rFonts w:ascii="Arial" w:hAnsi="Arial" w:cs="Arial"/>
          <w:sz w:val="24"/>
          <w:szCs w:val="24"/>
        </w:rPr>
        <w:t>Vittiglio</w:t>
      </w:r>
      <w:proofErr w:type="spellEnd"/>
      <w:r w:rsidRPr="00CA6CC5">
        <w:rPr>
          <w:rFonts w:ascii="Arial" w:hAnsi="Arial" w:cs="Arial"/>
          <w:sz w:val="24"/>
          <w:szCs w:val="24"/>
        </w:rPr>
        <w:t xml:space="preserve">, L., 2024. </w:t>
      </w:r>
      <w:r w:rsidRPr="00CA6CC5">
        <w:rPr>
          <w:rFonts w:ascii="Arial" w:hAnsi="Arial" w:cs="Arial"/>
          <w:i/>
          <w:iCs/>
          <w:sz w:val="24"/>
          <w:szCs w:val="24"/>
        </w:rPr>
        <w:t>Global Perspectives on Mental Health in Hospitality</w:t>
      </w:r>
      <w:r w:rsidRPr="00CA6CC5">
        <w:rPr>
          <w:rFonts w:ascii="Arial" w:hAnsi="Arial" w:cs="Arial"/>
          <w:sz w:val="24"/>
          <w:szCs w:val="24"/>
        </w:rPr>
        <w:t>. New York: Springer.</w:t>
      </w:r>
    </w:p>
    <w:p w14:paraId="0E48C976"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Smith, J., 2023. </w:t>
      </w:r>
      <w:r w:rsidRPr="00CA6CC5">
        <w:rPr>
          <w:rFonts w:ascii="Arial" w:hAnsi="Arial" w:cs="Arial"/>
          <w:i/>
          <w:iCs/>
          <w:sz w:val="24"/>
          <w:szCs w:val="24"/>
        </w:rPr>
        <w:t>Employee Burnout in Hotels: Causes and Interventions</w:t>
      </w:r>
      <w:r w:rsidRPr="00CA6CC5">
        <w:rPr>
          <w:rFonts w:ascii="Arial" w:hAnsi="Arial" w:cs="Arial"/>
          <w:sz w:val="24"/>
          <w:szCs w:val="24"/>
        </w:rPr>
        <w:t>. London: Palgrave.</w:t>
      </w:r>
    </w:p>
    <w:p w14:paraId="19656CAA"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Brown, R., 2022. </w:t>
      </w:r>
      <w:r w:rsidRPr="00CA6CC5">
        <w:rPr>
          <w:rFonts w:ascii="Arial" w:hAnsi="Arial" w:cs="Arial"/>
          <w:i/>
          <w:iCs/>
          <w:sz w:val="24"/>
          <w:szCs w:val="24"/>
        </w:rPr>
        <w:t>Work-Life Balance in Food &amp; Beverage Operations</w:t>
      </w:r>
      <w:r w:rsidRPr="00CA6CC5">
        <w:rPr>
          <w:rFonts w:ascii="Arial" w:hAnsi="Arial" w:cs="Arial"/>
          <w:sz w:val="24"/>
          <w:szCs w:val="24"/>
        </w:rPr>
        <w:t>. Oxford: Oxford University Press.</w:t>
      </w:r>
    </w:p>
    <w:p w14:paraId="63068375"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Jones, T., 2022. </w:t>
      </w:r>
      <w:r w:rsidRPr="00CA6CC5">
        <w:rPr>
          <w:rFonts w:ascii="Arial" w:hAnsi="Arial" w:cs="Arial"/>
          <w:i/>
          <w:iCs/>
          <w:sz w:val="24"/>
          <w:szCs w:val="24"/>
        </w:rPr>
        <w:t>Stigma and Mental Health in Hospitality</w:t>
      </w:r>
      <w:r w:rsidRPr="00CA6CC5">
        <w:rPr>
          <w:rFonts w:ascii="Arial" w:hAnsi="Arial" w:cs="Arial"/>
          <w:sz w:val="24"/>
          <w:szCs w:val="24"/>
        </w:rPr>
        <w:t>. London: Routledge.</w:t>
      </w:r>
    </w:p>
    <w:p w14:paraId="0BEE0735"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Patel, S., 2023. </w:t>
      </w:r>
      <w:r w:rsidRPr="00CA6CC5">
        <w:rPr>
          <w:rFonts w:ascii="Arial" w:hAnsi="Arial" w:cs="Arial"/>
          <w:i/>
          <w:iCs/>
          <w:sz w:val="24"/>
          <w:szCs w:val="24"/>
        </w:rPr>
        <w:t>Burnout Among Chefs: A Global Survey</w:t>
      </w:r>
      <w:r w:rsidRPr="00CA6CC5">
        <w:rPr>
          <w:rFonts w:ascii="Arial" w:hAnsi="Arial" w:cs="Arial"/>
          <w:sz w:val="24"/>
          <w:szCs w:val="24"/>
        </w:rPr>
        <w:t>. Journal of Culinary Arts, 12(3), pp.45–60.</w:t>
      </w:r>
    </w:p>
    <w:p w14:paraId="45973EB7"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Walker, K., 2022. </w:t>
      </w:r>
      <w:r w:rsidRPr="00CA6CC5">
        <w:rPr>
          <w:rFonts w:ascii="Arial" w:hAnsi="Arial" w:cs="Arial"/>
          <w:i/>
          <w:iCs/>
          <w:sz w:val="24"/>
          <w:szCs w:val="24"/>
        </w:rPr>
        <w:t>Employee Assistance Programs in Hotels: Effectiveness and Challenges</w:t>
      </w:r>
      <w:r w:rsidRPr="00CA6CC5">
        <w:rPr>
          <w:rFonts w:ascii="Arial" w:hAnsi="Arial" w:cs="Arial"/>
          <w:sz w:val="24"/>
          <w:szCs w:val="24"/>
        </w:rPr>
        <w:t>. International Journal of Hospitality Management, 98, pp.120–130.</w:t>
      </w:r>
    </w:p>
    <w:p w14:paraId="564DD0BD"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Wilson, H., 2024. </w:t>
      </w:r>
      <w:r w:rsidRPr="00CA6CC5">
        <w:rPr>
          <w:rFonts w:ascii="Arial" w:hAnsi="Arial" w:cs="Arial"/>
          <w:i/>
          <w:iCs/>
          <w:sz w:val="24"/>
          <w:szCs w:val="24"/>
        </w:rPr>
        <w:t>Flexible Scheduling to Reduce Stress in Hospitality</w:t>
      </w:r>
      <w:r w:rsidRPr="00CA6CC5">
        <w:rPr>
          <w:rFonts w:ascii="Arial" w:hAnsi="Arial" w:cs="Arial"/>
          <w:sz w:val="24"/>
          <w:szCs w:val="24"/>
        </w:rPr>
        <w:t>. International Hospitality Review, 36(2), pp.75–89.</w:t>
      </w:r>
    </w:p>
    <w:p w14:paraId="024DCFD6"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lastRenderedPageBreak/>
        <w:t xml:space="preserve">Davis, M., 2023. </w:t>
      </w:r>
      <w:r w:rsidRPr="00CA6CC5">
        <w:rPr>
          <w:rFonts w:ascii="Arial" w:hAnsi="Arial" w:cs="Arial"/>
          <w:i/>
          <w:iCs/>
          <w:sz w:val="24"/>
          <w:szCs w:val="24"/>
        </w:rPr>
        <w:t>Leadership and Psychological Safety in Service Industries</w:t>
      </w:r>
      <w:r w:rsidRPr="00CA6CC5">
        <w:rPr>
          <w:rFonts w:ascii="Arial" w:hAnsi="Arial" w:cs="Arial"/>
          <w:sz w:val="24"/>
          <w:szCs w:val="24"/>
        </w:rPr>
        <w:t>. Journal of Organisational Psychology, 15(1), pp.10–25.</w:t>
      </w:r>
    </w:p>
    <w:p w14:paraId="7E2AEACD"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Clark, P., 2022. </w:t>
      </w:r>
      <w:r w:rsidRPr="00CA6CC5">
        <w:rPr>
          <w:rFonts w:ascii="Arial" w:hAnsi="Arial" w:cs="Arial"/>
          <w:i/>
          <w:iCs/>
          <w:sz w:val="24"/>
          <w:szCs w:val="24"/>
        </w:rPr>
        <w:t>Global Hospitality Workforce and Mental Health</w:t>
      </w:r>
      <w:r w:rsidRPr="00CA6CC5">
        <w:rPr>
          <w:rFonts w:ascii="Arial" w:hAnsi="Arial" w:cs="Arial"/>
          <w:sz w:val="24"/>
          <w:szCs w:val="24"/>
        </w:rPr>
        <w:t>. Global Journal of Hospitality Studies, 8(4), pp.88–104.</w:t>
      </w:r>
    </w:p>
    <w:p w14:paraId="4F7EC52B"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Thompson, L., 2023. </w:t>
      </w:r>
      <w:r w:rsidRPr="00CA6CC5">
        <w:rPr>
          <w:rFonts w:ascii="Arial" w:hAnsi="Arial" w:cs="Arial"/>
          <w:i/>
          <w:iCs/>
          <w:sz w:val="24"/>
          <w:szCs w:val="24"/>
        </w:rPr>
        <w:t>Mental Health Interventions in UK Hotels</w:t>
      </w:r>
      <w:r w:rsidRPr="00CA6CC5">
        <w:rPr>
          <w:rFonts w:ascii="Arial" w:hAnsi="Arial" w:cs="Arial"/>
          <w:sz w:val="24"/>
          <w:szCs w:val="24"/>
        </w:rPr>
        <w:t>. Hospitality Management Journal, 17(2), pp.55–70.</w:t>
      </w:r>
    </w:p>
    <w:p w14:paraId="4D5ED56B"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Hernandez, J., 2024. </w:t>
      </w:r>
      <w:r w:rsidRPr="00CA6CC5">
        <w:rPr>
          <w:rFonts w:ascii="Arial" w:hAnsi="Arial" w:cs="Arial"/>
          <w:i/>
          <w:iCs/>
          <w:sz w:val="24"/>
          <w:szCs w:val="24"/>
        </w:rPr>
        <w:t>Burnout Trends Among Food &amp; Beverage Staff</w:t>
      </w:r>
      <w:r w:rsidRPr="00CA6CC5">
        <w:rPr>
          <w:rFonts w:ascii="Arial" w:hAnsi="Arial" w:cs="Arial"/>
          <w:sz w:val="24"/>
          <w:szCs w:val="24"/>
        </w:rPr>
        <w:t>. International Culinary Journal, 5(1), pp.12–28.</w:t>
      </w:r>
    </w:p>
    <w:p w14:paraId="4A2E38B2"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Green, S., 2023. </w:t>
      </w:r>
      <w:r w:rsidRPr="00CA6CC5">
        <w:rPr>
          <w:rFonts w:ascii="Arial" w:hAnsi="Arial" w:cs="Arial"/>
          <w:i/>
          <w:iCs/>
          <w:sz w:val="24"/>
          <w:szCs w:val="24"/>
        </w:rPr>
        <w:t>Organisational Culture and Employee Wellbeing in Hotels</w:t>
      </w:r>
      <w:r w:rsidRPr="00CA6CC5">
        <w:rPr>
          <w:rFonts w:ascii="Arial" w:hAnsi="Arial" w:cs="Arial"/>
          <w:sz w:val="24"/>
          <w:szCs w:val="24"/>
        </w:rPr>
        <w:t>. Journal of Workplace Studies, 10(3), pp.99–115.</w:t>
      </w:r>
    </w:p>
    <w:p w14:paraId="6A41E1CC"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Lewis, F., 2022. </w:t>
      </w:r>
      <w:r w:rsidRPr="00CA6CC5">
        <w:rPr>
          <w:rFonts w:ascii="Arial" w:hAnsi="Arial" w:cs="Arial"/>
          <w:i/>
          <w:iCs/>
          <w:sz w:val="24"/>
          <w:szCs w:val="24"/>
        </w:rPr>
        <w:t>Economic Pressures and Mental Health in Hospitality</w:t>
      </w:r>
      <w:r w:rsidRPr="00CA6CC5">
        <w:rPr>
          <w:rFonts w:ascii="Arial" w:hAnsi="Arial" w:cs="Arial"/>
          <w:sz w:val="24"/>
          <w:szCs w:val="24"/>
        </w:rPr>
        <w:t>. Journal of Service Industry Research, 14(2), pp.30–45.</w:t>
      </w:r>
    </w:p>
    <w:p w14:paraId="7C8046D7"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Martin, A., 2023. </w:t>
      </w:r>
      <w:r w:rsidRPr="00CA6CC5">
        <w:rPr>
          <w:rFonts w:ascii="Arial" w:hAnsi="Arial" w:cs="Arial"/>
          <w:i/>
          <w:iCs/>
          <w:sz w:val="24"/>
          <w:szCs w:val="24"/>
        </w:rPr>
        <w:t>Comparative Analysis of Global Hospitality Workforces</w:t>
      </w:r>
      <w:r w:rsidRPr="00CA6CC5">
        <w:rPr>
          <w:rFonts w:ascii="Arial" w:hAnsi="Arial" w:cs="Arial"/>
          <w:sz w:val="24"/>
          <w:szCs w:val="24"/>
        </w:rPr>
        <w:t>. Tourism &amp; Hospitality Review, 25(1), pp.60–78.</w:t>
      </w:r>
    </w:p>
    <w:p w14:paraId="602AB059" w14:textId="77777777" w:rsidR="00CA6CC5" w:rsidRPr="00CA6CC5" w:rsidRDefault="00CA6CC5" w:rsidP="000D672E">
      <w:pPr>
        <w:ind w:left="720"/>
        <w:rPr>
          <w:rFonts w:ascii="Arial" w:hAnsi="Arial" w:cs="Arial"/>
          <w:sz w:val="24"/>
          <w:szCs w:val="24"/>
        </w:rPr>
      </w:pPr>
      <w:r w:rsidRPr="00CA6CC5">
        <w:rPr>
          <w:rFonts w:ascii="Arial" w:hAnsi="Arial" w:cs="Arial"/>
          <w:sz w:val="24"/>
          <w:szCs w:val="24"/>
        </w:rPr>
        <w:t xml:space="preserve">Roberts, D., 2024. </w:t>
      </w:r>
      <w:r w:rsidRPr="00CA6CC5">
        <w:rPr>
          <w:rFonts w:ascii="Arial" w:hAnsi="Arial" w:cs="Arial"/>
          <w:i/>
          <w:iCs/>
          <w:sz w:val="24"/>
          <w:szCs w:val="24"/>
        </w:rPr>
        <w:t>Stigma Reduction Strategies in Hospitality</w:t>
      </w:r>
      <w:r w:rsidRPr="00CA6CC5">
        <w:rPr>
          <w:rFonts w:ascii="Arial" w:hAnsi="Arial" w:cs="Arial"/>
          <w:sz w:val="24"/>
          <w:szCs w:val="24"/>
        </w:rPr>
        <w:t>. International Journal of Hospitality &amp; Tourism, 19(2), pp.100–115.</w:t>
      </w:r>
    </w:p>
    <w:p w14:paraId="3804A2AF" w14:textId="77777777" w:rsidR="00CA6CC5" w:rsidRPr="003E6552" w:rsidRDefault="00CA6CC5">
      <w:pPr>
        <w:rPr>
          <w:rFonts w:ascii="Arial" w:hAnsi="Arial" w:cs="Arial"/>
          <w:sz w:val="24"/>
          <w:szCs w:val="24"/>
        </w:rPr>
      </w:pPr>
    </w:p>
    <w:p w14:paraId="5F5554E4" w14:textId="77777777" w:rsidR="00CA6CC5" w:rsidRDefault="00CA6CC5"/>
    <w:p w14:paraId="7C3A49C1" w14:textId="77777777" w:rsidR="00CA6CC5" w:rsidRDefault="00CA6CC5"/>
    <w:p w14:paraId="391B5829" w14:textId="77777777" w:rsidR="00CA6CC5" w:rsidRDefault="00CA6CC5"/>
    <w:p w14:paraId="6DEEE19A" w14:textId="77777777" w:rsidR="00CA6CC5" w:rsidRDefault="00CA6CC5"/>
    <w:p w14:paraId="597EC26A" w14:textId="77777777" w:rsidR="00CA6CC5" w:rsidRDefault="00CA6CC5"/>
    <w:p w14:paraId="54464572" w14:textId="77777777" w:rsidR="00CA6CC5" w:rsidRDefault="00CA6CC5"/>
    <w:p w14:paraId="6CCFD7D1" w14:textId="77777777" w:rsidR="00CA6CC5" w:rsidRDefault="00CA6CC5"/>
    <w:p w14:paraId="58B55790" w14:textId="77777777" w:rsidR="00CA6CC5" w:rsidRDefault="00CA6CC5"/>
    <w:p w14:paraId="02CCF71F" w14:textId="77777777" w:rsidR="00CA6CC5" w:rsidRDefault="00CA6CC5"/>
    <w:p w14:paraId="5105D463" w14:textId="77777777" w:rsidR="00CA6CC5" w:rsidRDefault="00CA6CC5"/>
    <w:p w14:paraId="27E97462" w14:textId="77777777" w:rsidR="00CA6CC5" w:rsidRDefault="00CA6CC5"/>
    <w:p w14:paraId="4789F80B" w14:textId="77777777" w:rsidR="00CA6CC5" w:rsidRDefault="00CA6CC5"/>
    <w:p w14:paraId="235DF972" w14:textId="77777777" w:rsidR="00CA6CC5" w:rsidRDefault="00CA6CC5"/>
    <w:p w14:paraId="4FD4E867" w14:textId="77777777" w:rsidR="00CA6CC5" w:rsidRDefault="00CA6CC5"/>
    <w:p w14:paraId="1B9A0EAE" w14:textId="77777777" w:rsidR="00CA6CC5" w:rsidRDefault="00CA6CC5"/>
    <w:sectPr w:rsidR="00CA6C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95676E"/>
    <w:multiLevelType w:val="multilevel"/>
    <w:tmpl w:val="4BDC9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5F42FD"/>
    <w:multiLevelType w:val="multilevel"/>
    <w:tmpl w:val="4F723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851978">
    <w:abstractNumId w:val="0"/>
  </w:num>
  <w:num w:numId="2" w16cid:durableId="5310672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CC5"/>
    <w:rsid w:val="00096C67"/>
    <w:rsid w:val="000B1AC4"/>
    <w:rsid w:val="000D672E"/>
    <w:rsid w:val="00127158"/>
    <w:rsid w:val="00170F28"/>
    <w:rsid w:val="00193686"/>
    <w:rsid w:val="001C0A36"/>
    <w:rsid w:val="00242961"/>
    <w:rsid w:val="00280CE9"/>
    <w:rsid w:val="002B2635"/>
    <w:rsid w:val="002E0BC1"/>
    <w:rsid w:val="003812FB"/>
    <w:rsid w:val="003E6552"/>
    <w:rsid w:val="00501C8B"/>
    <w:rsid w:val="00592926"/>
    <w:rsid w:val="005B3883"/>
    <w:rsid w:val="006D7BCC"/>
    <w:rsid w:val="00715052"/>
    <w:rsid w:val="00740C5E"/>
    <w:rsid w:val="008A40AE"/>
    <w:rsid w:val="009D63A1"/>
    <w:rsid w:val="00A10671"/>
    <w:rsid w:val="00A50B46"/>
    <w:rsid w:val="00AE0126"/>
    <w:rsid w:val="00C72CC7"/>
    <w:rsid w:val="00CA6CC5"/>
    <w:rsid w:val="00CD0187"/>
    <w:rsid w:val="00CE0A36"/>
    <w:rsid w:val="00D012CB"/>
    <w:rsid w:val="00D4170F"/>
    <w:rsid w:val="00E00A47"/>
    <w:rsid w:val="00F03995"/>
    <w:rsid w:val="00F439AB"/>
    <w:rsid w:val="00F96767"/>
    <w:rsid w:val="00FC3845"/>
    <w:rsid w:val="00FF5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A619D"/>
  <w15:chartTrackingRefBased/>
  <w15:docId w15:val="{DA3FFC50-7E50-4510-8D88-1A10A2DFD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C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A6C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A6C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A6C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A6C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A6C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6C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6C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6C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C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A6C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A6C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6C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6C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6C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6C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6C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6CC5"/>
    <w:rPr>
      <w:rFonts w:eastAsiaTheme="majorEastAsia" w:cstheme="majorBidi"/>
      <w:color w:val="272727" w:themeColor="text1" w:themeTint="D8"/>
    </w:rPr>
  </w:style>
  <w:style w:type="paragraph" w:styleId="Title">
    <w:name w:val="Title"/>
    <w:basedOn w:val="Normal"/>
    <w:next w:val="Normal"/>
    <w:link w:val="TitleChar"/>
    <w:uiPriority w:val="10"/>
    <w:qFormat/>
    <w:rsid w:val="00CA6C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6C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6C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6C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6CC5"/>
    <w:pPr>
      <w:spacing w:before="160"/>
      <w:jc w:val="center"/>
    </w:pPr>
    <w:rPr>
      <w:i/>
      <w:iCs/>
      <w:color w:val="404040" w:themeColor="text1" w:themeTint="BF"/>
    </w:rPr>
  </w:style>
  <w:style w:type="character" w:customStyle="1" w:styleId="QuoteChar">
    <w:name w:val="Quote Char"/>
    <w:basedOn w:val="DefaultParagraphFont"/>
    <w:link w:val="Quote"/>
    <w:uiPriority w:val="29"/>
    <w:rsid w:val="00CA6CC5"/>
    <w:rPr>
      <w:i/>
      <w:iCs/>
      <w:color w:val="404040" w:themeColor="text1" w:themeTint="BF"/>
    </w:rPr>
  </w:style>
  <w:style w:type="paragraph" w:styleId="ListParagraph">
    <w:name w:val="List Paragraph"/>
    <w:basedOn w:val="Normal"/>
    <w:uiPriority w:val="34"/>
    <w:qFormat/>
    <w:rsid w:val="00CA6CC5"/>
    <w:pPr>
      <w:ind w:left="720"/>
      <w:contextualSpacing/>
    </w:pPr>
  </w:style>
  <w:style w:type="character" w:styleId="IntenseEmphasis">
    <w:name w:val="Intense Emphasis"/>
    <w:basedOn w:val="DefaultParagraphFont"/>
    <w:uiPriority w:val="21"/>
    <w:qFormat/>
    <w:rsid w:val="00CA6CC5"/>
    <w:rPr>
      <w:i/>
      <w:iCs/>
      <w:color w:val="2F5496" w:themeColor="accent1" w:themeShade="BF"/>
    </w:rPr>
  </w:style>
  <w:style w:type="paragraph" w:styleId="IntenseQuote">
    <w:name w:val="Intense Quote"/>
    <w:basedOn w:val="Normal"/>
    <w:next w:val="Normal"/>
    <w:link w:val="IntenseQuoteChar"/>
    <w:uiPriority w:val="30"/>
    <w:qFormat/>
    <w:rsid w:val="00CA6C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6CC5"/>
    <w:rPr>
      <w:i/>
      <w:iCs/>
      <w:color w:val="2F5496" w:themeColor="accent1" w:themeShade="BF"/>
    </w:rPr>
  </w:style>
  <w:style w:type="character" w:styleId="IntenseReference">
    <w:name w:val="Intense Reference"/>
    <w:basedOn w:val="DefaultParagraphFont"/>
    <w:uiPriority w:val="32"/>
    <w:qFormat/>
    <w:rsid w:val="00CA6CC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447572d34b333a0e95248e352aa7ff5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b737289b320760f71d0d2530ae40118"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B4C51AC-9D67-4831-8F0C-5D1A9E8B75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A9B9345-5F86-42F3-BEDF-243AE8770D03}">
  <ds:schemaRefs>
    <ds:schemaRef ds:uri="http://schemas.microsoft.com/sharepoint/v3/contenttype/forms"/>
  </ds:schemaRefs>
</ds:datastoreItem>
</file>

<file path=customXml/itemProps3.xml><?xml version="1.0" encoding="utf-8"?>
<ds:datastoreItem xmlns:ds="http://schemas.openxmlformats.org/officeDocument/2006/customXml" ds:itemID="{55BB4043-8358-4D60-BF47-2A108A05BE7F}">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5679</TotalTime>
  <Pages>16</Pages>
  <Words>3922</Words>
  <Characters>21967</Characters>
  <Application>Microsoft Office Word</Application>
  <DocSecurity>0</DocSecurity>
  <Lines>21967</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32</cp:revision>
  <dcterms:created xsi:type="dcterms:W3CDTF">2025-10-26T11:49:00Z</dcterms:created>
  <dcterms:modified xsi:type="dcterms:W3CDTF">2025-10-30T21:01:00Z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