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otnotes+xml" PartName="/word/footnot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2.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rPr>
          <w:rFonts w:ascii="Calibri" w:cs="Calibri" w:eastAsia="Calibri" w:hAnsi="Calibri"/>
        </w:rPr>
      </w:pPr>
      <w:r w:rsidDel="00000000" w:rsidR="00000000" w:rsidRPr="00000000">
        <w:rPr>
          <w:rFonts w:ascii="Calibri" w:cs="Calibri" w:eastAsia="Calibri" w:hAnsi="Calibri"/>
          <w:b w:val="1"/>
          <w:u w:val="single"/>
          <w:rtl w:val="0"/>
        </w:rPr>
        <w:t xml:space="preserve">What is meant by the ‘internalist’ approach to issues about knowledge and justification? What do you consider to be its chief philosophical advantages and/or drawbacks?</w:t>
      </w:r>
      <w:r w:rsidDel="00000000" w:rsidR="00000000" w:rsidRPr="00000000">
        <w:rPr>
          <w:rtl w:val="0"/>
        </w:rPr>
      </w:r>
    </w:p>
    <w:p w:rsidR="00000000" w:rsidDel="00000000" w:rsidP="00000000" w:rsidRDefault="00000000" w:rsidRPr="00000000" w14:paraId="00000002">
      <w:pPr>
        <w:rPr>
          <w:rFonts w:ascii="Calibri" w:cs="Calibri" w:eastAsia="Calibri" w:hAnsi="Calibri"/>
        </w:rPr>
      </w:pPr>
      <w:r w:rsidDel="00000000" w:rsidR="00000000" w:rsidRPr="00000000">
        <w:rPr>
          <w:rFonts w:ascii="Calibri" w:cs="Calibri" w:eastAsia="Calibri" w:hAnsi="Calibri"/>
          <w:rtl w:val="0"/>
        </w:rPr>
        <w:t xml:space="preserve">Internalism has been defined as being the theory that justification for beliefs and actions are either the result of or are not entirely independent from internal states, processes, etc. American philosopher Roderick Chisholm, for example, is one philosopher well known for his internalist stance and who, in his book </w:t>
      </w:r>
      <w:r w:rsidDel="00000000" w:rsidR="00000000" w:rsidRPr="00000000">
        <w:rPr>
          <w:rFonts w:ascii="Calibri" w:cs="Calibri" w:eastAsia="Calibri" w:hAnsi="Calibri"/>
          <w:i w:val="1"/>
          <w:rtl w:val="0"/>
        </w:rPr>
        <w:t xml:space="preserve">Theory of Knowledge,</w:t>
      </w:r>
      <w:r w:rsidDel="00000000" w:rsidR="00000000" w:rsidRPr="00000000">
        <w:rPr>
          <w:rFonts w:ascii="Calibri" w:cs="Calibri" w:eastAsia="Calibri" w:hAnsi="Calibri"/>
          <w:rtl w:val="0"/>
        </w:rPr>
        <w:t xml:space="preserve"> understood it similarly, writing that, “The internalist assumes that, merely by reflecting upon his own conscious state, he can formulate a set of epistemic principles that will enable him to find out, with respect to any possible belief he has, whether he is justified in having that belief”</w:t>
      </w:r>
      <w:r w:rsidDel="00000000" w:rsidR="00000000" w:rsidRPr="00000000">
        <w:rPr>
          <w:rFonts w:ascii="Calibri" w:cs="Calibri" w:eastAsia="Calibri" w:hAnsi="Calibri"/>
          <w:vertAlign w:val="superscript"/>
        </w:rPr>
        <w:footnoteReference w:customMarkFollows="0" w:id="0"/>
      </w:r>
      <w:r w:rsidDel="00000000" w:rsidR="00000000" w:rsidRPr="00000000">
        <w:rPr>
          <w:rFonts w:ascii="Calibri" w:cs="Calibri" w:eastAsia="Calibri" w:hAnsi="Calibri"/>
          <w:rtl w:val="0"/>
        </w:rPr>
        <w:t xml:space="preserve"> and that the principles thus created can be applied “merely by sitting in one's armchair, so to speak,”</w:t>
      </w:r>
      <w:r w:rsidDel="00000000" w:rsidR="00000000" w:rsidRPr="00000000">
        <w:rPr>
          <w:rFonts w:ascii="Calibri" w:cs="Calibri" w:eastAsia="Calibri" w:hAnsi="Calibri"/>
          <w:vertAlign w:val="superscript"/>
        </w:rPr>
        <w:footnoteReference w:customMarkFollows="0" w:id="1"/>
      </w:r>
      <w:r w:rsidDel="00000000" w:rsidR="00000000" w:rsidRPr="00000000">
        <w:rPr>
          <w:rFonts w:ascii="Calibri" w:cs="Calibri" w:eastAsia="Calibri" w:hAnsi="Calibri"/>
          <w:rtl w:val="0"/>
        </w:rPr>
        <w:t xml:space="preserve">. In contrast, externalism is the theory that justification for beliefs or actions are the result of external processes, and where “reasons are to</w:t>
      </w:r>
    </w:p>
    <w:p w:rsidR="00000000" w:rsidDel="00000000" w:rsidP="00000000" w:rsidRDefault="00000000" w:rsidRPr="00000000" w14:paraId="00000003">
      <w:pPr>
        <w:rPr>
          <w:rFonts w:ascii="Calibri" w:cs="Calibri" w:eastAsia="Calibri" w:hAnsi="Calibri"/>
        </w:rPr>
      </w:pPr>
      <w:r w:rsidDel="00000000" w:rsidR="00000000" w:rsidRPr="00000000">
        <w:rPr>
          <w:rFonts w:ascii="Calibri" w:cs="Calibri" w:eastAsia="Calibri" w:hAnsi="Calibri"/>
          <w:rtl w:val="0"/>
        </w:rPr>
        <w:t xml:space="preserve">be identified with objective features of the world.”</w:t>
      </w:r>
      <w:r w:rsidDel="00000000" w:rsidR="00000000" w:rsidRPr="00000000">
        <w:rPr>
          <w:rFonts w:ascii="Calibri" w:cs="Calibri" w:eastAsia="Calibri" w:hAnsi="Calibri"/>
          <w:vertAlign w:val="superscript"/>
        </w:rPr>
        <w:footnoteReference w:customMarkFollows="0" w:id="2"/>
      </w:r>
      <w:r w:rsidDel="00000000" w:rsidR="00000000" w:rsidRPr="00000000">
        <w:rPr>
          <w:rtl w:val="0"/>
        </w:rPr>
      </w:r>
    </w:p>
    <w:p w:rsidR="00000000" w:rsidDel="00000000" w:rsidP="00000000" w:rsidRDefault="00000000" w:rsidRPr="00000000" w14:paraId="00000004">
      <w:pPr>
        <w:rPr>
          <w:rFonts w:ascii="Calibri" w:cs="Calibri" w:eastAsia="Calibri" w:hAnsi="Calibri"/>
        </w:rPr>
      </w:pPr>
      <w:r w:rsidDel="00000000" w:rsidR="00000000" w:rsidRPr="00000000">
        <w:rPr>
          <w:rtl w:val="0"/>
        </w:rPr>
      </w:r>
    </w:p>
    <w:p w:rsidR="00000000" w:rsidDel="00000000" w:rsidP="00000000" w:rsidRDefault="00000000" w:rsidRPr="00000000" w14:paraId="00000005">
      <w:pPr>
        <w:rPr>
          <w:rFonts w:ascii="Calibri" w:cs="Calibri" w:eastAsia="Calibri" w:hAnsi="Calibri"/>
        </w:rPr>
      </w:pPr>
      <w:r w:rsidDel="00000000" w:rsidR="00000000" w:rsidRPr="00000000">
        <w:rPr>
          <w:rFonts w:ascii="Calibri" w:cs="Calibri" w:eastAsia="Calibri" w:hAnsi="Calibri"/>
          <w:rtl w:val="0"/>
        </w:rPr>
        <w:t xml:space="preserve">Justification itself is concerned with whether or not the methods used are good ones or not - whether, for example, they are appropriate methods or strategies to employ - as well as being the right standing of belief in regards to knowledge, though there is some disagreement over what right standing may mean</w:t>
      </w:r>
      <w:r w:rsidDel="00000000" w:rsidR="00000000" w:rsidRPr="00000000">
        <w:rPr>
          <w:rFonts w:ascii="Calibri" w:cs="Calibri" w:eastAsia="Calibri" w:hAnsi="Calibri"/>
          <w:vertAlign w:val="superscript"/>
        </w:rPr>
        <w:footnoteReference w:customMarkFollows="0" w:id="3"/>
      </w:r>
      <w:r w:rsidDel="00000000" w:rsidR="00000000" w:rsidRPr="00000000">
        <w:rPr>
          <w:rFonts w:ascii="Calibri" w:cs="Calibri" w:eastAsia="Calibri" w:hAnsi="Calibri"/>
          <w:rtl w:val="0"/>
        </w:rPr>
        <w:t xml:space="preserve">. Some arguments state that right standing is concerned as to whether or not a belief is more likely to be true, where others argue it relates to what is more likely to knowledge, and still others that right standing refers to whether beliefs were formed or were held responsibly.</w:t>
      </w:r>
    </w:p>
    <w:p w:rsidR="00000000" w:rsidDel="00000000" w:rsidP="00000000" w:rsidRDefault="00000000" w:rsidRPr="00000000" w14:paraId="00000006">
      <w:pPr>
        <w:rPr>
          <w:rFonts w:ascii="Calibri" w:cs="Calibri" w:eastAsia="Calibri" w:hAnsi="Calibri"/>
        </w:rPr>
      </w:pPr>
      <w:r w:rsidDel="00000000" w:rsidR="00000000" w:rsidRPr="00000000">
        <w:rPr>
          <w:rtl w:val="0"/>
        </w:rPr>
      </w:r>
    </w:p>
    <w:p w:rsidR="00000000" w:rsidDel="00000000" w:rsidP="00000000" w:rsidRDefault="00000000" w:rsidRPr="00000000" w14:paraId="00000007">
      <w:pPr>
        <w:rPr>
          <w:rFonts w:ascii="Calibri" w:cs="Calibri" w:eastAsia="Calibri" w:hAnsi="Calibri"/>
        </w:rPr>
      </w:pPr>
      <w:r w:rsidDel="00000000" w:rsidR="00000000" w:rsidRPr="00000000">
        <w:rPr>
          <w:rFonts w:ascii="Calibri" w:cs="Calibri" w:eastAsia="Calibri" w:hAnsi="Calibri"/>
          <w:rtl w:val="0"/>
        </w:rPr>
        <w:t xml:space="preserve">Often, internalism is linked to evidentialism, evidentialism being the thesis that a belief is justified so long as it fits with the evidence, or that the evidence corroborates the belief</w:t>
      </w:r>
      <w:r w:rsidDel="00000000" w:rsidR="00000000" w:rsidRPr="00000000">
        <w:rPr>
          <w:rFonts w:ascii="Calibri" w:cs="Calibri" w:eastAsia="Calibri" w:hAnsi="Calibri"/>
          <w:vertAlign w:val="superscript"/>
        </w:rPr>
        <w:footnoteReference w:customMarkFollows="0" w:id="4"/>
      </w:r>
      <w:r w:rsidDel="00000000" w:rsidR="00000000" w:rsidRPr="00000000">
        <w:rPr>
          <w:rFonts w:ascii="Calibri" w:cs="Calibri" w:eastAsia="Calibri" w:hAnsi="Calibri"/>
          <w:rtl w:val="0"/>
        </w:rPr>
        <w:t xml:space="preserve">, as well as being justified or not based on the quality of that evidence</w:t>
      </w:r>
      <w:r w:rsidDel="00000000" w:rsidR="00000000" w:rsidRPr="00000000">
        <w:rPr>
          <w:rFonts w:ascii="Calibri" w:cs="Calibri" w:eastAsia="Calibri" w:hAnsi="Calibri"/>
          <w:vertAlign w:val="superscript"/>
        </w:rPr>
        <w:footnoteReference w:customMarkFollows="0" w:id="5"/>
      </w:r>
      <w:r w:rsidDel="00000000" w:rsidR="00000000" w:rsidRPr="00000000">
        <w:rPr>
          <w:rFonts w:ascii="Calibri" w:cs="Calibri" w:eastAsia="Calibri" w:hAnsi="Calibri"/>
          <w:rtl w:val="0"/>
        </w:rPr>
        <w:t xml:space="preserve">. For example, “Doxastic attitude D toward proposition p is epistemically justified for S at t if and only if having D toward p fits the evidence S has at t”</w:t>
      </w:r>
      <w:r w:rsidDel="00000000" w:rsidR="00000000" w:rsidRPr="00000000">
        <w:rPr>
          <w:rFonts w:ascii="Calibri" w:cs="Calibri" w:eastAsia="Calibri" w:hAnsi="Calibri"/>
          <w:vertAlign w:val="superscript"/>
        </w:rPr>
        <w:footnoteReference w:customMarkFollows="0" w:id="6"/>
      </w:r>
      <w:r w:rsidDel="00000000" w:rsidR="00000000" w:rsidRPr="00000000">
        <w:rPr>
          <w:rFonts w:ascii="Calibri" w:cs="Calibri" w:eastAsia="Calibri" w:hAnsi="Calibri"/>
          <w:rtl w:val="0"/>
        </w:rPr>
        <w:t xml:space="preserve">. This link between internalism and evidentialism originates from what can or does constitute as evidence, which may be obtained either through an external process, or more commonly through internal processes such as by feeling warm, or seeing the colour blue</w:t>
      </w:r>
      <w:r w:rsidDel="00000000" w:rsidR="00000000" w:rsidRPr="00000000">
        <w:rPr>
          <w:rFonts w:ascii="Calibri" w:cs="Calibri" w:eastAsia="Calibri" w:hAnsi="Calibri"/>
          <w:vertAlign w:val="superscript"/>
        </w:rPr>
        <w:footnoteReference w:customMarkFollows="0" w:id="7"/>
      </w:r>
      <w:r w:rsidDel="00000000" w:rsidR="00000000" w:rsidRPr="00000000">
        <w:rPr>
          <w:rFonts w:ascii="Calibri" w:cs="Calibri" w:eastAsia="Calibri" w:hAnsi="Calibri"/>
          <w:rtl w:val="0"/>
        </w:rPr>
        <w:t xml:space="preserve">.</w:t>
      </w:r>
    </w:p>
    <w:p w:rsidR="00000000" w:rsidDel="00000000" w:rsidP="00000000" w:rsidRDefault="00000000" w:rsidRPr="00000000" w14:paraId="00000008">
      <w:pPr>
        <w:rPr>
          <w:rFonts w:ascii="Calibri" w:cs="Calibri" w:eastAsia="Calibri" w:hAnsi="Calibri"/>
        </w:rPr>
      </w:pPr>
      <w:r w:rsidDel="00000000" w:rsidR="00000000" w:rsidRPr="00000000">
        <w:rPr>
          <w:rtl w:val="0"/>
        </w:rPr>
      </w:r>
    </w:p>
    <w:p w:rsidR="00000000" w:rsidDel="00000000" w:rsidP="00000000" w:rsidRDefault="00000000" w:rsidRPr="00000000" w14:paraId="00000009">
      <w:pPr>
        <w:rPr>
          <w:rFonts w:ascii="Calibri" w:cs="Calibri" w:eastAsia="Calibri" w:hAnsi="Calibri"/>
        </w:rPr>
      </w:pPr>
      <w:r w:rsidDel="00000000" w:rsidR="00000000" w:rsidRPr="00000000">
        <w:rPr>
          <w:rFonts w:ascii="Calibri" w:cs="Calibri" w:eastAsia="Calibri" w:hAnsi="Calibri"/>
          <w:rtl w:val="0"/>
        </w:rPr>
        <w:t xml:space="preserve">However, internalism may also be linked with reliabilism - however rarely - with reliabilism being the thesis that a belief may be justified so long as that conclusion is reached through reliable means or processes, or processes that may reliably lead to beliefs that are true</w:t>
      </w:r>
      <w:r w:rsidDel="00000000" w:rsidR="00000000" w:rsidRPr="00000000">
        <w:rPr>
          <w:rFonts w:ascii="Calibri" w:cs="Calibri" w:eastAsia="Calibri" w:hAnsi="Calibri"/>
          <w:vertAlign w:val="superscript"/>
        </w:rPr>
        <w:footnoteReference w:customMarkFollows="0" w:id="8"/>
      </w:r>
      <w:r w:rsidDel="00000000" w:rsidR="00000000" w:rsidRPr="00000000">
        <w:rPr>
          <w:rFonts w:ascii="Calibri" w:cs="Calibri" w:eastAsia="Calibri" w:hAnsi="Calibri"/>
          <w:rtl w:val="0"/>
        </w:rPr>
        <w:t xml:space="preserve">. For example, a man may look out of his window and see a spinning, glowing object which he believes may be an object of extraterrestrial origin, or a craft piloted by extraterrestrials</w:t>
      </w:r>
      <w:r w:rsidDel="00000000" w:rsidR="00000000" w:rsidRPr="00000000">
        <w:rPr>
          <w:rFonts w:ascii="Calibri" w:cs="Calibri" w:eastAsia="Calibri" w:hAnsi="Calibri"/>
          <w:vertAlign w:val="superscript"/>
        </w:rPr>
        <w:footnoteReference w:customMarkFollows="0" w:id="9"/>
      </w:r>
      <w:r w:rsidDel="00000000" w:rsidR="00000000" w:rsidRPr="00000000">
        <w:rPr>
          <w:rFonts w:ascii="Calibri" w:cs="Calibri" w:eastAsia="Calibri" w:hAnsi="Calibri"/>
          <w:rtl w:val="0"/>
        </w:rPr>
        <w:t xml:space="preserve">; his belief may be justified due to visual processes generally being reliable to provide justification for a belief that, generally, prove to be true.</w:t>
      </w:r>
    </w:p>
    <w:p w:rsidR="00000000" w:rsidDel="00000000" w:rsidP="00000000" w:rsidRDefault="00000000" w:rsidRPr="00000000" w14:paraId="0000000A">
      <w:pPr>
        <w:rPr>
          <w:rFonts w:ascii="Calibri" w:cs="Calibri" w:eastAsia="Calibri" w:hAnsi="Calibri"/>
        </w:rPr>
      </w:pPr>
      <w:r w:rsidDel="00000000" w:rsidR="00000000" w:rsidRPr="00000000">
        <w:rPr>
          <w:rtl w:val="0"/>
        </w:rPr>
      </w:r>
    </w:p>
    <w:p w:rsidR="00000000" w:rsidDel="00000000" w:rsidP="00000000" w:rsidRDefault="00000000" w:rsidRPr="00000000" w14:paraId="0000000B">
      <w:pPr>
        <w:rPr>
          <w:rFonts w:ascii="Calibri" w:cs="Calibri" w:eastAsia="Calibri" w:hAnsi="Calibri"/>
        </w:rPr>
      </w:pPr>
      <w:r w:rsidDel="00000000" w:rsidR="00000000" w:rsidRPr="00000000">
        <w:rPr>
          <w:rFonts w:ascii="Calibri" w:cs="Calibri" w:eastAsia="Calibri" w:hAnsi="Calibri"/>
          <w:rtl w:val="0"/>
        </w:rPr>
        <w:t xml:space="preserve">Yet these two methods of justification, both evidentialism and reliabilism, have a number of different advantages and drawbacks that may arise through their application, and their applicability to different situations may vary greatly depending on conditions within those situations.</w:t>
      </w:r>
      <w:r w:rsidDel="00000000" w:rsidR="00000000" w:rsidRPr="00000000">
        <w:rPr>
          <w:rtl w:val="0"/>
        </w:rPr>
      </w:r>
    </w:p>
    <w:p w:rsidR="00000000" w:rsidDel="00000000" w:rsidP="00000000" w:rsidRDefault="00000000" w:rsidRPr="00000000" w14:paraId="0000000C">
      <w:pPr>
        <w:rPr>
          <w:rFonts w:ascii="Calibri" w:cs="Calibri" w:eastAsia="Calibri" w:hAnsi="Calibri"/>
        </w:rPr>
      </w:pPr>
      <w:r w:rsidDel="00000000" w:rsidR="00000000" w:rsidRPr="00000000">
        <w:rPr>
          <w:rtl w:val="0"/>
        </w:rPr>
      </w:r>
    </w:p>
    <w:p w:rsidR="00000000" w:rsidDel="00000000" w:rsidP="00000000" w:rsidRDefault="00000000" w:rsidRPr="00000000" w14:paraId="0000000D">
      <w:pPr>
        <w:rPr>
          <w:rFonts w:ascii="Calibri" w:cs="Calibri" w:eastAsia="Calibri" w:hAnsi="Calibri"/>
        </w:rPr>
      </w:pPr>
      <w:r w:rsidDel="00000000" w:rsidR="00000000" w:rsidRPr="00000000">
        <w:rPr>
          <w:rFonts w:ascii="Calibri" w:cs="Calibri" w:eastAsia="Calibri" w:hAnsi="Calibri"/>
          <w:rtl w:val="0"/>
        </w:rPr>
        <w:t xml:space="preserve">Evidentialism, for example, as a method of justification may be considered of greater worth than </w:t>
      </w:r>
      <w:r w:rsidDel="00000000" w:rsidR="00000000" w:rsidRPr="00000000">
        <w:rPr>
          <w:rFonts w:ascii="Calibri" w:cs="Calibri" w:eastAsia="Calibri" w:hAnsi="Calibri"/>
          <w:rtl w:val="0"/>
        </w:rPr>
        <w:t xml:space="preserve">reliabilism</w:t>
      </w:r>
      <w:r w:rsidDel="00000000" w:rsidR="00000000" w:rsidRPr="00000000">
        <w:rPr>
          <w:rFonts w:ascii="Calibri" w:cs="Calibri" w:eastAsia="Calibri" w:hAnsi="Calibri"/>
          <w:rtl w:val="0"/>
        </w:rPr>
        <w:t xml:space="preserve"> because it provides evidence in order to support claims and does not rely on a process being simply reliable. A man might, for instance, belief that his garden contains flowers, because he can look through his window and observe them, and this belief is justified through evidentialist means because the evidence he acquires justifies or is the origin for the belief, whereas through reliabilism his belief would be justified because gardens often contain flowers, even though his own may not.</w:t>
      </w:r>
    </w:p>
    <w:p w:rsidR="00000000" w:rsidDel="00000000" w:rsidP="00000000" w:rsidRDefault="00000000" w:rsidRPr="00000000" w14:paraId="0000000E">
      <w:pPr>
        <w:rPr>
          <w:rFonts w:ascii="Calibri" w:cs="Calibri" w:eastAsia="Calibri" w:hAnsi="Calibri"/>
        </w:rPr>
      </w:pPr>
      <w:r w:rsidDel="00000000" w:rsidR="00000000" w:rsidRPr="00000000">
        <w:rPr>
          <w:rtl w:val="0"/>
        </w:rPr>
      </w:r>
    </w:p>
    <w:p w:rsidR="00000000" w:rsidDel="00000000" w:rsidP="00000000" w:rsidRDefault="00000000" w:rsidRPr="00000000" w14:paraId="0000000F">
      <w:pPr>
        <w:rPr>
          <w:rFonts w:ascii="Calibri" w:cs="Calibri" w:eastAsia="Calibri" w:hAnsi="Calibri"/>
        </w:rPr>
      </w:pPr>
      <w:r w:rsidDel="00000000" w:rsidR="00000000" w:rsidRPr="00000000">
        <w:rPr>
          <w:rFonts w:ascii="Calibri" w:cs="Calibri" w:eastAsia="Calibri" w:hAnsi="Calibri"/>
          <w:rtl w:val="0"/>
        </w:rPr>
        <w:t xml:space="preserve">Conversely, however, are a number of criticisms of evidentialism. One example of criticism may be on voluntary or involuntary beliefs; there may, for example, be situations where an attitude or belief fits someone’s evidence yet the person has no control over whether or not they form that attitude or belief,</w:t>
      </w:r>
      <w:r w:rsidDel="00000000" w:rsidR="00000000" w:rsidRPr="00000000">
        <w:rPr>
          <w:rFonts w:ascii="Calibri" w:cs="Calibri" w:eastAsia="Calibri" w:hAnsi="Calibri"/>
          <w:vertAlign w:val="superscript"/>
        </w:rPr>
        <w:footnoteReference w:customMarkFollows="0" w:id="10"/>
      </w:r>
      <w:r w:rsidDel="00000000" w:rsidR="00000000" w:rsidRPr="00000000">
        <w:rPr>
          <w:rFonts w:ascii="Calibri" w:cs="Calibri" w:eastAsia="Calibri" w:hAnsi="Calibri"/>
          <w:rtl w:val="0"/>
        </w:rPr>
        <w:t xml:space="preserve"> which some - such as John Heil who says that speaking of someone’s belief as justified and warranted makes it seem as though something can be under voluntary control,</w:t>
      </w:r>
      <w:r w:rsidDel="00000000" w:rsidR="00000000" w:rsidRPr="00000000">
        <w:rPr>
          <w:rFonts w:ascii="Calibri" w:cs="Calibri" w:eastAsia="Calibri" w:hAnsi="Calibri"/>
          <w:vertAlign w:val="superscript"/>
        </w:rPr>
        <w:footnoteReference w:customMarkFollows="0" w:id="11"/>
      </w:r>
      <w:r w:rsidDel="00000000" w:rsidR="00000000" w:rsidRPr="00000000">
        <w:rPr>
          <w:rFonts w:ascii="Calibri" w:cs="Calibri" w:eastAsia="Calibri" w:hAnsi="Calibri"/>
          <w:rtl w:val="0"/>
        </w:rPr>
        <w:t xml:space="preserve"> with Hilary Kornblith speaking similarly, deeming it unfair to evaluate beliefs even when they may be involuntarily held</w:t>
      </w:r>
      <w:r w:rsidDel="00000000" w:rsidR="00000000" w:rsidRPr="00000000">
        <w:rPr>
          <w:rFonts w:ascii="Calibri" w:cs="Calibri" w:eastAsia="Calibri" w:hAnsi="Calibri"/>
          <w:vertAlign w:val="superscript"/>
        </w:rPr>
        <w:footnoteReference w:customMarkFollows="0" w:id="12"/>
      </w:r>
      <w:r w:rsidDel="00000000" w:rsidR="00000000" w:rsidRPr="00000000">
        <w:rPr>
          <w:rFonts w:ascii="Calibri" w:cs="Calibri" w:eastAsia="Calibri" w:hAnsi="Calibri"/>
          <w:rtl w:val="0"/>
        </w:rPr>
        <w:t xml:space="preserve"> - find contentious. However, this criticism of evidentialism does not seem entirely warranted - an attitude or belief, no matter if it is voluntarily or involuntarily formed or held, ought to be both suitable for and held to evaluative account</w:t>
      </w:r>
      <w:r w:rsidDel="00000000" w:rsidR="00000000" w:rsidRPr="00000000">
        <w:rPr>
          <w:rFonts w:ascii="Calibri" w:cs="Calibri" w:eastAsia="Calibri" w:hAnsi="Calibri"/>
          <w:vertAlign w:val="superscript"/>
        </w:rPr>
        <w:footnoteReference w:customMarkFollows="0" w:id="13"/>
      </w:r>
      <w:r w:rsidDel="00000000" w:rsidR="00000000" w:rsidRPr="00000000">
        <w:rPr>
          <w:rFonts w:ascii="Calibri" w:cs="Calibri" w:eastAsia="Calibri" w:hAnsi="Calibri"/>
          <w:rtl w:val="0"/>
        </w:rPr>
        <w:t xml:space="preserve">. Someone who involuntarily believes the lights are on due to a sufficiently convincing perception is justified regardless of whether or not the belief and the processes that led to it can be voluntarily lost or modified, and a man suffering from paranoia who believes that he is spied on without any sort of evidence holds an unjustified belief even with that belief also being involuntary.</w:t>
      </w:r>
    </w:p>
    <w:p w:rsidR="00000000" w:rsidDel="00000000" w:rsidP="00000000" w:rsidRDefault="00000000" w:rsidRPr="00000000" w14:paraId="00000010">
      <w:pPr>
        <w:rPr>
          <w:rFonts w:ascii="Calibri" w:cs="Calibri" w:eastAsia="Calibri" w:hAnsi="Calibri"/>
        </w:rPr>
      </w:pPr>
      <w:r w:rsidDel="00000000" w:rsidR="00000000" w:rsidRPr="00000000">
        <w:rPr>
          <w:rtl w:val="0"/>
        </w:rPr>
      </w:r>
    </w:p>
    <w:p w:rsidR="00000000" w:rsidDel="00000000" w:rsidP="00000000" w:rsidRDefault="00000000" w:rsidRPr="00000000" w14:paraId="00000011">
      <w:pPr>
        <w:rPr>
          <w:rFonts w:ascii="Calibri" w:cs="Calibri" w:eastAsia="Calibri" w:hAnsi="Calibri"/>
        </w:rPr>
      </w:pPr>
      <w:r w:rsidDel="00000000" w:rsidR="00000000" w:rsidRPr="00000000">
        <w:rPr>
          <w:rFonts w:ascii="Calibri" w:cs="Calibri" w:eastAsia="Calibri" w:hAnsi="Calibri"/>
          <w:rtl w:val="0"/>
        </w:rPr>
        <w:t xml:space="preserve">Another criticism may be that a belief may be held despite a person lacking evidence to support it - such as a belief in God, as outlined by William James in </w:t>
      </w:r>
      <w:r w:rsidDel="00000000" w:rsidR="00000000" w:rsidRPr="00000000">
        <w:rPr>
          <w:rFonts w:ascii="Calibri" w:cs="Calibri" w:eastAsia="Calibri" w:hAnsi="Calibri"/>
          <w:i w:val="1"/>
          <w:rtl w:val="0"/>
        </w:rPr>
        <w:t xml:space="preserve">The Theory of Knowledge</w:t>
      </w:r>
      <w:r w:rsidDel="00000000" w:rsidR="00000000" w:rsidRPr="00000000">
        <w:rPr>
          <w:rFonts w:ascii="Calibri" w:cs="Calibri" w:eastAsia="Calibri" w:hAnsi="Calibri"/>
          <w:rtl w:val="0"/>
        </w:rPr>
        <w:t xml:space="preserve"> where he argues that a belief in God may be justified even in the absence of evidence so long as both believing in God and disbelieving in him is an option, and that believing in God offers something that cannot be gained by failing to believe</w:t>
      </w:r>
      <w:r w:rsidDel="00000000" w:rsidR="00000000" w:rsidRPr="00000000">
        <w:rPr>
          <w:rFonts w:ascii="Calibri" w:cs="Calibri" w:eastAsia="Calibri" w:hAnsi="Calibri"/>
          <w:vertAlign w:val="superscript"/>
        </w:rPr>
        <w:footnoteReference w:customMarkFollows="0" w:id="14"/>
      </w:r>
      <w:r w:rsidDel="00000000" w:rsidR="00000000" w:rsidRPr="00000000">
        <w:rPr>
          <w:rFonts w:ascii="Calibri" w:cs="Calibri" w:eastAsia="Calibri" w:hAnsi="Calibri"/>
          <w:rtl w:val="0"/>
        </w:rPr>
        <w:t xml:space="preserve">. Arguably, however, James is holding a belief in God to a standard not afforded to others - why should a belief in God, or any god, not be evaluated under evidentialist means when a man who believes he is God is? The belief of the man that he is God is not justified because he is incapable, for example, of summoning a tornado of fire which would provide evidence for his claim. The belief that God does not exist is, it can be said, justified because God does not reveal himself or offer any sort of evidence for his existence, whereas the belief in God is not because there is neither credible evidence for his existence nor any value in the claim that belief in him offers something not afforded through disbelief; a man who hears voices in his head may derive some comfort from them speaking to him, but that does not mean that the voices are at all real, and nor ought it justify the man’s belief that they are.</w:t>
      </w:r>
    </w:p>
    <w:p w:rsidR="00000000" w:rsidDel="00000000" w:rsidP="00000000" w:rsidRDefault="00000000" w:rsidRPr="00000000" w14:paraId="00000012">
      <w:pPr>
        <w:rPr>
          <w:rFonts w:ascii="Calibri" w:cs="Calibri" w:eastAsia="Calibri" w:hAnsi="Calibri"/>
        </w:rPr>
      </w:pPr>
      <w:r w:rsidDel="00000000" w:rsidR="00000000" w:rsidRPr="00000000">
        <w:rPr>
          <w:rtl w:val="0"/>
        </w:rPr>
      </w:r>
    </w:p>
    <w:p w:rsidR="00000000" w:rsidDel="00000000" w:rsidP="00000000" w:rsidRDefault="00000000" w:rsidRPr="00000000" w14:paraId="00000013">
      <w:pPr>
        <w:rPr>
          <w:rFonts w:ascii="Calibri" w:cs="Calibri" w:eastAsia="Calibri" w:hAnsi="Calibri"/>
        </w:rPr>
      </w:pPr>
      <w:r w:rsidDel="00000000" w:rsidR="00000000" w:rsidRPr="00000000">
        <w:rPr>
          <w:rFonts w:ascii="Calibri" w:cs="Calibri" w:eastAsia="Calibri" w:hAnsi="Calibri"/>
          <w:rtl w:val="0"/>
        </w:rPr>
        <w:t xml:space="preserve">Reliabilism, on the hand, offers very little advantage over evidentialism precisely because it is an incredibly general method of justification, which forms one of the most common criticisms against it; whereas evidentialism may be too specific, which raises the issue of belief in God which generally lacks specifics, reliabilism is almost diametrically opposite in that it is too generalised. The sequence that results in a belief might be formed from many different processes and it might not be clear which one is relevant to the situation at hand, and even when relevant processes have been differentiated from the irrelevant these different processes may offer varying degrees of reliability</w:t>
      </w:r>
      <w:r w:rsidDel="00000000" w:rsidR="00000000" w:rsidRPr="00000000">
        <w:rPr>
          <w:rFonts w:ascii="Calibri" w:cs="Calibri" w:eastAsia="Calibri" w:hAnsi="Calibri"/>
          <w:vertAlign w:val="superscript"/>
        </w:rPr>
        <w:footnoteReference w:customMarkFollows="0" w:id="15"/>
      </w:r>
      <w:r w:rsidDel="00000000" w:rsidR="00000000" w:rsidRPr="00000000">
        <w:rPr>
          <w:rFonts w:ascii="Calibri" w:cs="Calibri" w:eastAsia="Calibri" w:hAnsi="Calibri"/>
          <w:rtl w:val="0"/>
        </w:rPr>
        <w:t xml:space="preserve">. Further, under which conditions may a process be reliable?</w:t>
      </w:r>
      <w:r w:rsidDel="00000000" w:rsidR="00000000" w:rsidRPr="00000000">
        <w:rPr>
          <w:rFonts w:ascii="Calibri" w:cs="Calibri" w:eastAsia="Calibri" w:hAnsi="Calibri"/>
          <w:vertAlign w:val="superscript"/>
        </w:rPr>
        <w:footnoteReference w:customMarkFollows="0" w:id="16"/>
      </w:r>
      <w:r w:rsidDel="00000000" w:rsidR="00000000" w:rsidRPr="00000000">
        <w:rPr>
          <w:rFonts w:ascii="Calibri" w:cs="Calibri" w:eastAsia="Calibri" w:hAnsi="Calibri"/>
          <w:rtl w:val="0"/>
        </w:rPr>
        <w:t xml:space="preserve"> Would a process be considered reliable if under most circumstances and in most similar circumstances those processes led to a true belief, or by the frequency with which the processes lead to true beliefs?</w:t>
      </w:r>
      <w:r w:rsidDel="00000000" w:rsidR="00000000" w:rsidRPr="00000000">
        <w:rPr>
          <w:rFonts w:ascii="Calibri" w:cs="Calibri" w:eastAsia="Calibri" w:hAnsi="Calibri"/>
          <w:vertAlign w:val="superscript"/>
        </w:rPr>
        <w:footnoteReference w:customMarkFollows="0" w:id="17"/>
      </w:r>
      <w:r w:rsidDel="00000000" w:rsidR="00000000" w:rsidRPr="00000000">
        <w:rPr>
          <w:rFonts w:ascii="Calibri" w:cs="Calibri" w:eastAsia="Calibri" w:hAnsi="Calibri"/>
          <w:rtl w:val="0"/>
        </w:rPr>
        <w:t xml:space="preserve"> This generality of </w:t>
      </w:r>
      <w:r w:rsidDel="00000000" w:rsidR="00000000" w:rsidRPr="00000000">
        <w:rPr>
          <w:rFonts w:ascii="Calibri" w:cs="Calibri" w:eastAsia="Calibri" w:hAnsi="Calibri"/>
          <w:rtl w:val="0"/>
        </w:rPr>
        <w:t xml:space="preserve">reliabilism</w:t>
      </w:r>
      <w:r w:rsidDel="00000000" w:rsidR="00000000" w:rsidRPr="00000000">
        <w:rPr>
          <w:rFonts w:ascii="Calibri" w:cs="Calibri" w:eastAsia="Calibri" w:hAnsi="Calibri"/>
          <w:rtl w:val="0"/>
        </w:rPr>
        <w:t xml:space="preserve"> is one of its major shortcomings as a method with which to justify beliefs, even when compared to the issues raised against evidentialism.</w:t>
      </w:r>
    </w:p>
    <w:p w:rsidR="00000000" w:rsidDel="00000000" w:rsidP="00000000" w:rsidRDefault="00000000" w:rsidRPr="00000000" w14:paraId="00000014">
      <w:pPr>
        <w:rPr>
          <w:rFonts w:ascii="Calibri" w:cs="Calibri" w:eastAsia="Calibri" w:hAnsi="Calibri"/>
        </w:rPr>
      </w:pPr>
      <w:r w:rsidDel="00000000" w:rsidR="00000000" w:rsidRPr="00000000">
        <w:rPr>
          <w:rtl w:val="0"/>
        </w:rPr>
      </w:r>
    </w:p>
    <w:p w:rsidR="00000000" w:rsidDel="00000000" w:rsidP="00000000" w:rsidRDefault="00000000" w:rsidRPr="00000000" w14:paraId="00000015">
      <w:pPr>
        <w:rPr>
          <w:rFonts w:ascii="Calibri" w:cs="Calibri" w:eastAsia="Calibri" w:hAnsi="Calibri"/>
        </w:rPr>
      </w:pPr>
      <w:r w:rsidDel="00000000" w:rsidR="00000000" w:rsidRPr="00000000">
        <w:rPr>
          <w:rFonts w:ascii="Calibri" w:cs="Calibri" w:eastAsia="Calibri" w:hAnsi="Calibri"/>
          <w:rtl w:val="0"/>
        </w:rPr>
        <w:t xml:space="preserve">However, reliabilism can lend justification to beliefs for which evidence might be difficult or impossible to obtain, or evidence which is absent entirely. The widely held belief in Hawking Radiation, for example - the radiation emitted from black holes - currently has little to no evidential justification, and is based entirely on the theories of general relativity and quantum mechanics,</w:t>
      </w:r>
      <w:r w:rsidDel="00000000" w:rsidR="00000000" w:rsidRPr="00000000">
        <w:rPr>
          <w:rFonts w:ascii="Calibri" w:cs="Calibri" w:eastAsia="Calibri" w:hAnsi="Calibri"/>
          <w:vertAlign w:val="superscript"/>
        </w:rPr>
        <w:footnoteReference w:customMarkFollows="0" w:id="18"/>
      </w:r>
      <w:r w:rsidDel="00000000" w:rsidR="00000000" w:rsidRPr="00000000">
        <w:rPr>
          <w:rFonts w:ascii="Calibri" w:cs="Calibri" w:eastAsia="Calibri" w:hAnsi="Calibri"/>
          <w:rtl w:val="0"/>
        </w:rPr>
        <w:t xml:space="preserve"> but is justified because it originated from a reliable source - Steven Hawking, who first proposed it in 1974</w:t>
      </w:r>
      <w:r w:rsidDel="00000000" w:rsidR="00000000" w:rsidRPr="00000000">
        <w:rPr>
          <w:rFonts w:ascii="Calibri" w:cs="Calibri" w:eastAsia="Calibri" w:hAnsi="Calibri"/>
          <w:vertAlign w:val="superscript"/>
        </w:rPr>
        <w:footnoteReference w:customMarkFollows="0" w:id="19"/>
      </w:r>
      <w:r w:rsidDel="00000000" w:rsidR="00000000" w:rsidRPr="00000000">
        <w:rPr>
          <w:rFonts w:ascii="Calibri" w:cs="Calibri" w:eastAsia="Calibri" w:hAnsi="Calibri"/>
          <w:rtl w:val="0"/>
        </w:rPr>
        <w:t xml:space="preserve"> to great disbelief</w:t>
      </w:r>
      <w:r w:rsidDel="00000000" w:rsidR="00000000" w:rsidRPr="00000000">
        <w:rPr>
          <w:rFonts w:ascii="Calibri" w:cs="Calibri" w:eastAsia="Calibri" w:hAnsi="Calibri"/>
          <w:vertAlign w:val="superscript"/>
        </w:rPr>
        <w:footnoteReference w:customMarkFollows="0" w:id="20"/>
      </w:r>
      <w:r w:rsidDel="00000000" w:rsidR="00000000" w:rsidRPr="00000000">
        <w:rPr>
          <w:rFonts w:ascii="Calibri" w:cs="Calibri" w:eastAsia="Calibri" w:hAnsi="Calibri"/>
          <w:rtl w:val="0"/>
        </w:rPr>
        <w:t xml:space="preserve"> but has since become widely accepted even by the theory’s most vocal disbelievers</w:t>
      </w:r>
      <w:r w:rsidDel="00000000" w:rsidR="00000000" w:rsidRPr="00000000">
        <w:rPr>
          <w:rFonts w:ascii="Calibri" w:cs="Calibri" w:eastAsia="Calibri" w:hAnsi="Calibri"/>
          <w:vertAlign w:val="superscript"/>
        </w:rPr>
        <w:footnoteReference w:customMarkFollows="0" w:id="21"/>
      </w:r>
      <w:r w:rsidDel="00000000" w:rsidR="00000000" w:rsidRPr="00000000">
        <w:rPr>
          <w:rFonts w:ascii="Calibri" w:cs="Calibri" w:eastAsia="Calibri" w:hAnsi="Calibri"/>
          <w:rtl w:val="0"/>
        </w:rPr>
        <w:t xml:space="preserve"> despite the lack of observational evidence - through reliable processes, using theories that provide reliably accurate results; thus, as the belief was formed and may be justified through reliable processes, and currently justified entirely separate from evidential justification, reliabilism can be proved a viable method for justification in certain situations.</w:t>
      </w:r>
    </w:p>
    <w:p w:rsidR="00000000" w:rsidDel="00000000" w:rsidP="00000000" w:rsidRDefault="00000000" w:rsidRPr="00000000" w14:paraId="00000016">
      <w:pPr>
        <w:rPr>
          <w:rFonts w:ascii="Calibri" w:cs="Calibri" w:eastAsia="Calibri" w:hAnsi="Calibri"/>
        </w:rPr>
      </w:pPr>
      <w:r w:rsidDel="00000000" w:rsidR="00000000" w:rsidRPr="00000000">
        <w:rPr>
          <w:rtl w:val="0"/>
        </w:rPr>
      </w:r>
    </w:p>
    <w:p w:rsidR="00000000" w:rsidDel="00000000" w:rsidP="00000000" w:rsidRDefault="00000000" w:rsidRPr="00000000" w14:paraId="00000017">
      <w:pPr>
        <w:rPr>
          <w:rFonts w:ascii="Calibri" w:cs="Calibri" w:eastAsia="Calibri" w:hAnsi="Calibri"/>
        </w:rPr>
      </w:pPr>
      <w:r w:rsidDel="00000000" w:rsidR="00000000" w:rsidRPr="00000000">
        <w:rPr>
          <w:rFonts w:ascii="Calibri" w:cs="Calibri" w:eastAsia="Calibri" w:hAnsi="Calibri"/>
          <w:rtl w:val="0"/>
        </w:rPr>
        <w:t xml:space="preserve">Often, however, reliabilism is instead associated with externalism rather than internalism, and externalism may offer an alternative yet equally valid impression that would not be afforded otherwise - internalism is a purely internal process, concerned only with the subjective experiences of an individual, whereas externalism deals with objective reality. For example, through internalism a man who hears voices may be justified in believing that that they are real and exist independent from him simply because he can hear them and experience them, and even hold conversations with them as if they were real people, yet through external processes it can be proved that the voices the man hears do not, in fact, exist because there is no objective feature of the world that produces the voices he hears.</w:t>
      </w:r>
    </w:p>
    <w:p w:rsidR="00000000" w:rsidDel="00000000" w:rsidP="00000000" w:rsidRDefault="00000000" w:rsidRPr="00000000" w14:paraId="00000018">
      <w:pPr>
        <w:rPr>
          <w:rFonts w:ascii="Calibri" w:cs="Calibri" w:eastAsia="Calibri" w:hAnsi="Calibri"/>
        </w:rPr>
      </w:pPr>
      <w:r w:rsidDel="00000000" w:rsidR="00000000" w:rsidRPr="00000000">
        <w:rPr>
          <w:rtl w:val="0"/>
        </w:rPr>
      </w:r>
    </w:p>
    <w:p w:rsidR="00000000" w:rsidDel="00000000" w:rsidP="00000000" w:rsidRDefault="00000000" w:rsidRPr="00000000" w14:paraId="00000019">
      <w:pPr>
        <w:rPr>
          <w:rFonts w:ascii="Calibri" w:cs="Calibri" w:eastAsia="Calibri" w:hAnsi="Calibri"/>
        </w:rPr>
      </w:pPr>
      <w:r w:rsidDel="00000000" w:rsidR="00000000" w:rsidRPr="00000000">
        <w:rPr>
          <w:rFonts w:ascii="Calibri" w:cs="Calibri" w:eastAsia="Calibri" w:hAnsi="Calibri"/>
          <w:rtl w:val="0"/>
        </w:rPr>
        <w:t xml:space="preserve">Ultimately, internalism is the theory that the methods for which a belief or action is justified is achieved through internal means, in contrast to externalism which is achieved through external means, and the internal methods for justification have a number of advantages and drawbacks associated with them; evidentialism, one of the more common internalist methods for justification, provides evidence in order to justify beliefs, but proves contentious in cases where beliefs may by involuntarily formed or held, or when a belief may be held and justified even without evidence, while reliabilism, where it may be applicable or even necessary in circumstances where a belief may be held where evidence is difficult to obtain or entirely absent, but is otherwise too generalised.</w:t>
      </w:r>
      <w:r w:rsidDel="00000000" w:rsidR="00000000" w:rsidRPr="00000000">
        <w:br w:type="page"/>
      </w:r>
      <w:r w:rsidDel="00000000" w:rsidR="00000000" w:rsidRPr="00000000">
        <w:rPr>
          <w:rtl w:val="0"/>
        </w:rPr>
      </w:r>
    </w:p>
    <w:p w:rsidR="00000000" w:rsidDel="00000000" w:rsidP="00000000" w:rsidRDefault="00000000" w:rsidRPr="00000000" w14:paraId="0000001A">
      <w:pPr>
        <w:rPr>
          <w:rFonts w:ascii="Calibri" w:cs="Calibri" w:eastAsia="Calibri" w:hAnsi="Calibri"/>
        </w:rPr>
      </w:pPr>
      <w:r w:rsidDel="00000000" w:rsidR="00000000" w:rsidRPr="00000000">
        <w:rPr>
          <w:rFonts w:ascii="Calibri" w:cs="Calibri" w:eastAsia="Calibri" w:hAnsi="Calibri"/>
          <w:b w:val="1"/>
          <w:u w:val="single"/>
          <w:rtl w:val="0"/>
        </w:rPr>
        <w:t xml:space="preserve">Bibliography</w:t>
      </w:r>
      <w:r w:rsidDel="00000000" w:rsidR="00000000" w:rsidRPr="00000000">
        <w:rPr>
          <w:rtl w:val="0"/>
        </w:rPr>
      </w:r>
    </w:p>
    <w:p w:rsidR="00000000" w:rsidDel="00000000" w:rsidP="00000000" w:rsidRDefault="00000000" w:rsidRPr="00000000" w14:paraId="0000001B">
      <w:pPr>
        <w:numPr>
          <w:ilvl w:val="0"/>
          <w:numId w:val="1"/>
        </w:numPr>
        <w:ind w:left="720" w:hanging="360"/>
        <w:rPr>
          <w:rFonts w:ascii="Calibri" w:cs="Calibri" w:eastAsia="Calibri" w:hAnsi="Calibri"/>
          <w:u w:val="none"/>
        </w:rPr>
      </w:pPr>
      <w:r w:rsidDel="00000000" w:rsidR="00000000" w:rsidRPr="00000000">
        <w:rPr>
          <w:rFonts w:ascii="Calibri" w:cs="Calibri" w:eastAsia="Calibri" w:hAnsi="Calibri"/>
          <w:rtl w:val="0"/>
        </w:rPr>
        <w:t xml:space="preserve">Chisholm, R (1989), </w:t>
      </w:r>
      <w:r w:rsidDel="00000000" w:rsidR="00000000" w:rsidRPr="00000000">
        <w:rPr>
          <w:rFonts w:ascii="Calibri" w:cs="Calibri" w:eastAsia="Calibri" w:hAnsi="Calibri"/>
          <w:i w:val="1"/>
          <w:rtl w:val="0"/>
        </w:rPr>
        <w:t xml:space="preserve">Theory of Knowledge</w:t>
      </w:r>
      <w:r w:rsidDel="00000000" w:rsidR="00000000" w:rsidRPr="00000000">
        <w:rPr>
          <w:rFonts w:ascii="Calibri" w:cs="Calibri" w:eastAsia="Calibri" w:hAnsi="Calibri"/>
          <w:rtl w:val="0"/>
        </w:rPr>
        <w:t xml:space="preserve">, 3rd edition, Prentice Hall</w:t>
      </w:r>
    </w:p>
    <w:p w:rsidR="00000000" w:rsidDel="00000000" w:rsidP="00000000" w:rsidRDefault="00000000" w:rsidRPr="00000000" w14:paraId="0000001C">
      <w:pPr>
        <w:numPr>
          <w:ilvl w:val="0"/>
          <w:numId w:val="1"/>
        </w:numPr>
        <w:ind w:left="720" w:hanging="360"/>
        <w:rPr>
          <w:rFonts w:ascii="Calibri" w:cs="Calibri" w:eastAsia="Calibri" w:hAnsi="Calibri"/>
          <w:u w:val="none"/>
        </w:rPr>
      </w:pPr>
      <w:r w:rsidDel="00000000" w:rsidR="00000000" w:rsidRPr="00000000">
        <w:rPr>
          <w:rFonts w:ascii="Calibri" w:cs="Calibri" w:eastAsia="Calibri" w:hAnsi="Calibri"/>
          <w:rtl w:val="0"/>
        </w:rPr>
        <w:t xml:space="preserve">D'Oro, G (2004), </w:t>
      </w:r>
      <w:r w:rsidDel="00000000" w:rsidR="00000000" w:rsidRPr="00000000">
        <w:rPr>
          <w:rFonts w:ascii="Calibri" w:cs="Calibri" w:eastAsia="Calibri" w:hAnsi="Calibri"/>
          <w:i w:val="1"/>
          <w:rtl w:val="0"/>
        </w:rPr>
        <w:t xml:space="preserve">Collingwood, Psychologism and Internalism</w:t>
      </w:r>
      <w:r w:rsidDel="00000000" w:rsidR="00000000" w:rsidRPr="00000000">
        <w:rPr>
          <w:rFonts w:ascii="Calibri" w:cs="Calibri" w:eastAsia="Calibri" w:hAnsi="Calibri"/>
          <w:rtl w:val="0"/>
        </w:rPr>
        <w:t xml:space="preserve">, European Journal of Philosophy, Vol. 12 Issue 2, p163-177, Accessed: 18/02/20, 10.1111/j.0966-8373.2004.00205.x</w:t>
      </w:r>
    </w:p>
    <w:p w:rsidR="00000000" w:rsidDel="00000000" w:rsidP="00000000" w:rsidRDefault="00000000" w:rsidRPr="00000000" w14:paraId="0000001D">
      <w:pPr>
        <w:numPr>
          <w:ilvl w:val="0"/>
          <w:numId w:val="1"/>
        </w:numPr>
        <w:ind w:left="720" w:hanging="360"/>
        <w:rPr>
          <w:rFonts w:ascii="Calibri" w:cs="Calibri" w:eastAsia="Calibri" w:hAnsi="Calibri"/>
          <w:u w:val="none"/>
        </w:rPr>
      </w:pPr>
      <w:r w:rsidDel="00000000" w:rsidR="00000000" w:rsidRPr="00000000">
        <w:rPr>
          <w:rFonts w:ascii="Calibri" w:cs="Calibri" w:eastAsia="Calibri" w:hAnsi="Calibri"/>
          <w:rtl w:val="0"/>
        </w:rPr>
        <w:t xml:space="preserve">Mittag, D (n.d.), </w:t>
      </w:r>
      <w:r w:rsidDel="00000000" w:rsidR="00000000" w:rsidRPr="00000000">
        <w:rPr>
          <w:rFonts w:ascii="Calibri" w:cs="Calibri" w:eastAsia="Calibri" w:hAnsi="Calibri"/>
          <w:i w:val="1"/>
          <w:rtl w:val="0"/>
        </w:rPr>
        <w:t xml:space="preserve">Internet Encyclopedia of Philosophy</w:t>
      </w:r>
      <w:r w:rsidDel="00000000" w:rsidR="00000000" w:rsidRPr="00000000">
        <w:rPr>
          <w:rFonts w:ascii="Calibri" w:cs="Calibri" w:eastAsia="Calibri" w:hAnsi="Calibri"/>
          <w:rtl w:val="0"/>
        </w:rPr>
        <w:t xml:space="preserve">, Available at:</w:t>
      </w:r>
      <w:hyperlink r:id="rId7">
        <w:r w:rsidDel="00000000" w:rsidR="00000000" w:rsidRPr="00000000">
          <w:rPr>
            <w:rFonts w:ascii="Calibri" w:cs="Calibri" w:eastAsia="Calibri" w:hAnsi="Calibri"/>
            <w:color w:val="1155cc"/>
            <w:u w:val="single"/>
            <w:rtl w:val="0"/>
          </w:rPr>
          <w:t xml:space="preserve">https://www.iep.utm.edu/evidenti/</w:t>
        </w:r>
      </w:hyperlink>
      <w:r w:rsidDel="00000000" w:rsidR="00000000" w:rsidRPr="00000000">
        <w:rPr>
          <w:rFonts w:ascii="Calibri" w:cs="Calibri" w:eastAsia="Calibri" w:hAnsi="Calibri"/>
          <w:rtl w:val="0"/>
        </w:rPr>
        <w:t xml:space="preserve">, Accessed: 18/02/20</w:t>
      </w:r>
    </w:p>
    <w:p w:rsidR="00000000" w:rsidDel="00000000" w:rsidP="00000000" w:rsidRDefault="00000000" w:rsidRPr="00000000" w14:paraId="0000001E">
      <w:pPr>
        <w:numPr>
          <w:ilvl w:val="0"/>
          <w:numId w:val="1"/>
        </w:numPr>
        <w:ind w:left="720" w:hanging="360"/>
        <w:rPr>
          <w:rFonts w:ascii="Calibri" w:cs="Calibri" w:eastAsia="Calibri" w:hAnsi="Calibri"/>
          <w:u w:val="none"/>
        </w:rPr>
      </w:pPr>
      <w:r w:rsidDel="00000000" w:rsidR="00000000" w:rsidRPr="00000000">
        <w:rPr>
          <w:rFonts w:ascii="Calibri" w:cs="Calibri" w:eastAsia="Calibri" w:hAnsi="Calibri"/>
          <w:rtl w:val="0"/>
        </w:rPr>
        <w:t xml:space="preserve">Feldman, R (1985), </w:t>
      </w:r>
      <w:r w:rsidDel="00000000" w:rsidR="00000000" w:rsidRPr="00000000">
        <w:rPr>
          <w:rFonts w:ascii="Calibri" w:cs="Calibri" w:eastAsia="Calibri" w:hAnsi="Calibri"/>
          <w:i w:val="1"/>
          <w:rtl w:val="0"/>
        </w:rPr>
        <w:t xml:space="preserve">Evidentialism</w:t>
      </w:r>
      <w:r w:rsidDel="00000000" w:rsidR="00000000" w:rsidRPr="00000000">
        <w:rPr>
          <w:rFonts w:ascii="Calibri" w:cs="Calibri" w:eastAsia="Calibri" w:hAnsi="Calibri"/>
          <w:rtl w:val="0"/>
        </w:rPr>
        <w:t xml:space="preserve">, Philosophical Studies: An International Journal for Philosophy in the Analytic Tradition, Vol. 48, No. 1, pp. 15-34, Accessed: 18/02/20, Available at: </w:t>
      </w:r>
      <w:hyperlink r:id="rId8">
        <w:r w:rsidDel="00000000" w:rsidR="00000000" w:rsidRPr="00000000">
          <w:rPr>
            <w:rFonts w:ascii="Calibri" w:cs="Calibri" w:eastAsia="Calibri" w:hAnsi="Calibri"/>
            <w:color w:val="1155cc"/>
            <w:u w:val="single"/>
            <w:rtl w:val="0"/>
          </w:rPr>
          <w:t xml:space="preserve">https://www.jstor.org/stable/4319765</w:t>
        </w:r>
      </w:hyperlink>
      <w:r w:rsidDel="00000000" w:rsidR="00000000" w:rsidRPr="00000000">
        <w:rPr>
          <w:rtl w:val="0"/>
        </w:rPr>
      </w:r>
    </w:p>
    <w:p w:rsidR="00000000" w:rsidDel="00000000" w:rsidP="00000000" w:rsidRDefault="00000000" w:rsidRPr="00000000" w14:paraId="0000001F">
      <w:pPr>
        <w:numPr>
          <w:ilvl w:val="0"/>
          <w:numId w:val="1"/>
        </w:numPr>
        <w:ind w:left="720" w:hanging="360"/>
        <w:rPr>
          <w:rFonts w:ascii="Calibri" w:cs="Calibri" w:eastAsia="Calibri" w:hAnsi="Calibri"/>
          <w:u w:val="none"/>
        </w:rPr>
      </w:pPr>
      <w:r w:rsidDel="00000000" w:rsidR="00000000" w:rsidRPr="00000000">
        <w:rPr>
          <w:rFonts w:ascii="Calibri" w:cs="Calibri" w:eastAsia="Calibri" w:hAnsi="Calibri"/>
          <w:rtl w:val="0"/>
        </w:rPr>
        <w:t xml:space="preserve">Watson, C (n.d), </w:t>
      </w:r>
      <w:r w:rsidDel="00000000" w:rsidR="00000000" w:rsidRPr="00000000">
        <w:rPr>
          <w:rFonts w:ascii="Calibri" w:cs="Calibri" w:eastAsia="Calibri" w:hAnsi="Calibri"/>
          <w:i w:val="1"/>
          <w:rtl w:val="0"/>
        </w:rPr>
        <w:t xml:space="preserve">Internet Encyclopedia of Philosophy</w:t>
      </w:r>
      <w:r w:rsidDel="00000000" w:rsidR="00000000" w:rsidRPr="00000000">
        <w:rPr>
          <w:rFonts w:ascii="Calibri" w:cs="Calibri" w:eastAsia="Calibri" w:hAnsi="Calibri"/>
          <w:rtl w:val="0"/>
        </w:rPr>
        <w:t xml:space="preserve">, Available at: </w:t>
      </w:r>
      <w:hyperlink r:id="rId9">
        <w:r w:rsidDel="00000000" w:rsidR="00000000" w:rsidRPr="00000000">
          <w:rPr>
            <w:rFonts w:ascii="Calibri" w:cs="Calibri" w:eastAsia="Calibri" w:hAnsi="Calibri"/>
            <w:color w:val="1155cc"/>
            <w:u w:val="single"/>
            <w:rtl w:val="0"/>
          </w:rPr>
          <w:t xml:space="preserve">https://www.iep.utm.edu/epi-just/</w:t>
        </w:r>
      </w:hyperlink>
      <w:r w:rsidDel="00000000" w:rsidR="00000000" w:rsidRPr="00000000">
        <w:rPr>
          <w:rFonts w:ascii="Calibri" w:cs="Calibri" w:eastAsia="Calibri" w:hAnsi="Calibri"/>
          <w:rtl w:val="0"/>
        </w:rPr>
        <w:t xml:space="preserve">, Accessed: 20/02/20</w:t>
      </w:r>
    </w:p>
    <w:p w:rsidR="00000000" w:rsidDel="00000000" w:rsidP="00000000" w:rsidRDefault="00000000" w:rsidRPr="00000000" w14:paraId="00000020">
      <w:pPr>
        <w:numPr>
          <w:ilvl w:val="0"/>
          <w:numId w:val="1"/>
        </w:numPr>
        <w:ind w:left="720" w:hanging="360"/>
        <w:rPr>
          <w:rFonts w:ascii="Calibri" w:cs="Calibri" w:eastAsia="Calibri" w:hAnsi="Calibri"/>
          <w:u w:val="none"/>
        </w:rPr>
      </w:pPr>
      <w:r w:rsidDel="00000000" w:rsidR="00000000" w:rsidRPr="00000000">
        <w:rPr>
          <w:rFonts w:ascii="Calibri" w:cs="Calibri" w:eastAsia="Calibri" w:hAnsi="Calibri"/>
          <w:rtl w:val="0"/>
        </w:rPr>
        <w:t xml:space="preserve">James, W (2003), ‘The Will to Believe’, in The Theory of Knowledge, third edn, edited by Louis P. Pojman, CA: Wadsworth, pp.519-26. </w:t>
      </w:r>
    </w:p>
    <w:p w:rsidR="00000000" w:rsidDel="00000000" w:rsidP="00000000" w:rsidRDefault="00000000" w:rsidRPr="00000000" w14:paraId="00000021">
      <w:pPr>
        <w:numPr>
          <w:ilvl w:val="0"/>
          <w:numId w:val="1"/>
        </w:numPr>
        <w:ind w:left="720" w:hanging="360"/>
        <w:rPr>
          <w:rFonts w:ascii="Calibri" w:cs="Calibri" w:eastAsia="Calibri" w:hAnsi="Calibri"/>
          <w:u w:val="none"/>
        </w:rPr>
      </w:pPr>
      <w:r w:rsidDel="00000000" w:rsidR="00000000" w:rsidRPr="00000000">
        <w:rPr>
          <w:rFonts w:ascii="Calibri" w:cs="Calibri" w:eastAsia="Calibri" w:hAnsi="Calibri"/>
          <w:rtl w:val="0"/>
        </w:rPr>
        <w:t xml:space="preserve">Encyclopedia Britannica, (2017), </w:t>
      </w:r>
      <w:r w:rsidDel="00000000" w:rsidR="00000000" w:rsidRPr="00000000">
        <w:rPr>
          <w:rFonts w:ascii="Calibri" w:cs="Calibri" w:eastAsia="Calibri" w:hAnsi="Calibri"/>
          <w:i w:val="1"/>
          <w:rtl w:val="0"/>
        </w:rPr>
        <w:t xml:space="preserve">Hawking radiation</w:t>
      </w:r>
      <w:r w:rsidDel="00000000" w:rsidR="00000000" w:rsidRPr="00000000">
        <w:rPr>
          <w:rFonts w:ascii="Calibri" w:cs="Calibri" w:eastAsia="Calibri" w:hAnsi="Calibri"/>
          <w:rtl w:val="0"/>
        </w:rPr>
        <w:t xml:space="preserve">, Available at: </w:t>
      </w:r>
      <w:hyperlink r:id="rId10">
        <w:r w:rsidDel="00000000" w:rsidR="00000000" w:rsidRPr="00000000">
          <w:rPr>
            <w:rFonts w:ascii="Calibri" w:cs="Calibri" w:eastAsia="Calibri" w:hAnsi="Calibri"/>
            <w:color w:val="1155cc"/>
            <w:u w:val="single"/>
            <w:rtl w:val="0"/>
          </w:rPr>
          <w:t xml:space="preserve">https://www.britannica.com/science/Hawking-radiation</w:t>
        </w:r>
      </w:hyperlink>
      <w:r w:rsidDel="00000000" w:rsidR="00000000" w:rsidRPr="00000000">
        <w:rPr>
          <w:rFonts w:ascii="Calibri" w:cs="Calibri" w:eastAsia="Calibri" w:hAnsi="Calibri"/>
          <w:rtl w:val="0"/>
        </w:rPr>
        <w:t xml:space="preserve">, Accessed: 20/02/20</w:t>
      </w:r>
    </w:p>
    <w:p w:rsidR="00000000" w:rsidDel="00000000" w:rsidP="00000000" w:rsidRDefault="00000000" w:rsidRPr="00000000" w14:paraId="00000022">
      <w:pPr>
        <w:numPr>
          <w:ilvl w:val="0"/>
          <w:numId w:val="1"/>
        </w:numPr>
        <w:ind w:left="720" w:hanging="360"/>
        <w:rPr>
          <w:rFonts w:ascii="Calibri" w:cs="Calibri" w:eastAsia="Calibri" w:hAnsi="Calibri"/>
          <w:u w:val="none"/>
        </w:rPr>
      </w:pPr>
      <w:r w:rsidDel="00000000" w:rsidR="00000000" w:rsidRPr="00000000">
        <w:rPr>
          <w:rFonts w:ascii="Calibri" w:cs="Calibri" w:eastAsia="Calibri" w:hAnsi="Calibri"/>
          <w:rtl w:val="0"/>
        </w:rPr>
        <w:t xml:space="preserve">Hawking, S (2011), </w:t>
      </w:r>
      <w:r w:rsidDel="00000000" w:rsidR="00000000" w:rsidRPr="00000000">
        <w:rPr>
          <w:rFonts w:ascii="Calibri" w:cs="Calibri" w:eastAsia="Calibri" w:hAnsi="Calibri"/>
          <w:i w:val="1"/>
          <w:rtl w:val="0"/>
        </w:rPr>
        <w:t xml:space="preserve">A Brief History Of Time: From Big Bang To Black Holes</w:t>
      </w:r>
      <w:r w:rsidDel="00000000" w:rsidR="00000000" w:rsidRPr="00000000">
        <w:rPr>
          <w:rFonts w:ascii="Calibri" w:cs="Calibri" w:eastAsia="Calibri" w:hAnsi="Calibri"/>
          <w:rtl w:val="0"/>
        </w:rPr>
        <w:t xml:space="preserve">, Bantam Press</w:t>
      </w:r>
      <w:r w:rsidDel="00000000" w:rsidR="00000000" w:rsidRPr="00000000">
        <w:rPr>
          <w:rtl w:val="0"/>
        </w:rPr>
      </w:r>
    </w:p>
    <w:sectPr>
      <w:headerReference r:id="rId11" w:type="default"/>
      <w:headerReference r:id="rId12" w:type="first"/>
      <w:footerReference r:id="rId13" w:type="first"/>
      <w:pgSz w:h="16834" w:w="11909"/>
      <w:pgMar w:bottom="1440" w:top="1440" w:left="1440" w:right="1440" w:header="720" w:footer="720"/>
      <w:pgNumType w:start="1"/>
      <w:titlePg w:val="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Calibri"/>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3B">
    <w:pPr>
      <w:rPr/>
    </w:pPr>
    <w:r w:rsidDel="00000000" w:rsidR="00000000" w:rsidRPr="00000000">
      <w:rPr>
        <w:rtl w:val="0"/>
      </w:rPr>
    </w:r>
  </w:p>
</w:ftr>
</file>

<file path=word/footnotes.xml><?xml version="1.0" encoding="utf-8"?>
<w:footnot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otnote w:id="0">
    <w:p w:rsidR="00000000" w:rsidDel="00000000" w:rsidP="00000000" w:rsidRDefault="00000000" w:rsidRPr="00000000" w14:paraId="00000023">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Chisholm, R (1989), P. 76</w:t>
      </w:r>
    </w:p>
  </w:footnote>
  <w:footnote w:id="1">
    <w:p w:rsidR="00000000" w:rsidDel="00000000" w:rsidP="00000000" w:rsidRDefault="00000000" w:rsidRPr="00000000" w14:paraId="00000024">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Chisholm, R (1989), P. 76</w:t>
      </w:r>
    </w:p>
  </w:footnote>
  <w:footnote w:id="2">
    <w:p w:rsidR="00000000" w:rsidDel="00000000" w:rsidP="00000000" w:rsidRDefault="00000000" w:rsidRPr="00000000" w14:paraId="00000025">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D'Oro, G (2004), P. 164</w:t>
      </w:r>
    </w:p>
  </w:footnote>
  <w:footnote w:id="4">
    <w:p w:rsidR="00000000" w:rsidDel="00000000" w:rsidP="00000000" w:rsidRDefault="00000000" w:rsidRPr="00000000" w14:paraId="00000026">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Mittag, D (n.d.)</w:t>
      </w:r>
    </w:p>
  </w:footnote>
  <w:footnote w:id="5">
    <w:p w:rsidR="00000000" w:rsidDel="00000000" w:rsidP="00000000" w:rsidRDefault="00000000" w:rsidRPr="00000000" w14:paraId="00000027">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Feldman, R (1985), P. 15</w:t>
      </w:r>
    </w:p>
  </w:footnote>
  <w:footnote w:id="6">
    <w:p w:rsidR="00000000" w:rsidDel="00000000" w:rsidP="00000000" w:rsidRDefault="00000000" w:rsidRPr="00000000" w14:paraId="00000028">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Feldman, R (1985), P. 15</w:t>
      </w:r>
    </w:p>
  </w:footnote>
  <w:footnote w:id="7">
    <w:p w:rsidR="00000000" w:rsidDel="00000000" w:rsidP="00000000" w:rsidRDefault="00000000" w:rsidRPr="00000000" w14:paraId="00000029">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Feldman, R (1985), P. 32</w:t>
      </w:r>
    </w:p>
  </w:footnote>
  <w:footnote w:id="8">
    <w:p w:rsidR="00000000" w:rsidDel="00000000" w:rsidP="00000000" w:rsidRDefault="00000000" w:rsidRPr="00000000" w14:paraId="0000002A">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Feldman, R (1985), P. 25</w:t>
      </w:r>
    </w:p>
  </w:footnote>
  <w:footnote w:id="9">
    <w:p w:rsidR="00000000" w:rsidDel="00000000" w:rsidP="00000000" w:rsidRDefault="00000000" w:rsidRPr="00000000" w14:paraId="0000002B">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Feldman, R (1985), pp. 25 - 26</w:t>
      </w:r>
    </w:p>
  </w:footnote>
  <w:footnote w:id="3">
    <w:p w:rsidR="00000000" w:rsidDel="00000000" w:rsidP="00000000" w:rsidRDefault="00000000" w:rsidRPr="00000000" w14:paraId="0000002C">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Watson, C (n.d)</w:t>
      </w:r>
    </w:p>
  </w:footnote>
  <w:footnote w:id="10">
    <w:p w:rsidR="00000000" w:rsidDel="00000000" w:rsidP="00000000" w:rsidRDefault="00000000" w:rsidRPr="00000000" w14:paraId="0000002D">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Feldman, R (1985), pp. 16 - 17</w:t>
      </w:r>
    </w:p>
  </w:footnote>
  <w:footnote w:id="11">
    <w:p w:rsidR="00000000" w:rsidDel="00000000" w:rsidP="00000000" w:rsidRDefault="00000000" w:rsidRPr="00000000" w14:paraId="0000002E">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Feldman, R (1985), pp. 16</w:t>
      </w:r>
    </w:p>
  </w:footnote>
  <w:footnote w:id="12">
    <w:p w:rsidR="00000000" w:rsidDel="00000000" w:rsidP="00000000" w:rsidRDefault="00000000" w:rsidRPr="00000000" w14:paraId="0000002F">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Feldman, R (1985), pp. 16</w:t>
      </w:r>
    </w:p>
  </w:footnote>
  <w:footnote w:id="13">
    <w:p w:rsidR="00000000" w:rsidDel="00000000" w:rsidP="00000000" w:rsidRDefault="00000000" w:rsidRPr="00000000" w14:paraId="00000030">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Feldman, R (1985), pp. 16 - 17</w:t>
      </w:r>
    </w:p>
  </w:footnote>
  <w:footnote w:id="14">
    <w:p w:rsidR="00000000" w:rsidDel="00000000" w:rsidP="00000000" w:rsidRDefault="00000000" w:rsidRPr="00000000" w14:paraId="00000031">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James, W (2003), pp.519 - 526</w:t>
      </w:r>
    </w:p>
  </w:footnote>
  <w:footnote w:id="15">
    <w:p w:rsidR="00000000" w:rsidDel="00000000" w:rsidP="00000000" w:rsidRDefault="00000000" w:rsidRPr="00000000" w14:paraId="00000032">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Feldman, R (1985), pp. 25 - 26</w:t>
      </w:r>
    </w:p>
  </w:footnote>
  <w:footnote w:id="16">
    <w:p w:rsidR="00000000" w:rsidDel="00000000" w:rsidP="00000000" w:rsidRDefault="00000000" w:rsidRPr="00000000" w14:paraId="00000033">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Feldman, R (1985), pp. 26</w:t>
      </w:r>
    </w:p>
  </w:footnote>
  <w:footnote w:id="17">
    <w:p w:rsidR="00000000" w:rsidDel="00000000" w:rsidP="00000000" w:rsidRDefault="00000000" w:rsidRPr="00000000" w14:paraId="00000034">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Feldman, R (1985), pp. 26</w:t>
      </w:r>
    </w:p>
  </w:footnote>
  <w:footnote w:id="19">
    <w:p w:rsidR="00000000" w:rsidDel="00000000" w:rsidP="00000000" w:rsidRDefault="00000000" w:rsidRPr="00000000" w14:paraId="00000035">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Encyclopedia Brittanica, (2017)</w:t>
      </w:r>
    </w:p>
  </w:footnote>
  <w:footnote w:id="18">
    <w:p w:rsidR="00000000" w:rsidDel="00000000" w:rsidP="00000000" w:rsidRDefault="00000000" w:rsidRPr="00000000" w14:paraId="00000036">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Hawking, S (2009), P. 98</w:t>
      </w:r>
    </w:p>
  </w:footnote>
  <w:footnote w:id="20">
    <w:p w:rsidR="00000000" w:rsidDel="00000000" w:rsidP="00000000" w:rsidRDefault="00000000" w:rsidRPr="00000000" w14:paraId="00000037">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Hawking, S (2011), P. 127</w:t>
      </w:r>
    </w:p>
  </w:footnote>
  <w:footnote w:id="21">
    <w:p w:rsidR="00000000" w:rsidDel="00000000" w:rsidP="00000000" w:rsidRDefault="00000000" w:rsidRPr="00000000" w14:paraId="00000038">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Hawking, S (2011), pp. 127 - 128</w:t>
      </w:r>
    </w:p>
  </w:footnote>
</w:footnotes>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39">
    <w:pPr>
      <w:rPr/>
    </w:pPr>
    <w:r w:rsidDel="00000000" w:rsidR="00000000" w:rsidRPr="00000000">
      <w:rPr>
        <w:rtl w:val="0"/>
      </w:rPr>
    </w:r>
  </w:p>
</w:hdr>
</file>

<file path=word/header2.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3A">
    <w:pPr>
      <w:rPr>
        <w:rFonts w:ascii="Calibri" w:cs="Calibri" w:eastAsia="Calibri" w:hAnsi="Calibri"/>
        <w:sz w:val="18"/>
        <w:szCs w:val="18"/>
      </w:rPr>
    </w:pP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b w:val="0"/>
      <w:sz w:val="32"/>
      <w:szCs w:val="32"/>
    </w:rPr>
  </w:style>
  <w:style w:type="paragraph" w:styleId="Heading3">
    <w:name w:val="heading 3"/>
    <w:basedOn w:val="Normal"/>
    <w:next w:val="Normal"/>
    <w:pPr>
      <w:keepNext w:val="1"/>
      <w:keepLines w:val="1"/>
      <w:spacing w:after="80" w:before="320" w:lineRule="auto"/>
    </w:pPr>
    <w:rPr>
      <w:b w:val="0"/>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before="0" w:lineRule="auto"/>
    </w:pPr>
    <w:rPr>
      <w:sz w:val="52"/>
      <w:szCs w:val="52"/>
    </w:rPr>
  </w:style>
  <w:style w:type="paragraph" w:styleId="Subtitle">
    <w:name w:val="Subtitle"/>
    <w:basedOn w:val="Normal"/>
    <w:next w:val="Normal"/>
    <w:pPr>
      <w:keepNext w:val="1"/>
      <w:keepLines w:val="1"/>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1" Type="http://schemas.openxmlformats.org/officeDocument/2006/relationships/header" Target="header1.xml"/><Relationship Id="rId10" Type="http://schemas.openxmlformats.org/officeDocument/2006/relationships/hyperlink" Target="https://www.britannica.com/science/Hawking-radiation" TargetMode="External"/><Relationship Id="rId13" Type="http://schemas.openxmlformats.org/officeDocument/2006/relationships/footer" Target="footer1.xml"/><Relationship Id="rId12" Type="http://schemas.openxmlformats.org/officeDocument/2006/relationships/header" Target="header2.xm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hyperlink" Target="https://www.iep.utm.edu/epi-just/" TargetMode="External"/><Relationship Id="rId5" Type="http://schemas.openxmlformats.org/officeDocument/2006/relationships/numbering" Target="numbering.xml"/><Relationship Id="rId6" Type="http://schemas.openxmlformats.org/officeDocument/2006/relationships/styles" Target="styles.xml"/><Relationship Id="rId7" Type="http://schemas.openxmlformats.org/officeDocument/2006/relationships/hyperlink" Target="https://www.iep.utm.edu/evidenti/" TargetMode="External"/><Relationship Id="rId8" Type="http://schemas.openxmlformats.org/officeDocument/2006/relationships/hyperlink" Target="https://www.jstor.org/stable/431976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