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59" w:beforeAutospacing="0" w:before="0" w:afterAutospacing="0" w:after="160"/>
        <w:ind w:left="0" w:right="0" w:hanging="0"/>
        <w:jc w:val="left"/>
        <w:rPr>
          <w:b w:val="false"/>
          <w:b w:val="false"/>
          <w:bCs w:val="false"/>
          <w:i/>
          <w:i/>
          <w:iCs/>
          <w:sz w:val="20"/>
          <w:szCs w:val="20"/>
        </w:rPr>
      </w:pPr>
      <w:r>
        <w:rPr>
          <w:b w:val="false"/>
          <w:bCs w:val="false"/>
          <w:i/>
          <w:iCs/>
          <w:sz w:val="20"/>
          <w:szCs w:val="20"/>
        </w:rPr>
        <w:t>A</w:t>
      </w:r>
      <w:r>
        <w:rPr>
          <w:b/>
          <w:bCs/>
          <w:i w:val="false"/>
          <w:iCs w:val="false"/>
          <w:sz w:val="20"/>
          <w:szCs w:val="20"/>
        </w:rPr>
        <w:t xml:space="preserve">ssignment  – </w:t>
      </w:r>
      <w:r>
        <w:rPr>
          <w:b/>
          <w:bCs/>
          <w:i w:val="false"/>
          <w:iCs w:val="false"/>
          <w:caps w:val="false"/>
          <w:smallCaps w:val="false"/>
          <w:color w:val="373A3C"/>
          <w:spacing w:val="0"/>
          <w:sz w:val="20"/>
          <w:szCs w:val="20"/>
        </w:rPr>
        <w:t>Drawing on secondary scholarship and your own reflections, please answer the following: What is reception history and does it have value in Biblical Studies?</w:t>
      </w:r>
      <w:r>
        <w:rPr>
          <w:b/>
          <w:bCs/>
          <w:i w:val="false"/>
          <w:iCs w:val="false"/>
          <w:sz w:val="20"/>
          <w:szCs w:val="20"/>
        </w:rPr>
        <w:t xml:space="preserve">                        </w:t>
      </w:r>
      <w:r>
        <w:rPr>
          <w:b w:val="false"/>
          <w:bCs w:val="false"/>
          <w:i w:val="false"/>
          <w:iCs w:val="false"/>
          <w:sz w:val="18"/>
          <w:szCs w:val="18"/>
        </w:rPr>
        <w:t>STUDENT NUMBER: 2234893</w:t>
      </w:r>
    </w:p>
    <w:p>
      <w:pPr>
        <w:pStyle w:val="Normal"/>
        <w:bidi w:val="0"/>
        <w:spacing w:lineRule="auto" w:line="259" w:beforeAutospacing="0" w:before="0" w:afterAutospacing="0" w:after="160"/>
        <w:ind w:left="0" w:right="0" w:hanging="0"/>
        <w:jc w:val="left"/>
        <w:rPr>
          <w:rFonts w:ascii="Calibri" w:hAnsi="Calibri"/>
          <w:sz w:val="22"/>
          <w:szCs w:val="22"/>
        </w:rPr>
      </w:pPr>
      <w:r>
        <w:rPr>
          <w:rFonts w:eastAsia="Merriweather" w:cs="Merriweather" w:ascii="Calibri" w:hAnsi="Calibri"/>
          <w:b/>
          <w:bCs/>
          <w:i w:val="false"/>
          <w:iCs w:val="false"/>
          <w:caps w:val="false"/>
          <w:smallCaps w:val="false"/>
          <w:color w:val="2A2A2A"/>
          <w:sz w:val="22"/>
          <w:szCs w:val="22"/>
          <w:lang w:val="en-US"/>
        </w:rPr>
        <w:t>Introduction</w:t>
      </w:r>
    </w:p>
    <w:p>
      <w:pPr>
        <w:pStyle w:val="Normal"/>
        <w:bidi w:val="0"/>
        <w:spacing w:lineRule="auto" w:line="259" w:beforeAutospacing="0" w:before="0" w:afterAutospacing="0" w:after="160"/>
        <w:ind w:left="0" w:right="0" w:hanging="0"/>
        <w:jc w:val="left"/>
        <w:rPr>
          <w:rFonts w:ascii="Calibri" w:hAnsi="Calibri"/>
        </w:rPr>
      </w:pPr>
      <w:r>
        <w:rPr>
          <w:rFonts w:eastAsia="Merriweather" w:cs="Merriweather" w:ascii="Calibri" w:hAnsi="Calibri"/>
          <w:b w:val="false"/>
          <w:bCs w:val="false"/>
          <w:i w:val="false"/>
          <w:iCs w:val="false"/>
          <w:caps w:val="false"/>
          <w:smallCaps w:val="false"/>
          <w:color w:val="2A2A2A"/>
          <w:sz w:val="22"/>
          <w:szCs w:val="22"/>
          <w:lang w:val="en-US"/>
        </w:rPr>
        <w:t xml:space="preserve">This essay aims to analyze </w:t>
      </w:r>
      <w:r>
        <w:rPr>
          <w:rFonts w:eastAsia="Merriweather" w:cs="Merriweather" w:ascii="Calibri" w:hAnsi="Calibri"/>
          <w:b w:val="false"/>
          <w:bCs w:val="false"/>
          <w:i w:val="false"/>
          <w:iCs w:val="false"/>
          <w:caps w:val="false"/>
          <w:smallCaps w:val="false"/>
          <w:color w:val="2A2A2A"/>
          <w:sz w:val="22"/>
          <w:szCs w:val="22"/>
          <w:lang w:val="en-US"/>
        </w:rPr>
        <w:t>what ‘</w:t>
      </w:r>
      <w:r>
        <w:rPr>
          <w:rFonts w:eastAsia="Merriweather" w:cs="Merriweather" w:ascii="Calibri" w:hAnsi="Calibri"/>
          <w:b w:val="false"/>
          <w:bCs w:val="false"/>
          <w:i w:val="false"/>
          <w:iCs w:val="false"/>
          <w:caps w:val="false"/>
          <w:smallCaps w:val="false"/>
          <w:color w:val="2A2A2A"/>
          <w:sz w:val="22"/>
          <w:szCs w:val="22"/>
          <w:lang w:val="en-US"/>
        </w:rPr>
        <w:t xml:space="preserve">reception history’ </w:t>
      </w:r>
      <w:r>
        <w:rPr>
          <w:rFonts w:eastAsia="Merriweather" w:cs="Merriweather" w:ascii="Calibri" w:hAnsi="Calibri"/>
          <w:b w:val="false"/>
          <w:bCs w:val="false"/>
          <w:i w:val="false"/>
          <w:iCs w:val="false"/>
          <w:caps w:val="false"/>
          <w:smallCaps w:val="false"/>
          <w:color w:val="2A2A2A"/>
          <w:sz w:val="22"/>
          <w:szCs w:val="22"/>
          <w:lang w:val="en-US"/>
        </w:rPr>
        <w:t>is</w:t>
      </w:r>
      <w:r>
        <w:rPr>
          <w:rFonts w:eastAsia="Merriweather" w:cs="Merriweather" w:ascii="Calibri" w:hAnsi="Calibri"/>
          <w:b w:val="false"/>
          <w:bCs w:val="false"/>
          <w:i w:val="false"/>
          <w:iCs w:val="false"/>
          <w:caps w:val="false"/>
          <w:smallCaps w:val="false"/>
          <w:color w:val="2A2A2A"/>
          <w:sz w:val="22"/>
          <w:szCs w:val="22"/>
          <w:lang w:val="en-US"/>
        </w:rPr>
        <w:t xml:space="preserve"> in relation to biblical studies, </w:t>
      </w:r>
      <w:r>
        <w:rPr>
          <w:rFonts w:eastAsia="Merriweather" w:cs="Merriweather" w:ascii="Calibri" w:hAnsi="Calibri"/>
          <w:b w:val="false"/>
          <w:bCs w:val="false"/>
          <w:i w:val="false"/>
          <w:iCs w:val="false"/>
          <w:caps w:val="false"/>
          <w:smallCaps w:val="false"/>
          <w:color w:val="2A2A2A"/>
          <w:sz w:val="22"/>
          <w:szCs w:val="22"/>
          <w:lang w:val="en-US"/>
        </w:rPr>
        <w:t>drawing on secondary scholarship</w:t>
      </w:r>
      <w:r>
        <w:rPr>
          <w:rFonts w:eastAsia="Merriweather" w:cs="Merriweather" w:ascii="Calibri" w:hAnsi="Calibri"/>
          <w:b w:val="false"/>
          <w:bCs w:val="false"/>
          <w:i w:val="false"/>
          <w:iCs w:val="false"/>
          <w:caps w:val="false"/>
          <w:smallCaps w:val="false"/>
          <w:color w:val="2A2A2A"/>
          <w:sz w:val="22"/>
          <w:szCs w:val="22"/>
          <w:lang w:val="en-US"/>
        </w:rPr>
        <w:t xml:space="preserve">. It begins </w:t>
      </w:r>
      <w:r>
        <w:rPr>
          <w:rFonts w:eastAsia="Merriweather" w:cs="Merriweather" w:ascii="Calibri" w:hAnsi="Calibri"/>
          <w:b w:val="false"/>
          <w:bCs w:val="false"/>
          <w:i w:val="false"/>
          <w:iCs w:val="false"/>
          <w:caps w:val="false"/>
          <w:smallCaps w:val="false"/>
          <w:color w:val="2A2A2A"/>
          <w:sz w:val="22"/>
          <w:szCs w:val="22"/>
          <w:lang w:val="en-US"/>
        </w:rPr>
        <w:t>by defini</w:t>
      </w:r>
      <w:r>
        <w:rPr>
          <w:rFonts w:eastAsia="Merriweather" w:cs="Merriweather" w:ascii="Calibri" w:hAnsi="Calibri"/>
          <w:b w:val="false"/>
          <w:bCs w:val="false"/>
          <w:i w:val="false"/>
          <w:iCs w:val="false"/>
          <w:caps w:val="false"/>
          <w:smallCaps w:val="false"/>
          <w:color w:val="2A2A2A"/>
          <w:sz w:val="22"/>
          <w:szCs w:val="22"/>
          <w:lang w:val="en-US"/>
        </w:rPr>
        <w:t xml:space="preserve">ng </w:t>
      </w:r>
      <w:r>
        <w:rPr>
          <w:rFonts w:eastAsia="Merriweather" w:cs="Merriweather" w:ascii="Calibri" w:hAnsi="Calibri"/>
          <w:b w:val="false"/>
          <w:bCs w:val="false"/>
          <w:i w:val="false"/>
          <w:iCs w:val="false"/>
          <w:caps w:val="false"/>
          <w:smallCaps w:val="false"/>
          <w:color w:val="2A2A2A"/>
          <w:sz w:val="22"/>
          <w:szCs w:val="22"/>
          <w:lang w:val="en-US"/>
        </w:rPr>
        <w:t xml:space="preserve">reception history </w:t>
      </w:r>
      <w:r>
        <w:rPr>
          <w:rFonts w:eastAsia="Merriweather" w:cs="Merriweather" w:ascii="Calibri" w:hAnsi="Calibri"/>
          <w:b w:val="false"/>
          <w:bCs w:val="false"/>
          <w:i w:val="false"/>
          <w:iCs w:val="false"/>
          <w:caps w:val="false"/>
          <w:smallCaps w:val="false"/>
          <w:color w:val="2A2A2A"/>
          <w:sz w:val="22"/>
          <w:szCs w:val="22"/>
          <w:lang w:val="en-US"/>
        </w:rPr>
        <w:t xml:space="preserve">as stated by scholars </w:t>
      </w:r>
      <w:r>
        <w:rPr>
          <w:rFonts w:eastAsia="Merriweather" w:cs="Merriweather" w:ascii="Calibri" w:hAnsi="Calibri"/>
          <w:b w:val="false"/>
          <w:bCs w:val="false"/>
          <w:i w:val="false"/>
          <w:iCs w:val="false"/>
          <w:caps w:val="false"/>
          <w:smallCaps w:val="false"/>
          <w:color w:val="2A2A2A"/>
          <w:sz w:val="22"/>
          <w:szCs w:val="22"/>
          <w:lang w:val="en-US"/>
        </w:rPr>
        <w:t xml:space="preserve">and continues </w:t>
      </w:r>
      <w:r>
        <w:rPr>
          <w:rFonts w:eastAsia="Merriweather" w:cs="Merriweather" w:ascii="Calibri" w:hAnsi="Calibri"/>
          <w:b w:val="false"/>
          <w:bCs w:val="false"/>
          <w:i w:val="false"/>
          <w:iCs w:val="false"/>
          <w:caps w:val="false"/>
          <w:smallCaps w:val="false"/>
          <w:color w:val="2A2A2A"/>
          <w:sz w:val="22"/>
          <w:szCs w:val="22"/>
          <w:lang w:val="en-US"/>
        </w:rPr>
        <w:t>with</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it’s</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 xml:space="preserve">history. Subsequent paragraphs explores and analysis </w:t>
      </w:r>
      <w:r>
        <w:rPr>
          <w:rFonts w:eastAsia="Merriweather" w:cs="Merriweather" w:ascii="Calibri" w:hAnsi="Calibri"/>
          <w:b w:val="false"/>
          <w:bCs w:val="false"/>
          <w:i w:val="false"/>
          <w:iCs w:val="false"/>
          <w:caps w:val="false"/>
          <w:smallCaps w:val="false"/>
          <w:color w:val="2A2A2A"/>
          <w:sz w:val="22"/>
          <w:szCs w:val="22"/>
          <w:lang w:val="en-US"/>
        </w:rPr>
        <w:t xml:space="preserve">reception history </w:t>
      </w:r>
      <w:r>
        <w:rPr>
          <w:rFonts w:eastAsia="Merriweather" w:cs="Merriweather" w:ascii="Calibri" w:hAnsi="Calibri"/>
          <w:b w:val="false"/>
          <w:bCs w:val="false"/>
          <w:i w:val="false"/>
          <w:iCs w:val="false"/>
          <w:caps w:val="false"/>
          <w:smallCaps w:val="false"/>
          <w:color w:val="2A2A2A"/>
          <w:sz w:val="22"/>
          <w:szCs w:val="22"/>
          <w:lang w:val="en-US"/>
        </w:rPr>
        <w:t>and</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biblical interpretation</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The</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values, usefulness,</w:t>
      </w:r>
      <w:r>
        <w:rPr>
          <w:rFonts w:eastAsia="Merriweather" w:cs="Merriweather" w:ascii="Calibri" w:hAnsi="Calibri"/>
          <w:b w:val="false"/>
          <w:bCs w:val="false"/>
          <w:i w:val="false"/>
          <w:iCs w:val="false"/>
          <w:caps w:val="false"/>
          <w:smallCaps w:val="false"/>
          <w:color w:val="2A2A2A"/>
          <w:sz w:val="22"/>
          <w:szCs w:val="22"/>
          <w:lang w:val="en-US"/>
        </w:rPr>
        <w:t xml:space="preserve"> and</w:t>
      </w:r>
      <w:r>
        <w:rPr>
          <w:rFonts w:eastAsia="Merriweather" w:cs="Merriweather" w:ascii="Calibri" w:hAnsi="Calibri"/>
          <w:b w:val="false"/>
          <w:bCs w:val="false"/>
          <w:i w:val="false"/>
          <w:iCs w:val="false"/>
          <w:caps w:val="false"/>
          <w:smallCaps w:val="false"/>
          <w:color w:val="2A2A2A"/>
          <w:sz w:val="22"/>
          <w:szCs w:val="22"/>
          <w:lang w:val="en-US"/>
        </w:rPr>
        <w:t xml:space="preserve"> inherent limitations </w:t>
      </w:r>
      <w:r>
        <w:rPr>
          <w:rFonts w:eastAsia="Merriweather" w:cs="Merriweather" w:ascii="Calibri" w:hAnsi="Calibri"/>
          <w:b w:val="false"/>
          <w:bCs w:val="false"/>
          <w:i w:val="false"/>
          <w:iCs w:val="false"/>
          <w:caps w:val="false"/>
          <w:smallCaps w:val="false"/>
          <w:color w:val="2A2A2A"/>
          <w:sz w:val="22"/>
          <w:szCs w:val="22"/>
          <w:lang w:val="en-US"/>
        </w:rPr>
        <w:t>are</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highlighted</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F</w:t>
      </w:r>
      <w:r>
        <w:rPr>
          <w:rFonts w:eastAsia="Merriweather" w:cs="Merriweather" w:ascii="Calibri" w:hAnsi="Calibri"/>
          <w:b w:val="false"/>
          <w:bCs w:val="false"/>
          <w:i w:val="false"/>
          <w:iCs w:val="false"/>
          <w:caps w:val="false"/>
          <w:smallCaps w:val="false"/>
          <w:color w:val="2A2A2A"/>
          <w:sz w:val="22"/>
          <w:szCs w:val="22"/>
          <w:lang w:val="en-US"/>
        </w:rPr>
        <w:t xml:space="preserve">inally, the future prospects of reception history </w:t>
      </w:r>
      <w:r>
        <w:rPr>
          <w:rFonts w:eastAsia="Merriweather" w:cs="Merriweather" w:ascii="Calibri" w:hAnsi="Calibri"/>
          <w:b w:val="false"/>
          <w:bCs w:val="false"/>
          <w:i w:val="false"/>
          <w:iCs w:val="false"/>
          <w:caps w:val="false"/>
          <w:smallCaps w:val="false"/>
          <w:color w:val="2A2A2A"/>
          <w:sz w:val="22"/>
          <w:szCs w:val="22"/>
          <w:lang w:val="en-US"/>
        </w:rPr>
        <w:t>are</w:t>
      </w:r>
      <w:r>
        <w:rPr>
          <w:rFonts w:eastAsia="Merriweather" w:cs="Merriweather" w:ascii="Calibri" w:hAnsi="Calibri"/>
          <w:b w:val="false"/>
          <w:bCs w:val="false"/>
          <w:i w:val="false"/>
          <w:iCs w:val="false"/>
          <w:caps w:val="false"/>
          <w:smallCaps w:val="false"/>
          <w:color w:val="2A2A2A"/>
          <w:sz w:val="22"/>
          <w:szCs w:val="22"/>
          <w:lang w:val="en-US"/>
        </w:rPr>
        <w:t xml:space="preserve"> identified.</w:t>
      </w:r>
    </w:p>
    <w:p>
      <w:pPr>
        <w:pStyle w:val="Normal"/>
        <w:bidi w:val="0"/>
        <w:spacing w:lineRule="auto" w:line="259" w:beforeAutospacing="0" w:before="0" w:afterAutospacing="0" w:after="160"/>
        <w:ind w:left="0" w:right="0" w:hanging="0"/>
        <w:jc w:val="left"/>
        <w:rPr>
          <w:rFonts w:ascii="Calibri" w:hAnsi="Calibri"/>
        </w:rPr>
      </w:pP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bCs/>
          <w:i w:val="false"/>
          <w:iCs w:val="false"/>
          <w:caps w:val="false"/>
          <w:smallCaps w:val="false"/>
          <w:color w:val="2A2A2A"/>
          <w:sz w:val="22"/>
          <w:szCs w:val="22"/>
          <w:lang w:val="en-US"/>
        </w:rPr>
        <w:t>Definition</w:t>
      </w:r>
    </w:p>
    <w:p>
      <w:pPr>
        <w:pStyle w:val="Normal"/>
        <w:bidi w:val="0"/>
        <w:spacing w:lineRule="auto" w:line="259" w:beforeAutospacing="0" w:before="0" w:afterAutospacing="0" w:after="160"/>
        <w:ind w:left="0" w:right="0" w:hanging="0"/>
        <w:jc w:val="left"/>
        <w:rPr/>
      </w:pPr>
      <w:r>
        <w:rPr>
          <w:rFonts w:eastAsia="Merriweather" w:cs="Merriweather" w:ascii="Calibri" w:hAnsi="Calibri"/>
          <w:b w:val="false"/>
          <w:bCs w:val="false"/>
          <w:i w:val="false"/>
          <w:iCs w:val="false"/>
          <w:caps w:val="false"/>
          <w:smallCaps w:val="false"/>
          <w:color w:val="2A2A2A"/>
          <w:sz w:val="22"/>
          <w:szCs w:val="22"/>
          <w:lang w:val="en-US"/>
        </w:rPr>
        <w:t>According to Brennan Breed, reception history ‘is the study of how biblical texts have changed over time in different cultures and communities, through</w:t>
      </w:r>
      <w:r>
        <w:rPr>
          <w:rFonts w:eastAsia="Tahoma" w:cs="Tahoma" w:ascii="Calibri" w:hAnsi="Calibri"/>
          <w:b w:val="false"/>
          <w:bCs w:val="false"/>
          <w:i w:val="false"/>
          <w:iCs w:val="false"/>
          <w:caps w:val="false"/>
          <w:smallCaps w:val="false"/>
          <w:color w:val="333333"/>
          <w:sz w:val="22"/>
          <w:szCs w:val="22"/>
          <w:lang w:val="en-US"/>
        </w:rPr>
        <w:t xml:space="preserve"> transmission, translation, or reading, retelling, and reworking. In other words, it explores all the different ways that people have received, appropriated, and used biblical texts throughout history</w:t>
      </w:r>
      <w:r>
        <w:rPr>
          <w:rStyle w:val="FootnoteAnchor"/>
          <w:rFonts w:eastAsia="Tahoma" w:cs="Tahoma" w:ascii="Calibri" w:hAnsi="Calibri"/>
          <w:b w:val="false"/>
          <w:bCs w:val="false"/>
          <w:i w:val="false"/>
          <w:iCs w:val="false"/>
          <w:caps w:val="false"/>
          <w:smallCaps w:val="false"/>
          <w:color w:val="333333"/>
          <w:sz w:val="22"/>
          <w:szCs w:val="22"/>
          <w:lang w:val="en-US"/>
        </w:rPr>
        <w:footnoteReference w:id="2"/>
      </w:r>
      <w:r>
        <w:rPr>
          <w:rFonts w:eastAsia="Tahoma" w:cs="Tahoma" w:ascii="Calibri" w:hAnsi="Calibri"/>
          <w:b w:val="false"/>
          <w:bCs w:val="false"/>
          <w:i w:val="false"/>
          <w:iCs w:val="false"/>
          <w:caps w:val="false"/>
          <w:smallCaps w:val="false"/>
          <w:color w:val="333333"/>
          <w:sz w:val="22"/>
          <w:szCs w:val="22"/>
          <w:lang w:val="en-US"/>
        </w:rPr>
        <w:t>.</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Expounding on this</w:t>
      </w:r>
      <w:r>
        <w:rPr>
          <w:rFonts w:eastAsia="Merriweather" w:cs="Merriweather" w:ascii="Calibri" w:hAnsi="Calibri"/>
          <w:b w:val="false"/>
          <w:bCs w:val="false"/>
          <w:i w:val="false"/>
          <w:iCs w:val="false"/>
          <w:caps w:val="false"/>
          <w:smallCaps w:val="false"/>
          <w:color w:val="2A2A2A"/>
          <w:sz w:val="22"/>
          <w:szCs w:val="22"/>
          <w:lang w:val="en-US"/>
        </w:rPr>
        <w:t xml:space="preserve">, Timothy Beal </w:t>
      </w:r>
      <w:r>
        <w:rPr>
          <w:rFonts w:eastAsia="Merriweather" w:cs="Merriweather" w:ascii="Calibri" w:hAnsi="Calibri"/>
          <w:b w:val="false"/>
          <w:bCs w:val="false"/>
          <w:i w:val="false"/>
          <w:iCs w:val="false"/>
          <w:caps w:val="false"/>
          <w:smallCaps w:val="false"/>
          <w:color w:val="2A2A2A"/>
          <w:sz w:val="22"/>
          <w:szCs w:val="22"/>
          <w:lang w:val="en-US"/>
        </w:rPr>
        <w:t>states</w:t>
      </w:r>
      <w:r>
        <w:rPr>
          <w:rFonts w:eastAsia="Merriweather" w:cs="Merriweather" w:ascii="Calibri" w:hAnsi="Calibri"/>
          <w:b w:val="false"/>
          <w:bCs w:val="false"/>
          <w:i w:val="false"/>
          <w:iCs w:val="false"/>
          <w:caps w:val="false"/>
          <w:smallCaps w:val="false"/>
          <w:color w:val="2A2A2A"/>
          <w:sz w:val="22"/>
          <w:szCs w:val="22"/>
          <w:lang w:val="en-US"/>
        </w:rPr>
        <w:t xml:space="preserve"> </w:t>
      </w:r>
      <w:r>
        <w:rPr>
          <w:rFonts w:eastAsia="Merriweather" w:cs="Merriweather" w:ascii="Calibri" w:hAnsi="Calibri"/>
          <w:b w:val="false"/>
          <w:bCs w:val="false"/>
          <w:i w:val="false"/>
          <w:iCs w:val="false"/>
          <w:caps w:val="false"/>
          <w:smallCaps w:val="false"/>
          <w:color w:val="2A2A2A"/>
          <w:sz w:val="22"/>
          <w:szCs w:val="22"/>
          <w:lang w:val="en-US"/>
        </w:rPr>
        <w:t xml:space="preserve">that </w:t>
      </w:r>
      <w:r>
        <w:rPr>
          <w:rFonts w:eastAsia="Merriweather" w:cs="Merriweather" w:ascii="Calibri" w:hAnsi="Calibri"/>
          <w:b w:val="false"/>
          <w:bCs w:val="false"/>
          <w:i w:val="false"/>
          <w:iCs w:val="false"/>
          <w:caps w:val="false"/>
          <w:smallCaps w:val="false"/>
          <w:color w:val="2A2A2A"/>
          <w:sz w:val="22"/>
          <w:szCs w:val="22"/>
          <w:lang w:val="en-US"/>
        </w:rPr>
        <w:t>reception history ‘</w:t>
      </w:r>
      <w:r>
        <w:rPr>
          <w:rFonts w:eastAsia="Calibri" w:cs="Calibri" w:ascii="Calibri" w:hAnsi="Calibri"/>
          <w:b w:val="false"/>
          <w:bCs w:val="false"/>
          <w:i w:val="false"/>
          <w:iCs w:val="false"/>
          <w:caps w:val="false"/>
          <w:smallCaps w:val="false"/>
          <w:color w:val="2A2A2A"/>
          <w:spacing w:val="0"/>
          <w:sz w:val="22"/>
          <w:szCs w:val="22"/>
          <w:lang w:val="en-US"/>
        </w:rPr>
        <w:t>goes beyond previous generation of research into the history of biblical interpretation, but embraces the broadest possible definition of “interpretation” to include not only academic and theological readings but also biblical appearances in visual art, literature, music, politics, and other works of culture’</w:t>
      </w:r>
      <w:r>
        <w:rPr>
          <w:rStyle w:val="FootnoteAnchor"/>
          <w:rFonts w:eastAsia="Calibri" w:cs="Calibri" w:ascii="Calibri" w:hAnsi="Calibri"/>
          <w:b w:val="false"/>
          <w:bCs w:val="false"/>
          <w:i w:val="false"/>
          <w:iCs w:val="false"/>
          <w:caps w:val="false"/>
          <w:smallCaps w:val="false"/>
          <w:color w:val="2A2A2A"/>
          <w:spacing w:val="0"/>
          <w:sz w:val="22"/>
          <w:szCs w:val="22"/>
          <w:lang w:val="en-US"/>
        </w:rPr>
        <w:footnoteReference w:id="3"/>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Style w:val="Emphasis"/>
          <w:rFonts w:eastAsia="Calibri" w:cs="Calibri" w:ascii="Calibri" w:hAnsi="Calibri"/>
          <w:b w:val="false"/>
          <w:bCs w:val="false"/>
          <w:i w:val="false"/>
          <w:iCs w:val="false"/>
          <w:caps w:val="false"/>
          <w:smallCaps w:val="false"/>
          <w:color w:val="000000"/>
          <w:spacing w:val="0"/>
          <w:sz w:val="22"/>
          <w:szCs w:val="22"/>
          <w:lang w:val="en-US"/>
        </w:rPr>
        <w:t xml:space="preserve">Jonathan Roberts in his introductory essay to the Oxford Handbook of the Reception History of the Bible </w:t>
      </w:r>
      <w:r>
        <w:rPr>
          <w:rStyle w:val="Emphasis"/>
          <w:rFonts w:eastAsia="Calibri" w:cs="Calibri" w:ascii="Calibri" w:hAnsi="Calibri"/>
          <w:b w:val="false"/>
          <w:bCs w:val="false"/>
          <w:i w:val="false"/>
          <w:iCs w:val="false"/>
          <w:caps w:val="false"/>
          <w:smallCaps w:val="false"/>
          <w:color w:val="000000"/>
          <w:spacing w:val="0"/>
          <w:sz w:val="22"/>
          <w:szCs w:val="22"/>
          <w:lang w:val="en-US"/>
        </w:rPr>
        <w:t>writes</w:t>
      </w:r>
      <w:r>
        <w:rPr>
          <w:rStyle w:val="Emphasis"/>
          <w:rFonts w:eastAsia="Calibri" w:cs="Calibri" w:ascii="Calibri" w:hAnsi="Calibri"/>
          <w:b w:val="false"/>
          <w:bCs w:val="false"/>
          <w:i w:val="false"/>
          <w:iCs w:val="false"/>
          <w:caps w:val="false"/>
          <w:smallCaps w:val="false"/>
          <w:color w:val="000000"/>
          <w:spacing w:val="0"/>
          <w:sz w:val="22"/>
          <w:szCs w:val="22"/>
          <w:lang w:val="en-US"/>
        </w:rPr>
        <w:t>: “The reception of the Bible comprises every single act or word of interpretation of that book (or books) over the course of three millennia… No one and nothing is excluded.”</w:t>
      </w:r>
      <w:r>
        <w:rPr>
          <w:rFonts w:eastAsia="Calibri" w:cs="Calibri" w:ascii="Calibri" w:hAnsi="Calibri"/>
          <w:b w:val="false"/>
          <w:bCs w:val="false"/>
          <w:i w:val="false"/>
          <w:iCs w:val="false"/>
          <w:caps w:val="false"/>
          <w:smallCaps w:val="false"/>
          <w:color w:val="000000"/>
          <w:spacing w:val="0"/>
          <w:sz w:val="22"/>
          <w:szCs w:val="22"/>
          <w:lang w:val="en-US"/>
        </w:rPr>
        <w:t xml:space="preserve"> </w:t>
      </w:r>
      <w:r>
        <w:rPr>
          <w:rStyle w:val="FootnoteAnchor"/>
          <w:rFonts w:eastAsia="Calibri" w:cs="Calibri" w:ascii="Calibri" w:hAnsi="Calibri"/>
          <w:b w:val="false"/>
          <w:bCs w:val="false"/>
          <w:i w:val="false"/>
          <w:iCs w:val="false"/>
          <w:caps w:val="false"/>
          <w:smallCaps w:val="false"/>
          <w:color w:val="000000"/>
          <w:spacing w:val="0"/>
          <w:sz w:val="22"/>
          <w:szCs w:val="22"/>
          <w:lang w:val="en-US"/>
        </w:rPr>
        <w:footnoteReference w:id="4"/>
      </w:r>
    </w:p>
    <w:p>
      <w:pPr>
        <w:pStyle w:val="Normal"/>
        <w:bidi w:val="0"/>
        <w:spacing w:lineRule="auto" w:line="259" w:beforeAutospacing="0" w:before="0" w:afterAutospacing="0" w:after="160"/>
        <w:ind w:left="0" w:right="0" w:hanging="0"/>
        <w:jc w:val="left"/>
        <w:rPr>
          <w:rFonts w:ascii="Calibri" w:hAnsi="Calibri"/>
        </w:rPr>
      </w:pPr>
      <w:r>
        <w:rPr>
          <w:rFonts w:eastAsia="Merriweather" w:cs="Merriweather" w:ascii="Calibri" w:hAnsi="Calibri"/>
          <w:b/>
          <w:bCs/>
          <w:i w:val="false"/>
          <w:iCs w:val="false"/>
          <w:caps w:val="false"/>
          <w:smallCaps w:val="false"/>
          <w:color w:val="2A2A2A"/>
          <w:spacing w:val="0"/>
          <w:sz w:val="22"/>
          <w:szCs w:val="22"/>
          <w:lang w:val="en-US"/>
        </w:rPr>
        <w:t>History</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bCs w:val="false"/>
          <w:i w:val="false"/>
          <w:iCs w:val="false"/>
          <w:caps w:val="false"/>
          <w:smallCaps w:val="false"/>
          <w:color w:val="2A2A2A"/>
          <w:spacing w:val="0"/>
          <w:sz w:val="22"/>
          <w:szCs w:val="22"/>
          <w:lang w:val="en-US"/>
        </w:rPr>
        <w:t>According to Justin Mihoc in his article on reception history, asserts that, b</w:t>
      </w:r>
      <w:r>
        <w:rPr>
          <w:rFonts w:eastAsia="Calibri" w:cs="Calibri" w:ascii="Calibri" w:hAnsi="Calibri"/>
          <w:b w:val="false"/>
          <w:bCs w:val="false"/>
          <w:i w:val="false"/>
          <w:iCs w:val="false"/>
          <w:caps w:val="false"/>
          <w:smallCaps w:val="false"/>
          <w:color w:val="2A2A2A"/>
          <w:spacing w:val="0"/>
          <w:sz w:val="23"/>
          <w:szCs w:val="22"/>
          <w:lang w:val="en-US"/>
        </w:rPr>
        <w:t xml:space="preserve">iblical scholars have </w:t>
      </w:r>
      <w:r>
        <w:rPr>
          <w:rFonts w:eastAsia="Calibri" w:cs="Calibri" w:ascii="Calibri" w:hAnsi="Calibri"/>
          <w:b w:val="false"/>
          <w:bCs w:val="false"/>
          <w:i w:val="false"/>
          <w:iCs w:val="false"/>
          <w:caps w:val="false"/>
          <w:smallCaps w:val="false"/>
          <w:color w:val="2A2A2A"/>
          <w:spacing w:val="0"/>
          <w:sz w:val="23"/>
          <w:szCs w:val="22"/>
          <w:lang w:val="en-US"/>
        </w:rPr>
        <w:t>recently</w:t>
      </w:r>
      <w:r>
        <w:rPr>
          <w:rFonts w:eastAsia="Calibri" w:cs="Calibri" w:ascii="Calibri" w:hAnsi="Calibri"/>
          <w:b w:val="false"/>
          <w:bCs w:val="false"/>
          <w:i w:val="false"/>
          <w:iCs w:val="false"/>
          <w:caps w:val="false"/>
          <w:smallCaps w:val="false"/>
          <w:color w:val="2A2A2A"/>
          <w:spacing w:val="0"/>
          <w:sz w:val="23"/>
          <w:szCs w:val="22"/>
          <w:lang w:val="en-US"/>
        </w:rPr>
        <w:t xml:space="preserve"> ‘discovered </w:t>
      </w:r>
      <w:r>
        <w:rPr>
          <w:rFonts w:eastAsia="Calibri" w:cs="Calibri" w:ascii="Calibri" w:hAnsi="Calibri"/>
          <w:b w:val="false"/>
          <w:bCs w:val="false"/>
          <w:i w:val="false"/>
          <w:iCs w:val="false"/>
          <w:caps w:val="false"/>
          <w:smallCaps w:val="false"/>
          <w:color w:val="2A2A2A"/>
          <w:spacing w:val="0"/>
          <w:sz w:val="23"/>
          <w:szCs w:val="22"/>
          <w:lang w:val="en-US"/>
        </w:rPr>
        <w:t>new</w:t>
      </w:r>
      <w:r>
        <w:rPr>
          <w:rFonts w:eastAsia="Calibri" w:cs="Calibri" w:ascii="Calibri" w:hAnsi="Calibri"/>
          <w:b w:val="false"/>
          <w:bCs w:val="false"/>
          <w:i w:val="false"/>
          <w:iCs w:val="false"/>
          <w:caps w:val="false"/>
          <w:smallCaps w:val="false"/>
          <w:color w:val="2A2A2A"/>
          <w:spacing w:val="0"/>
          <w:sz w:val="23"/>
          <w:szCs w:val="22"/>
          <w:lang w:val="en-US"/>
        </w:rPr>
        <w:t xml:space="preserve"> ways to approach the canonical texts, </w:t>
      </w:r>
      <w:r>
        <w:rPr>
          <w:rFonts w:eastAsia="Calibri" w:cs="Calibri" w:ascii="Calibri" w:hAnsi="Calibri"/>
          <w:b w:val="false"/>
          <w:bCs w:val="false"/>
          <w:i w:val="false"/>
          <w:iCs w:val="false"/>
          <w:caps w:val="false"/>
          <w:smallCaps w:val="false"/>
          <w:color w:val="2A2A2A"/>
          <w:spacing w:val="0"/>
          <w:sz w:val="23"/>
          <w:szCs w:val="22"/>
          <w:lang w:val="en-US"/>
        </w:rPr>
        <w:t>likely</w:t>
      </w:r>
      <w:r>
        <w:rPr>
          <w:rFonts w:eastAsia="Calibri" w:cs="Calibri" w:ascii="Calibri" w:hAnsi="Calibri"/>
          <w:b w:val="false"/>
          <w:bCs w:val="false"/>
          <w:i w:val="false"/>
          <w:iCs w:val="false"/>
          <w:caps w:val="false"/>
          <w:smallCaps w:val="false"/>
          <w:color w:val="2A2A2A"/>
          <w:spacing w:val="0"/>
          <w:sz w:val="23"/>
          <w:szCs w:val="22"/>
          <w:lang w:val="en-US"/>
        </w:rPr>
        <w:t xml:space="preserve"> in an effort to </w:t>
      </w:r>
      <w:r>
        <w:rPr>
          <w:rFonts w:eastAsia="Calibri" w:cs="Calibri" w:ascii="Calibri" w:hAnsi="Calibri"/>
          <w:b w:val="false"/>
          <w:bCs w:val="false"/>
          <w:i w:val="false"/>
          <w:iCs w:val="false"/>
          <w:caps w:val="false"/>
          <w:smallCaps w:val="false"/>
          <w:color w:val="2A2A2A"/>
          <w:spacing w:val="0"/>
          <w:sz w:val="23"/>
          <w:szCs w:val="22"/>
          <w:lang w:val="en-US"/>
        </w:rPr>
        <w:t>separate</w:t>
      </w:r>
      <w:r>
        <w:rPr>
          <w:rFonts w:eastAsia="Calibri" w:cs="Calibri" w:ascii="Calibri" w:hAnsi="Calibri"/>
          <w:b w:val="false"/>
          <w:bCs w:val="false"/>
          <w:i w:val="false"/>
          <w:iCs w:val="false"/>
          <w:caps w:val="false"/>
          <w:smallCaps w:val="false"/>
          <w:color w:val="2A2A2A"/>
          <w:spacing w:val="0"/>
          <w:sz w:val="23"/>
          <w:szCs w:val="22"/>
          <w:lang w:val="en-US"/>
        </w:rPr>
        <w:t xml:space="preserve"> from the well-established methods of interpretation developed post-Enlightenment, as well as with an aim to incorporate even more aspects than those allowed by the traditional historical-critical method’.</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Style w:val="FootnoteAnchor"/>
          <w:rFonts w:eastAsia="Calibri" w:cs="Calibri" w:ascii="Calibri" w:hAnsi="Calibri"/>
          <w:b w:val="false"/>
          <w:bCs w:val="false"/>
          <w:i w:val="false"/>
          <w:iCs w:val="false"/>
          <w:caps w:val="false"/>
          <w:smallCaps w:val="false"/>
          <w:color w:val="2A2A2A"/>
          <w:spacing w:val="0"/>
          <w:sz w:val="22"/>
          <w:szCs w:val="22"/>
          <w:lang w:val="en-US"/>
        </w:rPr>
        <w:footnoteReference w:id="5"/>
      </w:r>
      <w:r>
        <w:rPr>
          <w:rFonts w:eastAsia="Tahoma" w:cs="Tahoma" w:ascii="Calibri" w:hAnsi="Calibri"/>
          <w:b w:val="false"/>
          <w:bCs w:val="false"/>
          <w:i w:val="false"/>
          <w:iCs w:val="false"/>
          <w:caps w:val="false"/>
          <w:smallCaps w:val="false"/>
          <w:color w:val="333333"/>
          <w:spacing w:val="0"/>
          <w:sz w:val="22"/>
          <w:szCs w:val="22"/>
          <w:lang w:val="en-US"/>
        </w:rPr>
        <w:t xml:space="preserve"> </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bCs w:val="false"/>
          <w:i w:val="false"/>
          <w:iCs w:val="false"/>
          <w:caps w:val="false"/>
          <w:smallCaps w:val="false"/>
          <w:color w:val="2A2A2A"/>
          <w:spacing w:val="0"/>
          <w:sz w:val="22"/>
          <w:szCs w:val="22"/>
          <w:lang w:val="en-US"/>
        </w:rPr>
        <w:t>J</w:t>
      </w:r>
      <w:r>
        <w:rPr>
          <w:rFonts w:eastAsia="Calibri" w:cs="Calibri" w:ascii="Calibri" w:hAnsi="Calibri"/>
          <w:b w:val="false"/>
          <w:bCs w:val="false"/>
          <w:i w:val="false"/>
          <w:iCs w:val="false"/>
          <w:caps w:val="false"/>
          <w:smallCaps w:val="false"/>
          <w:color w:val="2A2A2A"/>
          <w:spacing w:val="0"/>
          <w:sz w:val="23"/>
          <w:szCs w:val="22"/>
          <w:lang w:val="en-US"/>
        </w:rPr>
        <w:t>ohn F. A. Sawyer notes in a 2012 journal issue dedicated to reception history, “to understand what the Hebrew Bible meant is not enough</w:t>
      </w:r>
      <w:bookmarkStart w:id="0" w:name="jumplink-oxfordhb-9780190948658-e-10-mil"/>
      <w:bookmarkEnd w:id="0"/>
      <w:r>
        <w:rPr>
          <w:rFonts w:eastAsia="Calibri" w:cs="Calibri" w:ascii="Calibri" w:hAnsi="Calibri"/>
          <w:b w:val="false"/>
          <w:bCs w:val="false"/>
          <w:i w:val="false"/>
          <w:iCs w:val="false"/>
          <w:caps w:val="false"/>
          <w:smallCaps w:val="false"/>
          <w:color w:val="2A2A2A"/>
          <w:spacing w:val="0"/>
          <w:sz w:val="23"/>
          <w:szCs w:val="22"/>
          <w:lang w:val="en-US"/>
        </w:rPr>
        <w:t xml:space="preserve"> anymore —we also have to know something about the afterlife of the texts we are handling…. Without some expertise in reception history, we can no longer pretend to be experts on the Bible.”</w:t>
      </w:r>
      <w:r>
        <w:rPr>
          <w:rStyle w:val="FootnoteAnchor"/>
          <w:rFonts w:eastAsia="Calibri" w:cs="Calibri" w:ascii="Calibri" w:hAnsi="Calibri"/>
          <w:b w:val="false"/>
          <w:bCs w:val="false"/>
          <w:i w:val="false"/>
          <w:iCs w:val="false"/>
          <w:caps w:val="false"/>
          <w:smallCaps w:val="false"/>
          <w:color w:val="2A2A2A"/>
          <w:spacing w:val="0"/>
          <w:sz w:val="23"/>
          <w:szCs w:val="22"/>
          <w:lang w:val="en-US"/>
        </w:rPr>
        <w:footnoteReference w:id="6"/>
      </w:r>
    </w:p>
    <w:p>
      <w:pPr>
        <w:pStyle w:val="Normal"/>
        <w:bidi w:val="0"/>
        <w:spacing w:lineRule="auto" w:line="259" w:beforeAutospacing="0" w:before="0" w:afterAutospacing="0" w:after="160"/>
        <w:ind w:left="0" w:right="0" w:hanging="0"/>
        <w:jc w:val="left"/>
        <w:rPr/>
      </w:pPr>
      <w:r>
        <w:rPr>
          <w:rFonts w:eastAsia="Merriweather" w:cs="Merriweather" w:ascii="Calibri" w:hAnsi="Calibri"/>
          <w:b w:val="false"/>
          <w:bCs/>
          <w:i w:val="false"/>
          <w:iCs w:val="false"/>
          <w:caps w:val="false"/>
          <w:smallCaps w:val="false"/>
          <w:color w:val="2A2A2A"/>
          <w:spacing w:val="0"/>
          <w:sz w:val="22"/>
          <w:szCs w:val="22"/>
          <w:lang w:val="en-US"/>
        </w:rPr>
        <w:t xml:space="preserve">Hans-Georg Gadamer </w:t>
      </w:r>
      <w:r>
        <w:rPr>
          <w:rFonts w:eastAsia="Merriweather" w:cs="Merriweather" w:ascii="Calibri" w:hAnsi="Calibri"/>
          <w:b w:val="false"/>
          <w:bCs/>
          <w:i w:val="false"/>
          <w:iCs w:val="false"/>
          <w:caps w:val="false"/>
          <w:smallCaps w:val="false"/>
          <w:color w:val="2A2A2A"/>
          <w:spacing w:val="0"/>
          <w:sz w:val="22"/>
          <w:szCs w:val="22"/>
          <w:lang w:val="en-US"/>
        </w:rPr>
        <w:t>i</w:t>
      </w:r>
      <w:r>
        <w:rPr>
          <w:rFonts w:eastAsia="Merriweather" w:cs="Merriweather" w:ascii="Calibri" w:hAnsi="Calibri"/>
          <w:b w:val="false"/>
          <w:bCs/>
          <w:i w:val="false"/>
          <w:iCs w:val="false"/>
          <w:caps w:val="false"/>
          <w:smallCaps w:val="false"/>
          <w:color w:val="2A2A2A"/>
          <w:spacing w:val="0"/>
          <w:sz w:val="22"/>
          <w:szCs w:val="22"/>
          <w:lang w:val="en-US"/>
        </w:rPr>
        <w:t>n his seminal work,</w:t>
      </w:r>
      <w:r>
        <w:rPr>
          <w:rStyle w:val="Emphasis"/>
          <w:rFonts w:eastAsia="Merriweather" w:cs="Merriweather" w:ascii="Calibri" w:hAnsi="Calibri"/>
          <w:b w:val="false"/>
          <w:bCs/>
          <w:i/>
          <w:caps w:val="false"/>
          <w:smallCaps w:val="false"/>
          <w:color w:val="2A2A2A"/>
          <w:spacing w:val="0"/>
          <w:sz w:val="22"/>
          <w:szCs w:val="22"/>
          <w:lang w:val="en-US"/>
        </w:rPr>
        <w:t>Truth and Method</w:t>
      </w:r>
      <w:r>
        <w:rPr>
          <w:rStyle w:val="Emphasis"/>
          <w:rFonts w:eastAsia="Merriweather" w:cs="Merriweather" w:ascii="Calibri" w:hAnsi="Calibri"/>
          <w:b/>
          <w:bCs/>
          <w:i w:val="false"/>
          <w:iCs w:val="false"/>
          <w:caps w:val="false"/>
          <w:smallCaps w:val="false"/>
          <w:color w:val="2A2A2A"/>
          <w:spacing w:val="0"/>
          <w:sz w:val="22"/>
          <w:szCs w:val="22"/>
          <w:lang w:val="en-US"/>
        </w:rPr>
        <w:t xml:space="preserve"> </w:t>
      </w:r>
      <w:r>
        <w:rPr>
          <w:rFonts w:eastAsia="Merriweather" w:cs="Merriweather" w:ascii="Calibri" w:hAnsi="Calibri"/>
          <w:b w:val="false"/>
          <w:bCs/>
          <w:i w:val="false"/>
          <w:iCs w:val="false"/>
          <w:caps w:val="false"/>
          <w:smallCaps w:val="false"/>
          <w:color w:val="2A2A2A"/>
          <w:spacing w:val="0"/>
          <w:sz w:val="22"/>
          <w:szCs w:val="22"/>
          <w:lang w:val="en-US"/>
        </w:rPr>
        <w:t>(</w:t>
      </w:r>
      <w:r>
        <w:rPr>
          <w:rStyle w:val="Emphasis"/>
          <w:rFonts w:eastAsia="Merriweather" w:cs="Merriweather" w:ascii="Calibri" w:hAnsi="Calibri"/>
          <w:b w:val="false"/>
          <w:bCs/>
          <w:i/>
          <w:caps w:val="false"/>
          <w:smallCaps w:val="false"/>
          <w:color w:val="2A2A2A"/>
          <w:spacing w:val="0"/>
          <w:sz w:val="22"/>
          <w:szCs w:val="22"/>
          <w:lang w:val="en-US"/>
        </w:rPr>
        <w:t>Wahrheit und Methode</w:t>
      </w:r>
      <w:r>
        <w:rPr>
          <w:rFonts w:eastAsia="Merriweather" w:cs="Merriweather" w:ascii="Calibri" w:hAnsi="Calibri"/>
          <w:b w:val="false"/>
          <w:bCs/>
          <w:i w:val="false"/>
          <w:iCs w:val="false"/>
          <w:caps w:val="false"/>
          <w:smallCaps w:val="false"/>
          <w:color w:val="2A2A2A"/>
          <w:spacing w:val="0"/>
          <w:sz w:val="22"/>
          <w:szCs w:val="22"/>
          <w:lang w:val="en-US"/>
        </w:rPr>
        <w:t xml:space="preserve">, 1960), </w:t>
      </w:r>
      <w:r>
        <w:rPr>
          <w:rFonts w:eastAsia="Merriweather" w:cs="Merriweather" w:ascii="Calibri" w:hAnsi="Calibri"/>
          <w:b w:val="false"/>
          <w:bCs/>
          <w:i w:val="false"/>
          <w:iCs w:val="false"/>
          <w:caps w:val="false"/>
          <w:smallCaps w:val="false"/>
          <w:color w:val="2A2A2A"/>
          <w:spacing w:val="0"/>
          <w:sz w:val="22"/>
          <w:szCs w:val="22"/>
          <w:lang w:val="en-US"/>
        </w:rPr>
        <w:t xml:space="preserve">uses </w:t>
      </w:r>
      <w:r>
        <w:rPr>
          <w:rFonts w:eastAsia="Merriweather" w:cs="Merriweather" w:ascii="Calibri" w:hAnsi="Calibri"/>
          <w:b w:val="false"/>
          <w:bCs/>
          <w:i w:val="false"/>
          <w:iCs w:val="false"/>
          <w:caps w:val="false"/>
          <w:smallCaps w:val="false"/>
          <w:color w:val="2A2A2A"/>
          <w:spacing w:val="0"/>
          <w:sz w:val="22"/>
          <w:szCs w:val="22"/>
          <w:lang w:val="en-US"/>
        </w:rPr>
        <w:t xml:space="preserve">his impression </w:t>
      </w:r>
      <w:r>
        <w:rPr>
          <w:rFonts w:eastAsia="Merriweather" w:cs="Merriweather" w:ascii="Calibri" w:hAnsi="Calibri"/>
          <w:b w:val="false"/>
          <w:bCs/>
          <w:i w:val="false"/>
          <w:iCs w:val="false"/>
          <w:caps w:val="false"/>
          <w:smallCaps w:val="false"/>
          <w:color w:val="2A2A2A"/>
          <w:spacing w:val="0"/>
          <w:sz w:val="23"/>
          <w:szCs w:val="22"/>
          <w:lang w:val="en-US"/>
        </w:rPr>
        <w:t xml:space="preserve">of </w:t>
      </w:r>
      <w:r>
        <w:rPr>
          <w:rStyle w:val="Emphasis"/>
          <w:rFonts w:eastAsia="Merriweather" w:cs="Merriweather" w:ascii="Calibri" w:hAnsi="Calibri"/>
          <w:b w:val="false"/>
          <w:bCs/>
          <w:i/>
          <w:caps w:val="false"/>
          <w:smallCaps w:val="false"/>
          <w:color w:val="2A2A2A"/>
          <w:spacing w:val="0"/>
          <w:sz w:val="23"/>
          <w:szCs w:val="22"/>
          <w:lang w:val="en-US"/>
        </w:rPr>
        <w:t>Wirkungsgeschichte</w:t>
      </w:r>
      <w:r>
        <w:rPr>
          <w:rFonts w:eastAsia="Merriweather" w:cs="Merriweather" w:ascii="Calibri" w:hAnsi="Calibri"/>
          <w:b w:val="false"/>
          <w:bCs/>
          <w:i w:val="false"/>
          <w:iCs w:val="false"/>
          <w:caps w:val="false"/>
          <w:smallCaps w:val="false"/>
          <w:color w:val="2A2A2A"/>
          <w:spacing w:val="0"/>
          <w:sz w:val="23"/>
          <w:szCs w:val="22"/>
          <w:lang w:val="en-US"/>
        </w:rPr>
        <w:t xml:space="preserve">, or effective history, </w:t>
      </w:r>
      <w:r>
        <w:rPr>
          <w:rFonts w:eastAsia="Merriweather" w:cs="Merriweather" w:ascii="Calibri" w:hAnsi="Calibri"/>
          <w:b w:val="false"/>
          <w:bCs/>
          <w:i w:val="false"/>
          <w:iCs w:val="false"/>
          <w:caps w:val="false"/>
          <w:smallCaps w:val="false"/>
          <w:color w:val="2A2A2A"/>
          <w:spacing w:val="0"/>
          <w:sz w:val="23"/>
          <w:szCs w:val="22"/>
          <w:lang w:val="en-US"/>
        </w:rPr>
        <w:t xml:space="preserve">to </w:t>
      </w:r>
      <w:r>
        <w:rPr>
          <w:rFonts w:eastAsia="Merriweather" w:cs="Merriweather" w:ascii="Calibri" w:hAnsi="Calibri"/>
          <w:b w:val="false"/>
          <w:bCs/>
          <w:i w:val="false"/>
          <w:iCs w:val="false"/>
          <w:caps w:val="false"/>
          <w:smallCaps w:val="false"/>
          <w:color w:val="2A2A2A"/>
          <w:spacing w:val="0"/>
          <w:sz w:val="23"/>
          <w:szCs w:val="22"/>
          <w:lang w:val="en-US"/>
        </w:rPr>
        <w:t xml:space="preserve">propose a </w:t>
      </w:r>
      <w:r>
        <w:rPr>
          <w:rFonts w:eastAsia="Merriweather" w:cs="Merriweather" w:ascii="Calibri" w:hAnsi="Calibri"/>
          <w:b w:val="false"/>
          <w:bCs/>
          <w:i w:val="false"/>
          <w:iCs w:val="false"/>
          <w:caps w:val="false"/>
          <w:smallCaps w:val="false"/>
          <w:color w:val="2A2A2A"/>
          <w:spacing w:val="0"/>
          <w:sz w:val="23"/>
          <w:szCs w:val="22"/>
          <w:lang w:val="en-US"/>
        </w:rPr>
        <w:t>new</w:t>
      </w:r>
      <w:r>
        <w:rPr>
          <w:rFonts w:eastAsia="Merriweather" w:cs="Merriweather" w:ascii="Calibri" w:hAnsi="Calibri"/>
          <w:b w:val="false"/>
          <w:bCs/>
          <w:i w:val="false"/>
          <w:iCs w:val="false"/>
          <w:caps w:val="false"/>
          <w:smallCaps w:val="false"/>
          <w:color w:val="2A2A2A"/>
          <w:spacing w:val="0"/>
          <w:sz w:val="23"/>
          <w:szCs w:val="22"/>
          <w:lang w:val="en-US"/>
        </w:rPr>
        <w:t xml:space="preserve"> way of </w:t>
      </w:r>
      <w:r>
        <w:rPr>
          <w:rFonts w:eastAsia="Merriweather" w:cs="Merriweather" w:ascii="Calibri" w:hAnsi="Calibri"/>
          <w:b w:val="false"/>
          <w:bCs/>
          <w:i w:val="false"/>
          <w:iCs w:val="false"/>
          <w:caps w:val="false"/>
          <w:smallCaps w:val="false"/>
          <w:color w:val="2A2A2A"/>
          <w:spacing w:val="0"/>
          <w:sz w:val="23"/>
          <w:szCs w:val="22"/>
          <w:lang w:val="en-US"/>
        </w:rPr>
        <w:t>analyzing</w:t>
      </w:r>
      <w:r>
        <w:rPr>
          <w:rFonts w:eastAsia="Merriweather" w:cs="Merriweather" w:ascii="Calibri" w:hAnsi="Calibri"/>
          <w:b w:val="false"/>
          <w:bCs/>
          <w:i w:val="false"/>
          <w:iCs w:val="false"/>
          <w:caps w:val="false"/>
          <w:smallCaps w:val="false"/>
          <w:color w:val="2A2A2A"/>
          <w:spacing w:val="0"/>
          <w:sz w:val="23"/>
          <w:szCs w:val="22"/>
          <w:lang w:val="en-US"/>
        </w:rPr>
        <w:t xml:space="preserve"> and understanding traditiona</w:t>
      </w:r>
      <w:r>
        <w:rPr>
          <w:rFonts w:eastAsia="Merriweather" w:cs="Merriweather" w:ascii="Calibri" w:hAnsi="Calibri"/>
          <w:b w:val="false"/>
          <w:bCs/>
          <w:i w:val="false"/>
          <w:iCs w:val="false"/>
          <w:caps w:val="false"/>
          <w:smallCaps w:val="false"/>
          <w:color w:val="2A2A2A"/>
          <w:spacing w:val="0"/>
          <w:sz w:val="23"/>
          <w:szCs w:val="22"/>
          <w:lang w:val="en-US"/>
        </w:rPr>
        <w:t>l</w:t>
      </w:r>
      <w:r>
        <w:rPr>
          <w:rFonts w:eastAsia="Merriweather" w:cs="Merriweather" w:ascii="Calibri" w:hAnsi="Calibri"/>
          <w:b w:val="false"/>
          <w:bCs/>
          <w:i w:val="false"/>
          <w:iCs w:val="false"/>
          <w:caps w:val="false"/>
          <w:smallCaps w:val="false"/>
          <w:color w:val="2A2A2A"/>
          <w:spacing w:val="0"/>
          <w:sz w:val="23"/>
          <w:szCs w:val="22"/>
          <w:lang w:val="en-US"/>
        </w:rPr>
        <w:t xml:space="preserve"> texts. </w:t>
      </w:r>
      <w:r>
        <w:rPr>
          <w:rFonts w:eastAsia="Merriweather" w:cs="Merriweather" w:ascii="Calibri" w:hAnsi="Calibri"/>
          <w:b w:val="false"/>
          <w:bCs/>
          <w:i w:val="false"/>
          <w:iCs w:val="false"/>
          <w:caps w:val="false"/>
          <w:smallCaps w:val="false"/>
          <w:color w:val="2A2A2A"/>
          <w:spacing w:val="0"/>
          <w:sz w:val="23"/>
          <w:szCs w:val="22"/>
          <w:lang w:val="en-US"/>
        </w:rPr>
        <w:t>This he believes goes</w:t>
      </w:r>
      <w:r>
        <w:rPr>
          <w:rFonts w:eastAsia="Merriweather" w:cs="Merriweather" w:ascii="Calibri" w:hAnsi="Calibri"/>
          <w:b w:val="false"/>
          <w:bCs/>
          <w:i w:val="false"/>
          <w:iCs w:val="false"/>
          <w:caps w:val="false"/>
          <w:smallCaps w:val="false"/>
          <w:color w:val="2A2A2A"/>
          <w:spacing w:val="0"/>
          <w:sz w:val="23"/>
          <w:szCs w:val="22"/>
          <w:lang w:val="en-US"/>
        </w:rPr>
        <w:t xml:space="preserve"> beyond the e</w:t>
      </w:r>
      <w:r>
        <w:rPr>
          <w:rFonts w:eastAsia="Merriweather" w:cs="Merriweather" w:ascii="Calibri" w:hAnsi="Calibri"/>
          <w:b w:val="false"/>
          <w:bCs/>
          <w:i w:val="false"/>
          <w:iCs w:val="false"/>
          <w:caps w:val="false"/>
          <w:smallCaps w:val="false"/>
          <w:color w:val="2A2A2A"/>
          <w:spacing w:val="0"/>
          <w:sz w:val="23"/>
          <w:szCs w:val="22"/>
          <w:lang w:val="en-US"/>
        </w:rPr>
        <w:t>ffort</w:t>
      </w:r>
      <w:r>
        <w:rPr>
          <w:rFonts w:eastAsia="Merriweather" w:cs="Merriweather" w:ascii="Calibri" w:hAnsi="Calibri"/>
          <w:b w:val="false"/>
          <w:bCs/>
          <w:i w:val="false"/>
          <w:iCs w:val="false"/>
          <w:caps w:val="false"/>
          <w:smallCaps w:val="false"/>
          <w:color w:val="2A2A2A"/>
          <w:spacing w:val="0"/>
          <w:sz w:val="23"/>
          <w:szCs w:val="22"/>
          <w:lang w:val="en-US"/>
        </w:rPr>
        <w:t xml:space="preserve"> of historical </w:t>
      </w:r>
      <w:r>
        <w:rPr>
          <w:rFonts w:eastAsia="Merriweather" w:cs="Merriweather" w:ascii="Calibri" w:hAnsi="Calibri"/>
          <w:b w:val="false"/>
          <w:bCs/>
          <w:i w:val="false"/>
          <w:iCs w:val="false"/>
          <w:caps w:val="false"/>
          <w:smallCaps w:val="false"/>
          <w:color w:val="2A2A2A"/>
          <w:spacing w:val="0"/>
          <w:sz w:val="23"/>
          <w:szCs w:val="22"/>
          <w:lang w:val="en-US"/>
        </w:rPr>
        <w:t>review</w:t>
      </w:r>
      <w:r>
        <w:rPr>
          <w:rFonts w:eastAsia="Merriweather" w:cs="Merriweather" w:ascii="Calibri" w:hAnsi="Calibri"/>
          <w:b w:val="false"/>
          <w:bCs/>
          <w:i w:val="false"/>
          <w:iCs w:val="false"/>
          <w:caps w:val="false"/>
          <w:smallCaps w:val="false"/>
          <w:color w:val="2A2A2A"/>
          <w:spacing w:val="0"/>
          <w:sz w:val="23"/>
          <w:szCs w:val="22"/>
          <w:lang w:val="en-US"/>
        </w:rPr>
        <w:t xml:space="preserve"> to explore the rich world of tradition and how this can inform us in understanding and interpreting any given text</w:t>
      </w:r>
      <w:r>
        <w:rPr>
          <w:rFonts w:eastAsia="Merriweather" w:cs="Merriweather" w:ascii="Calibri" w:hAnsi="Calibri"/>
          <w:b w:val="false"/>
          <w:bCs/>
          <w:i w:val="false"/>
          <w:iCs w:val="false"/>
          <w:caps w:val="false"/>
          <w:smallCaps w:val="false"/>
          <w:color w:val="2A2A2A"/>
          <w:spacing w:val="0"/>
          <w:sz w:val="22"/>
          <w:szCs w:val="22"/>
          <w:lang w:val="en-US"/>
        </w:rPr>
        <w:t>.</w:t>
      </w:r>
      <w:r>
        <w:rPr>
          <w:rStyle w:val="FootnoteAnchor"/>
          <w:rFonts w:eastAsia="Merriweather" w:cs="Merriweather" w:ascii="Calibri" w:hAnsi="Calibri"/>
          <w:b w:val="false"/>
          <w:bCs/>
          <w:i w:val="false"/>
          <w:iCs w:val="false"/>
          <w:caps w:val="false"/>
          <w:smallCaps w:val="false"/>
          <w:color w:val="2A2A2A"/>
          <w:spacing w:val="0"/>
          <w:sz w:val="22"/>
          <w:szCs w:val="22"/>
          <w:lang w:val="en-US"/>
        </w:rPr>
        <w:footnoteReference w:id="7"/>
      </w:r>
      <w:r>
        <w:rPr>
          <w:rFonts w:eastAsia="Merriweather" w:cs="Merriweather" w:ascii="Calibri" w:hAnsi="Calibri"/>
          <w:b w:val="false"/>
          <w:bCs/>
          <w:i w:val="false"/>
          <w:iCs w:val="false"/>
          <w:caps w:val="false"/>
          <w:smallCaps w:val="false"/>
          <w:color w:val="2A2A2A"/>
          <w:spacing w:val="0"/>
          <w:sz w:val="22"/>
          <w:szCs w:val="22"/>
          <w:lang w:val="en-US"/>
        </w:rPr>
        <w:t xml:space="preserve">  </w:t>
      </w:r>
      <w:r>
        <w:rPr>
          <w:rFonts w:eastAsia="Merriweather" w:cs="Merriweather" w:ascii="Calibri" w:hAnsi="Calibri"/>
          <w:b w:val="false"/>
          <w:bCs/>
          <w:i w:val="false"/>
          <w:iCs w:val="false"/>
          <w:caps w:val="false"/>
          <w:smallCaps w:val="false"/>
          <w:color w:val="2A2A2A"/>
          <w:spacing w:val="0"/>
          <w:sz w:val="22"/>
          <w:szCs w:val="22"/>
          <w:lang w:val="en-US"/>
        </w:rPr>
        <w:t xml:space="preserve">Through the concept of ‘horizon’, Gadamer appeals to historical </w:t>
      </w:r>
      <w:r>
        <w:rPr>
          <w:rFonts w:eastAsia="Merriweather" w:cs="Merriweather" w:ascii="Calibri" w:hAnsi="Calibri"/>
          <w:b w:val="false"/>
          <w:bCs/>
          <w:i w:val="false"/>
          <w:iCs w:val="false"/>
          <w:caps w:val="false"/>
          <w:smallCaps w:val="false"/>
          <w:color w:val="2A2A2A"/>
          <w:spacing w:val="0"/>
          <w:sz w:val="22"/>
          <w:szCs w:val="22"/>
          <w:lang w:val="en-US"/>
        </w:rPr>
        <w:t xml:space="preserve">consciousness. </w:t>
      </w:r>
      <w:r>
        <w:rPr>
          <w:rFonts w:eastAsia="Merriweather" w:cs="Merriweather" w:ascii="Calibri" w:hAnsi="Calibri"/>
          <w:b w:val="false"/>
          <w:bCs/>
          <w:i w:val="false"/>
          <w:iCs w:val="false"/>
          <w:caps w:val="false"/>
          <w:smallCaps w:val="false"/>
          <w:color w:val="2A2A2A"/>
          <w:spacing w:val="0"/>
          <w:sz w:val="22"/>
          <w:szCs w:val="22"/>
          <w:lang w:val="en-US"/>
        </w:rPr>
        <w:t xml:space="preserve">His impression of this is that understanding </w:t>
      </w:r>
      <w:r>
        <w:rPr>
          <w:rFonts w:eastAsia="Merriweather" w:cs="Merriweather" w:ascii="Calibri" w:hAnsi="Calibri"/>
          <w:b w:val="false"/>
          <w:bCs/>
          <w:i w:val="false"/>
          <w:iCs w:val="false"/>
          <w:caps w:val="false"/>
          <w:smallCaps w:val="false"/>
          <w:color w:val="2A2A2A"/>
          <w:spacing w:val="0"/>
          <w:sz w:val="23"/>
          <w:szCs w:val="22"/>
          <w:lang w:val="en-US"/>
        </w:rPr>
        <w:t>the horizon of a literary text is to seek for its meaning through the eyes of its reader</w:t>
      </w:r>
      <w:r>
        <w:rPr>
          <w:rFonts w:eastAsia="Merriweather" w:cs="Merriweather" w:ascii="Calibri" w:hAnsi="Calibri"/>
          <w:b w:val="false"/>
          <w:bCs/>
          <w:i w:val="false"/>
          <w:iCs w:val="false"/>
          <w:caps w:val="false"/>
          <w:smallCaps w:val="false"/>
          <w:color w:val="2A2A2A"/>
          <w:spacing w:val="0"/>
          <w:sz w:val="22"/>
          <w:szCs w:val="22"/>
          <w:lang w:val="en-US"/>
        </w:rPr>
        <w:t xml:space="preserve">.   </w:t>
      </w:r>
    </w:p>
    <w:p>
      <w:pPr>
        <w:pStyle w:val="Normal"/>
        <w:bidi w:val="0"/>
        <w:spacing w:lineRule="auto" w:line="259" w:beforeAutospacing="0" w:before="0" w:afterAutospacing="0" w:after="160"/>
        <w:ind w:left="0" w:right="0" w:hanging="0"/>
        <w:jc w:val="left"/>
        <w:rPr>
          <w:rFonts w:ascii="Calibri" w:hAnsi="Calibri"/>
        </w:rPr>
      </w:pPr>
      <w:r>
        <w:rPr>
          <w:rFonts w:eastAsia="Merriweather" w:cs="Merriweather" w:ascii="Calibri" w:hAnsi="Calibri"/>
          <w:b w:val="false"/>
          <w:bCs/>
          <w:i w:val="false"/>
          <w:iCs w:val="false"/>
          <w:caps w:val="false"/>
          <w:smallCaps w:val="false"/>
          <w:color w:val="2A2A2A"/>
          <w:spacing w:val="0"/>
          <w:sz w:val="22"/>
          <w:szCs w:val="22"/>
          <w:lang w:val="en-US"/>
        </w:rPr>
        <w:t xml:space="preserve">Gadamer’s theory, </w:t>
      </w:r>
      <w:r>
        <w:rPr>
          <w:rFonts w:eastAsia="Merriweather" w:cs="Merriweather" w:ascii="Calibri" w:hAnsi="Calibri"/>
          <w:b w:val="false"/>
          <w:bCs/>
          <w:i w:val="false"/>
          <w:iCs w:val="false"/>
          <w:caps w:val="false"/>
          <w:smallCaps w:val="false"/>
          <w:color w:val="2A2A2A"/>
          <w:spacing w:val="0"/>
          <w:sz w:val="22"/>
          <w:szCs w:val="22"/>
          <w:lang w:val="en-US"/>
        </w:rPr>
        <w:t>in my opinion</w:t>
      </w:r>
      <w:r>
        <w:rPr>
          <w:rFonts w:eastAsia="Merriweather" w:cs="Merriweather" w:ascii="Calibri" w:hAnsi="Calibri"/>
          <w:b w:val="false"/>
          <w:bCs/>
          <w:i w:val="false"/>
          <w:iCs w:val="false"/>
          <w:caps w:val="false"/>
          <w:smallCaps w:val="false"/>
          <w:color w:val="2A2A2A"/>
          <w:spacing w:val="0"/>
          <w:sz w:val="22"/>
          <w:szCs w:val="22"/>
          <w:lang w:val="en-US"/>
        </w:rPr>
        <w:t xml:space="preserve"> seem to elevate interpretation above </w:t>
      </w:r>
      <w:r>
        <w:rPr>
          <w:rFonts w:eastAsia="Merriweather" w:cs="Merriweather" w:ascii="Calibri" w:hAnsi="Calibri"/>
          <w:b w:val="false"/>
          <w:bCs/>
          <w:i w:val="false"/>
          <w:iCs w:val="false"/>
          <w:caps w:val="false"/>
          <w:smallCaps w:val="false"/>
          <w:color w:val="2A2A2A"/>
          <w:spacing w:val="0"/>
          <w:sz w:val="22"/>
          <w:szCs w:val="22"/>
          <w:lang w:val="en-US"/>
        </w:rPr>
        <w:t xml:space="preserve">a literary </w:t>
      </w:r>
      <w:r>
        <w:rPr>
          <w:rFonts w:eastAsia="Merriweather" w:cs="Merriweather" w:ascii="Calibri" w:hAnsi="Calibri"/>
          <w:b w:val="false"/>
          <w:bCs/>
          <w:i w:val="false"/>
          <w:iCs w:val="false"/>
          <w:caps w:val="false"/>
          <w:smallCaps w:val="false"/>
          <w:color w:val="2A2A2A"/>
          <w:spacing w:val="0"/>
          <w:sz w:val="22"/>
          <w:szCs w:val="22"/>
          <w:lang w:val="en-US"/>
        </w:rPr>
        <w:t xml:space="preserve">text </w:t>
      </w:r>
      <w:r>
        <w:rPr>
          <w:rFonts w:eastAsia="Merriweather" w:cs="Merriweather" w:ascii="Calibri" w:hAnsi="Calibri"/>
          <w:b w:val="false"/>
          <w:bCs/>
          <w:i w:val="false"/>
          <w:iCs w:val="false"/>
          <w:caps w:val="false"/>
          <w:smallCaps w:val="false"/>
          <w:color w:val="2A2A2A"/>
          <w:spacing w:val="0"/>
          <w:sz w:val="22"/>
          <w:szCs w:val="22"/>
          <w:lang w:val="en-US"/>
        </w:rPr>
        <w:t xml:space="preserve">which could impact on </w:t>
      </w:r>
      <w:r>
        <w:rPr>
          <w:rFonts w:eastAsia="Merriweather" w:cs="Merriweather" w:ascii="Calibri" w:hAnsi="Calibri"/>
          <w:b w:val="false"/>
          <w:bCs/>
          <w:i w:val="false"/>
          <w:iCs w:val="false"/>
          <w:caps w:val="false"/>
          <w:smallCaps w:val="false"/>
          <w:color w:val="2A2A2A"/>
          <w:spacing w:val="0"/>
          <w:sz w:val="22"/>
          <w:szCs w:val="22"/>
          <w:lang w:val="en-US"/>
        </w:rPr>
        <w:t>the</w:t>
      </w:r>
      <w:r>
        <w:rPr>
          <w:rFonts w:eastAsia="Merriweather" w:cs="Merriweather" w:ascii="Calibri" w:hAnsi="Calibri"/>
          <w:b w:val="false"/>
          <w:bCs/>
          <w:i w:val="false"/>
          <w:iCs w:val="false"/>
          <w:caps w:val="false"/>
          <w:smallCaps w:val="false"/>
          <w:color w:val="2A2A2A"/>
          <w:spacing w:val="0"/>
          <w:sz w:val="22"/>
          <w:szCs w:val="22"/>
          <w:lang w:val="en-US"/>
        </w:rPr>
        <w:t xml:space="preserve"> application </w:t>
      </w:r>
      <w:r>
        <w:rPr>
          <w:rFonts w:eastAsia="Merriweather" w:cs="Merriweather" w:ascii="Calibri" w:hAnsi="Calibri"/>
          <w:b w:val="false"/>
          <w:bCs/>
          <w:i w:val="false"/>
          <w:iCs w:val="false"/>
          <w:caps w:val="false"/>
          <w:smallCaps w:val="false"/>
          <w:color w:val="2A2A2A"/>
          <w:spacing w:val="0"/>
          <w:sz w:val="22"/>
          <w:szCs w:val="22"/>
          <w:lang w:val="en-US"/>
        </w:rPr>
        <w:t>of the text in question.</w:t>
      </w:r>
      <w:r>
        <w:rPr>
          <w:rFonts w:eastAsia="Tahoma" w:cs="Tahoma" w:ascii="Calibri" w:hAnsi="Calibri"/>
          <w:b w:val="false"/>
          <w:bCs w:val="false"/>
          <w:i w:val="false"/>
          <w:iCs w:val="false"/>
          <w:caps w:val="false"/>
          <w:smallCaps w:val="false"/>
          <w:color w:val="333333"/>
          <w:spacing w:val="0"/>
          <w:sz w:val="22"/>
          <w:szCs w:val="22"/>
          <w:lang w:val="en-US"/>
        </w:rPr>
        <w:t xml:space="preserve"> </w:t>
      </w:r>
    </w:p>
    <w:p>
      <w:pPr>
        <w:pStyle w:val="Normal"/>
        <w:bidi w:val="0"/>
        <w:spacing w:lineRule="auto" w:line="259" w:beforeAutospacing="0" w:before="0" w:afterAutospacing="0" w:after="160"/>
        <w:ind w:left="0" w:right="0" w:hanging="0"/>
        <w:jc w:val="left"/>
        <w:rPr>
          <w:rFonts w:ascii="Calibri" w:hAnsi="Calibri"/>
        </w:rPr>
      </w:pPr>
      <w:r>
        <w:rPr>
          <w:rFonts w:eastAsia="Merriweather" w:cs="Merriweather" w:ascii="Calibri" w:hAnsi="Calibri"/>
          <w:b/>
          <w:bCs/>
          <w:i w:val="false"/>
          <w:iCs w:val="false"/>
          <w:caps w:val="false"/>
          <w:smallCaps w:val="false"/>
          <w:color w:val="2A2A2A"/>
          <w:spacing w:val="0"/>
          <w:sz w:val="22"/>
          <w:szCs w:val="22"/>
          <w:lang w:val="en-US"/>
        </w:rPr>
        <w:t>Reception History/</w:t>
      </w:r>
      <w:r>
        <w:rPr>
          <w:rFonts w:eastAsia="Merriweather" w:cs="Merriweather" w:ascii="Calibri" w:hAnsi="Calibri"/>
          <w:b/>
          <w:bCs/>
          <w:i w:val="false"/>
          <w:iCs w:val="false"/>
          <w:caps w:val="false"/>
          <w:smallCaps w:val="false"/>
          <w:color w:val="2A2A2A"/>
          <w:spacing w:val="0"/>
          <w:sz w:val="22"/>
          <w:szCs w:val="22"/>
          <w:lang w:val="en-US"/>
        </w:rPr>
        <w:t>Biblical Interpretation</w:t>
      </w:r>
    </w:p>
    <w:p>
      <w:pPr>
        <w:pStyle w:val="Normal"/>
        <w:bidi w:val="0"/>
        <w:spacing w:lineRule="auto" w:line="259" w:beforeAutospacing="0" w:before="0" w:afterAutospacing="0" w:after="160"/>
        <w:ind w:left="0" w:right="0" w:hanging="0"/>
        <w:jc w:val="left"/>
        <w:rPr/>
      </w:pPr>
      <w:r>
        <w:rPr>
          <w:rFonts w:eastAsia="Calibri" w:cs="Calibri" w:ascii="Calibri" w:hAnsi="Calibri"/>
          <w:b w:val="false"/>
          <w:bCs w:val="false"/>
          <w:i w:val="false"/>
          <w:iCs w:val="false"/>
          <w:caps w:val="false"/>
          <w:smallCaps w:val="false"/>
          <w:color w:val="2A2A2A"/>
          <w:spacing w:val="0"/>
          <w:sz w:val="22"/>
          <w:szCs w:val="22"/>
          <w:lang w:val="en-US"/>
        </w:rPr>
        <w:t>Based on ‘</w:t>
      </w:r>
      <w:r>
        <w:rPr>
          <w:rFonts w:eastAsia="Calibri" w:cs="Calibri" w:ascii="Calibri" w:hAnsi="Calibri"/>
          <w:b w:val="false"/>
          <w:bCs w:val="false"/>
          <w:i w:val="false"/>
          <w:iCs w:val="false"/>
          <w:caps w:val="false"/>
          <w:smallCaps w:val="false"/>
          <w:color w:val="2A2A2A"/>
          <w:spacing w:val="0"/>
          <w:sz w:val="22"/>
          <w:szCs w:val="22"/>
          <w:lang w:val="en-US"/>
        </w:rPr>
        <w:t xml:space="preserve">Gadamer’s philosophical hermeneutics, Hans Robert Jauss </w:t>
      </w:r>
      <w:r>
        <w:rPr>
          <w:rFonts w:eastAsia="Calibri" w:cs="Calibri" w:ascii="Calibri" w:hAnsi="Calibri"/>
          <w:b w:val="false"/>
          <w:bCs w:val="false"/>
          <w:i w:val="false"/>
          <w:iCs w:val="false"/>
          <w:caps w:val="false"/>
          <w:smallCaps w:val="false"/>
          <w:color w:val="2A2A2A"/>
          <w:spacing w:val="0"/>
          <w:sz w:val="22"/>
          <w:szCs w:val="22"/>
          <w:lang w:val="en-US"/>
        </w:rPr>
        <w:t xml:space="preserve">developed </w:t>
      </w:r>
      <w:r>
        <w:rPr>
          <w:rFonts w:eastAsia="Calibri" w:cs="Calibri" w:ascii="Calibri" w:hAnsi="Calibri"/>
          <w:b w:val="false"/>
          <w:bCs w:val="false"/>
          <w:i w:val="false"/>
          <w:iCs w:val="false"/>
          <w:caps w:val="false"/>
          <w:smallCaps w:val="false"/>
          <w:color w:val="2A2A2A"/>
          <w:spacing w:val="0"/>
          <w:sz w:val="23"/>
          <w:szCs w:val="22"/>
          <w:lang w:val="en-US"/>
        </w:rPr>
        <w:t xml:space="preserve">the </w:t>
      </w:r>
      <w:r>
        <w:rPr>
          <w:rStyle w:val="Emphasis"/>
          <w:rFonts w:eastAsia="Calibri" w:cs="Calibri" w:ascii="Calibri" w:hAnsi="Calibri"/>
          <w:b w:val="false"/>
          <w:bCs w:val="false"/>
          <w:i/>
          <w:caps w:val="false"/>
          <w:smallCaps w:val="false"/>
          <w:color w:val="2A2A2A"/>
          <w:spacing w:val="0"/>
          <w:sz w:val="23"/>
          <w:szCs w:val="22"/>
          <w:lang w:val="en-US"/>
        </w:rPr>
        <w:t>Rezeptiongeschichte</w:t>
      </w:r>
      <w:r>
        <w:rPr>
          <w:rFonts w:eastAsia="Calibri" w:cs="Calibri" w:ascii="Calibri" w:hAnsi="Calibri"/>
          <w:b w:val="false"/>
          <w:bCs w:val="false"/>
          <w:i w:val="false"/>
          <w:iCs w:val="false"/>
          <w:caps w:val="false"/>
          <w:smallCaps w:val="false"/>
          <w:color w:val="2A2A2A"/>
          <w:spacing w:val="0"/>
          <w:sz w:val="23"/>
          <w:szCs w:val="22"/>
          <w:lang w:val="en-US"/>
        </w:rPr>
        <w:t>, or reception history, as a method for assessing the value of literary works through intrinsic and extrinsic values’</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Style w:val="FootnoteAnchor"/>
          <w:rFonts w:eastAsia="Calibri" w:cs="Calibri" w:ascii="Calibri" w:hAnsi="Calibri"/>
          <w:b w:val="false"/>
          <w:bCs w:val="false"/>
          <w:i w:val="false"/>
          <w:iCs w:val="false"/>
          <w:caps w:val="false"/>
          <w:smallCaps w:val="false"/>
          <w:color w:val="2A2A2A"/>
          <w:spacing w:val="0"/>
          <w:sz w:val="22"/>
          <w:szCs w:val="22"/>
          <w:lang w:val="en-US"/>
        </w:rPr>
        <w:footnoteReference w:id="8"/>
      </w:r>
      <w:r>
        <w:rPr>
          <w:rFonts w:eastAsia="Calibri" w:cs="Calibri" w:ascii="Calibri" w:hAnsi="Calibri"/>
          <w:b w:val="false"/>
          <w:bCs w:val="false"/>
          <w:i w:val="false"/>
          <w:iCs w:val="false"/>
          <w:caps w:val="false"/>
          <w:smallCaps w:val="false"/>
          <w:color w:val="2A2A2A"/>
          <w:spacing w:val="0"/>
          <w:sz w:val="22"/>
          <w:szCs w:val="22"/>
          <w:lang w:val="en-US"/>
        </w:rPr>
        <w:t>.</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Merriweather" w:cs="Merriweather" w:ascii="Calibri" w:hAnsi="Calibri"/>
          <w:b w:val="false"/>
          <w:bCs/>
          <w:i w:val="false"/>
          <w:iCs w:val="false"/>
          <w:caps w:val="false"/>
          <w:smallCaps w:val="false"/>
          <w:color w:val="2A2A2A"/>
          <w:spacing w:val="0"/>
          <w:sz w:val="22"/>
          <w:szCs w:val="22"/>
          <w:lang w:val="en-US"/>
        </w:rPr>
        <w:t>Parris in his Reception Theory and Biblical Studies made a case for engagement with the</w:t>
      </w:r>
      <w:r>
        <w:rPr>
          <w:rFonts w:eastAsia="Merriweather" w:cs="Merriweather" w:ascii="Calibri" w:hAnsi="Calibri"/>
          <w:b w:val="false"/>
          <w:bCs/>
          <w:i w:val="false"/>
          <w:iCs w:val="false"/>
          <w:caps w:val="false"/>
          <w:smallCaps w:val="false"/>
          <w:color w:val="2A2A2A"/>
          <w:spacing w:val="0"/>
          <w:sz w:val="22"/>
          <w:szCs w:val="22"/>
          <w:lang w:val="en-US"/>
        </w:rPr>
        <w:t xml:space="preserve"> </w:t>
      </w:r>
      <w:r>
        <w:rPr>
          <w:rStyle w:val="Emphasis"/>
          <w:rFonts w:eastAsia="Merriweather" w:cs="Merriweather" w:ascii="Calibri" w:hAnsi="Calibri"/>
          <w:b w:val="false"/>
          <w:bCs/>
          <w:i/>
          <w:caps w:val="false"/>
          <w:smallCaps w:val="false"/>
          <w:color w:val="2A2A2A"/>
          <w:spacing w:val="0"/>
          <w:sz w:val="22"/>
          <w:szCs w:val="22"/>
          <w:lang w:val="en-US"/>
        </w:rPr>
        <w:t xml:space="preserve">Wirkungsgeschichte </w:t>
      </w:r>
      <w:r>
        <w:rPr>
          <w:rFonts w:eastAsia="Merriweather" w:cs="Merriweather" w:ascii="Calibri" w:hAnsi="Calibri"/>
          <w:b w:val="false"/>
          <w:bCs/>
          <w:i w:val="false"/>
          <w:iCs w:val="false"/>
          <w:caps w:val="false"/>
          <w:smallCaps w:val="false"/>
          <w:color w:val="2A2A2A"/>
          <w:spacing w:val="0"/>
          <w:sz w:val="22"/>
          <w:szCs w:val="22"/>
          <w:lang w:val="en-US"/>
        </w:rPr>
        <w:t xml:space="preserve">of a canonical text for hermeneutical purposes. He argues that “first, at the contemporary or synchronic level it allows readers check </w:t>
      </w:r>
      <w:r>
        <w:rPr>
          <w:rFonts w:eastAsia="Merriweather" w:cs="Merriweather" w:ascii="Calibri" w:hAnsi="Calibri"/>
          <w:b w:val="false"/>
          <w:bCs/>
          <w:i w:val="false"/>
          <w:iCs w:val="false"/>
          <w:caps w:val="false"/>
          <w:smallCaps w:val="false"/>
          <w:color w:val="2A2A2A"/>
          <w:spacing w:val="0"/>
          <w:sz w:val="22"/>
          <w:szCs w:val="22"/>
          <w:lang w:val="en-US"/>
        </w:rPr>
        <w:t>their</w:t>
      </w:r>
      <w:r>
        <w:rPr>
          <w:rFonts w:eastAsia="Merriweather" w:cs="Merriweather" w:ascii="Calibri" w:hAnsi="Calibri"/>
          <w:b w:val="false"/>
          <w:bCs/>
          <w:i w:val="false"/>
          <w:iCs w:val="false"/>
          <w:caps w:val="false"/>
          <w:smallCaps w:val="false"/>
          <w:color w:val="2A2A2A"/>
          <w:spacing w:val="0"/>
          <w:sz w:val="22"/>
          <w:szCs w:val="22"/>
          <w:lang w:val="en-US"/>
        </w:rPr>
        <w:t xml:space="preserve"> understanding of the text against the wider perspective of </w:t>
      </w:r>
      <w:r>
        <w:rPr>
          <w:rFonts w:eastAsia="Merriweather" w:cs="Merriweather" w:ascii="Calibri" w:hAnsi="Calibri"/>
          <w:b w:val="false"/>
          <w:bCs/>
          <w:i w:val="false"/>
          <w:iCs w:val="false"/>
          <w:caps w:val="false"/>
          <w:smallCaps w:val="false"/>
          <w:color w:val="2A2A2A"/>
          <w:spacing w:val="0"/>
          <w:sz w:val="22"/>
          <w:szCs w:val="22"/>
          <w:lang w:val="en-US"/>
        </w:rPr>
        <w:t xml:space="preserve">their </w:t>
      </w:r>
      <w:r>
        <w:rPr>
          <w:rFonts w:eastAsia="Merriweather" w:cs="Merriweather" w:ascii="Calibri" w:hAnsi="Calibri"/>
          <w:b w:val="false"/>
          <w:bCs/>
          <w:i w:val="false"/>
          <w:iCs w:val="false"/>
          <w:caps w:val="false"/>
          <w:smallCaps w:val="false"/>
          <w:color w:val="2A2A2A"/>
          <w:spacing w:val="0"/>
          <w:sz w:val="22"/>
          <w:szCs w:val="22"/>
          <w:lang w:val="en-US"/>
        </w:rPr>
        <w:t xml:space="preserve">contemporary community. Second, at the historical or diachronic level it allows </w:t>
      </w:r>
      <w:r>
        <w:rPr>
          <w:rFonts w:eastAsia="Merriweather" w:cs="Merriweather" w:ascii="Calibri" w:hAnsi="Calibri"/>
          <w:b w:val="false"/>
          <w:bCs/>
          <w:i w:val="false"/>
          <w:iCs w:val="false"/>
          <w:caps w:val="false"/>
          <w:smallCaps w:val="false"/>
          <w:color w:val="2A2A2A"/>
          <w:spacing w:val="0"/>
          <w:sz w:val="22"/>
          <w:szCs w:val="22"/>
          <w:lang w:val="en-US"/>
        </w:rPr>
        <w:t>for</w:t>
      </w:r>
      <w:r>
        <w:rPr>
          <w:rFonts w:eastAsia="Merriweather" w:cs="Merriweather" w:ascii="Calibri" w:hAnsi="Calibri"/>
          <w:b w:val="false"/>
          <w:bCs/>
          <w:i w:val="false"/>
          <w:iCs w:val="false"/>
          <w:caps w:val="false"/>
          <w:smallCaps w:val="false"/>
          <w:color w:val="2A2A2A"/>
          <w:spacing w:val="0"/>
          <w:sz w:val="22"/>
          <w:szCs w:val="22"/>
          <w:lang w:val="en-US"/>
        </w:rPr>
        <w:t xml:space="preserve"> verif</w:t>
      </w:r>
      <w:r>
        <w:rPr>
          <w:rFonts w:eastAsia="Merriweather" w:cs="Merriweather" w:ascii="Calibri" w:hAnsi="Calibri"/>
          <w:b w:val="false"/>
          <w:bCs/>
          <w:i w:val="false"/>
          <w:iCs w:val="false"/>
          <w:caps w:val="false"/>
          <w:smallCaps w:val="false"/>
          <w:color w:val="2A2A2A"/>
          <w:spacing w:val="0"/>
          <w:sz w:val="22"/>
          <w:szCs w:val="22"/>
          <w:lang w:val="en-US"/>
        </w:rPr>
        <w:t>ication</w:t>
      </w:r>
      <w:r>
        <w:rPr>
          <w:rFonts w:eastAsia="Merriweather" w:cs="Merriweather" w:ascii="Calibri" w:hAnsi="Calibri"/>
          <w:b w:val="false"/>
          <w:bCs/>
          <w:i w:val="false"/>
          <w:iCs w:val="false"/>
          <w:caps w:val="false"/>
          <w:smallCaps w:val="false"/>
          <w:color w:val="2A2A2A"/>
          <w:spacing w:val="0"/>
          <w:sz w:val="22"/>
          <w:szCs w:val="22"/>
          <w:lang w:val="en-US"/>
        </w:rPr>
        <w:t xml:space="preserve"> o</w:t>
      </w:r>
      <w:r>
        <w:rPr>
          <w:rFonts w:eastAsia="Merriweather" w:cs="Merriweather" w:ascii="Calibri" w:hAnsi="Calibri"/>
          <w:b w:val="false"/>
          <w:bCs/>
          <w:i w:val="false"/>
          <w:iCs w:val="false"/>
          <w:caps w:val="false"/>
          <w:smallCaps w:val="false"/>
          <w:color w:val="2A2A2A"/>
          <w:spacing w:val="0"/>
          <w:sz w:val="22"/>
          <w:szCs w:val="22"/>
          <w:lang w:val="en-US"/>
        </w:rPr>
        <w:t>f</w:t>
      </w:r>
      <w:r>
        <w:rPr>
          <w:rFonts w:eastAsia="Merriweather" w:cs="Merriweather" w:ascii="Calibri" w:hAnsi="Calibri"/>
          <w:b w:val="false"/>
          <w:bCs/>
          <w:i w:val="false"/>
          <w:iCs w:val="false"/>
          <w:caps w:val="false"/>
          <w:smallCaps w:val="false"/>
          <w:color w:val="2A2A2A"/>
          <w:spacing w:val="0"/>
          <w:sz w:val="22"/>
          <w:szCs w:val="22"/>
          <w:lang w:val="en-US"/>
        </w:rPr>
        <w:t xml:space="preserve"> </w:t>
      </w:r>
      <w:r>
        <w:rPr>
          <w:rFonts w:eastAsia="Merriweather" w:cs="Merriweather" w:ascii="Calibri" w:hAnsi="Calibri"/>
          <w:b w:val="false"/>
          <w:bCs/>
          <w:i w:val="false"/>
          <w:iCs w:val="false"/>
          <w:caps w:val="false"/>
          <w:smallCaps w:val="false"/>
          <w:color w:val="2A2A2A"/>
          <w:spacing w:val="0"/>
          <w:sz w:val="22"/>
          <w:szCs w:val="22"/>
          <w:lang w:val="en-US"/>
        </w:rPr>
        <w:t xml:space="preserve">ones </w:t>
      </w:r>
      <w:r>
        <w:rPr>
          <w:rFonts w:eastAsia="Merriweather" w:cs="Merriweather" w:ascii="Calibri" w:hAnsi="Calibri"/>
          <w:b w:val="false"/>
          <w:bCs/>
          <w:i w:val="false"/>
          <w:iCs w:val="false"/>
          <w:caps w:val="false"/>
          <w:smallCaps w:val="false"/>
          <w:color w:val="2A2A2A"/>
          <w:spacing w:val="0"/>
          <w:sz w:val="22"/>
          <w:szCs w:val="22"/>
          <w:lang w:val="en-US"/>
        </w:rPr>
        <w:t xml:space="preserve">understanding against those of </w:t>
      </w:r>
      <w:r>
        <w:rPr>
          <w:rFonts w:eastAsia="Merriweather" w:cs="Merriweather" w:ascii="Calibri" w:hAnsi="Calibri"/>
          <w:b w:val="false"/>
          <w:bCs/>
          <w:i w:val="false"/>
          <w:iCs w:val="false"/>
          <w:caps w:val="false"/>
          <w:smallCaps w:val="false"/>
          <w:color w:val="2A2A2A"/>
          <w:spacing w:val="0"/>
          <w:sz w:val="22"/>
          <w:szCs w:val="22"/>
          <w:lang w:val="en-US"/>
        </w:rPr>
        <w:t>their</w:t>
      </w:r>
      <w:r>
        <w:rPr>
          <w:rFonts w:eastAsia="Merriweather" w:cs="Merriweather" w:ascii="Calibri" w:hAnsi="Calibri"/>
          <w:b w:val="false"/>
          <w:bCs/>
          <w:i w:val="false"/>
          <w:iCs w:val="false"/>
          <w:caps w:val="false"/>
          <w:smallCaps w:val="false"/>
          <w:color w:val="2A2A2A"/>
          <w:spacing w:val="0"/>
          <w:sz w:val="22"/>
          <w:szCs w:val="22"/>
          <w:lang w:val="en-US"/>
        </w:rPr>
        <w:t xml:space="preserve"> tradition. </w:t>
      </w:r>
      <w:r>
        <w:rPr>
          <w:rStyle w:val="FootnoteAnchor"/>
          <w:rFonts w:eastAsia="Merriweather" w:cs="Merriweather" w:ascii="Calibri" w:hAnsi="Calibri"/>
          <w:b w:val="false"/>
          <w:bCs/>
          <w:i w:val="false"/>
          <w:iCs w:val="false"/>
          <w:caps w:val="false"/>
          <w:smallCaps w:val="false"/>
          <w:color w:val="2A2A2A"/>
          <w:spacing w:val="0"/>
          <w:sz w:val="22"/>
          <w:szCs w:val="22"/>
          <w:lang w:val="en-US"/>
        </w:rPr>
        <w:footnoteReference w:id="9"/>
      </w:r>
      <w:r>
        <w:rPr>
          <w:rFonts w:eastAsia="Merriweather" w:cs="Merriweather" w:ascii="Calibri" w:hAnsi="Calibri"/>
          <w:b w:val="false"/>
          <w:bCs/>
          <w:i w:val="false"/>
          <w:iCs w:val="false"/>
          <w:caps w:val="false"/>
          <w:smallCaps w:val="false"/>
          <w:color w:val="2A2A2A"/>
          <w:spacing w:val="0"/>
          <w:sz w:val="22"/>
          <w:szCs w:val="22"/>
          <w:lang w:val="en-US"/>
        </w:rPr>
        <w:t xml:space="preserve"> </w:t>
      </w:r>
      <w:r>
        <w:rPr>
          <w:rFonts w:eastAsia="Merriweather" w:cs="Merriweather" w:ascii="Calibri" w:hAnsi="Calibri"/>
          <w:b w:val="false"/>
          <w:bCs/>
          <w:i w:val="false"/>
          <w:iCs w:val="false"/>
          <w:caps w:val="false"/>
          <w:smallCaps w:val="false"/>
          <w:color w:val="2A2A2A"/>
          <w:spacing w:val="0"/>
          <w:sz w:val="22"/>
          <w:szCs w:val="22"/>
          <w:lang w:val="en-US"/>
        </w:rPr>
        <w:t xml:space="preserve">He </w:t>
      </w:r>
      <w:r>
        <w:rPr>
          <w:rFonts w:eastAsia="Merriweather" w:cs="Merriweather" w:ascii="Calibri" w:hAnsi="Calibri"/>
          <w:b w:val="false"/>
          <w:bCs/>
          <w:i w:val="false"/>
          <w:iCs w:val="false"/>
          <w:caps w:val="false"/>
          <w:smallCaps w:val="false"/>
          <w:color w:val="2A2A2A"/>
          <w:spacing w:val="0"/>
          <w:sz w:val="22"/>
          <w:szCs w:val="22"/>
          <w:lang w:val="en-US"/>
        </w:rPr>
        <w:t xml:space="preserve">gives </w:t>
      </w:r>
      <w:r>
        <w:rPr>
          <w:rFonts w:eastAsia="Merriweather" w:cs="Merriweather" w:ascii="Calibri" w:hAnsi="Calibri"/>
          <w:b w:val="false"/>
          <w:bCs/>
          <w:i w:val="false"/>
          <w:iCs w:val="false"/>
          <w:caps w:val="false"/>
          <w:smallCaps w:val="false"/>
          <w:color w:val="2A2A2A"/>
          <w:spacing w:val="0"/>
          <w:sz w:val="22"/>
          <w:szCs w:val="22"/>
          <w:lang w:val="en-US"/>
        </w:rPr>
        <w:t xml:space="preserve">an example of modern readers </w:t>
      </w:r>
      <w:r>
        <w:rPr>
          <w:rFonts w:eastAsia="Merriweather" w:cs="Merriweather" w:ascii="Calibri" w:hAnsi="Calibri"/>
          <w:b w:val="false"/>
          <w:bCs/>
          <w:i w:val="false"/>
          <w:iCs w:val="false"/>
          <w:caps w:val="false"/>
          <w:smallCaps w:val="false"/>
          <w:color w:val="2A2A2A"/>
          <w:spacing w:val="0"/>
          <w:sz w:val="22"/>
          <w:szCs w:val="22"/>
          <w:lang w:val="en-US"/>
        </w:rPr>
        <w:t>who have diachronic relationship</w:t>
      </w:r>
      <w:r>
        <w:rPr>
          <w:rFonts w:eastAsia="Merriweather" w:cs="Merriweather" w:ascii="Calibri" w:hAnsi="Calibri"/>
          <w:b w:val="false"/>
          <w:bCs/>
          <w:i w:val="false"/>
          <w:iCs w:val="false"/>
          <w:caps w:val="false"/>
          <w:smallCaps w:val="false"/>
          <w:color w:val="2A2A2A"/>
          <w:spacing w:val="0"/>
          <w:sz w:val="22"/>
          <w:szCs w:val="22"/>
          <w:lang w:val="en-US"/>
        </w:rPr>
        <w:t>s</w:t>
      </w:r>
      <w:r>
        <w:rPr>
          <w:rFonts w:eastAsia="Merriweather" w:cs="Merriweather" w:ascii="Calibri" w:hAnsi="Calibri"/>
          <w:b w:val="false"/>
          <w:bCs/>
          <w:i w:val="false"/>
          <w:iCs w:val="false"/>
          <w:caps w:val="false"/>
          <w:smallCaps w:val="false"/>
          <w:color w:val="2A2A2A"/>
          <w:spacing w:val="0"/>
          <w:sz w:val="22"/>
          <w:szCs w:val="22"/>
          <w:lang w:val="en-US"/>
        </w:rPr>
        <w:t xml:space="preserve"> that prevent them from experiencing </w:t>
      </w:r>
      <w:r>
        <w:rPr>
          <w:rFonts w:eastAsia="Merriweather" w:cs="Merriweather" w:ascii="Calibri" w:hAnsi="Calibri"/>
          <w:b w:val="false"/>
          <w:bCs/>
          <w:i w:val="false"/>
          <w:iCs w:val="false"/>
          <w:caps w:val="false"/>
          <w:smallCaps w:val="false"/>
          <w:color w:val="2A2A2A"/>
          <w:spacing w:val="0"/>
          <w:sz w:val="22"/>
          <w:szCs w:val="22"/>
          <w:lang w:val="en-US"/>
        </w:rPr>
        <w:t>biblical</w:t>
      </w:r>
      <w:r>
        <w:rPr>
          <w:rFonts w:eastAsia="Merriweather" w:cs="Merriweather" w:ascii="Calibri" w:hAnsi="Calibri"/>
          <w:b w:val="false"/>
          <w:bCs/>
          <w:i w:val="false"/>
          <w:iCs w:val="false"/>
          <w:caps w:val="false"/>
          <w:smallCaps w:val="false"/>
          <w:color w:val="2A2A2A"/>
          <w:spacing w:val="0"/>
          <w:sz w:val="22"/>
          <w:szCs w:val="22"/>
          <w:lang w:val="en-US"/>
        </w:rPr>
        <w:t xml:space="preserve"> parables </w:t>
      </w:r>
      <w:r>
        <w:rPr>
          <w:rFonts w:eastAsia="Merriweather" w:cs="Merriweather" w:ascii="Calibri" w:hAnsi="Calibri"/>
          <w:b w:val="false"/>
          <w:bCs/>
          <w:i w:val="false"/>
          <w:iCs w:val="false"/>
          <w:caps w:val="false"/>
          <w:smallCaps w:val="false"/>
          <w:color w:val="2A2A2A"/>
          <w:spacing w:val="0"/>
          <w:sz w:val="22"/>
          <w:szCs w:val="22"/>
          <w:lang w:val="en-US"/>
        </w:rPr>
        <w:t xml:space="preserve">the </w:t>
      </w:r>
      <w:r>
        <w:rPr>
          <w:rFonts w:eastAsia="Merriweather" w:cs="Merriweather" w:ascii="Calibri" w:hAnsi="Calibri"/>
          <w:b w:val="false"/>
          <w:bCs/>
          <w:i w:val="false"/>
          <w:iCs w:val="false"/>
          <w:caps w:val="false"/>
          <w:smallCaps w:val="false"/>
          <w:color w:val="2A2A2A"/>
          <w:spacing w:val="0"/>
          <w:sz w:val="22"/>
          <w:szCs w:val="22"/>
          <w:lang w:val="en-US"/>
        </w:rPr>
        <w:t xml:space="preserve">same way as the original readers due to historical criticisms but </w:t>
      </w:r>
      <w:r>
        <w:rPr>
          <w:rFonts w:eastAsia="Merriweather" w:cs="Merriweather" w:ascii="Calibri" w:hAnsi="Calibri"/>
          <w:b w:val="false"/>
          <w:bCs/>
          <w:i w:val="false"/>
          <w:iCs w:val="false"/>
          <w:caps w:val="false"/>
          <w:smallCaps w:val="false"/>
          <w:color w:val="2A2A2A"/>
          <w:spacing w:val="0"/>
          <w:sz w:val="22"/>
          <w:szCs w:val="22"/>
          <w:lang w:val="en-US"/>
        </w:rPr>
        <w:t>when they</w:t>
      </w:r>
      <w:r>
        <w:rPr>
          <w:rFonts w:eastAsia="Merriweather" w:cs="Merriweather" w:ascii="Calibri" w:hAnsi="Calibri"/>
          <w:b w:val="false"/>
          <w:bCs/>
          <w:i w:val="false"/>
          <w:iCs w:val="false"/>
          <w:caps w:val="false"/>
          <w:smallCaps w:val="false"/>
          <w:color w:val="2A2A2A"/>
          <w:spacing w:val="0"/>
          <w:sz w:val="22"/>
          <w:szCs w:val="22"/>
          <w:lang w:val="en-US"/>
        </w:rPr>
        <w:t xml:space="preserve"> suspend their tradition </w:t>
      </w:r>
      <w:r>
        <w:rPr>
          <w:rFonts w:eastAsia="Merriweather" w:cs="Merriweather" w:ascii="Calibri" w:hAnsi="Calibri"/>
          <w:b w:val="false"/>
          <w:bCs/>
          <w:i w:val="false"/>
          <w:iCs w:val="false"/>
          <w:caps w:val="false"/>
          <w:smallCaps w:val="false"/>
          <w:color w:val="2A2A2A"/>
          <w:spacing w:val="0"/>
          <w:sz w:val="22"/>
          <w:szCs w:val="22"/>
          <w:lang w:val="en-US"/>
        </w:rPr>
        <w:t xml:space="preserve">the </w:t>
      </w:r>
      <w:r>
        <w:rPr>
          <w:rFonts w:eastAsia="Merriweather" w:cs="Merriweather" w:ascii="Calibri" w:hAnsi="Calibri"/>
          <w:b w:val="false"/>
          <w:bCs/>
          <w:i w:val="false"/>
          <w:iCs w:val="false"/>
          <w:caps w:val="false"/>
          <w:smallCaps w:val="false"/>
          <w:color w:val="2A2A2A"/>
          <w:spacing w:val="0"/>
          <w:sz w:val="22"/>
          <w:szCs w:val="22"/>
          <w:lang w:val="en-US"/>
        </w:rPr>
        <w:t>same experience could be achieved.</w:t>
      </w:r>
    </w:p>
    <w:p>
      <w:pPr>
        <w:pStyle w:val="Normal"/>
        <w:bidi w:val="0"/>
        <w:spacing w:lineRule="auto" w:line="259" w:beforeAutospacing="0" w:before="0" w:afterAutospacing="0" w:after="160"/>
        <w:ind w:left="0" w:right="0" w:hanging="0"/>
        <w:jc w:val="left"/>
        <w:rPr/>
      </w:pPr>
      <w:r>
        <w:rPr>
          <w:rFonts w:eastAsia="Calibri" w:cs="Calibri" w:ascii="Calibri" w:hAnsi="Calibri"/>
          <w:b w:val="false"/>
          <w:bCs w:val="false"/>
          <w:i w:val="false"/>
          <w:iCs w:val="false"/>
          <w:caps w:val="false"/>
          <w:smallCaps w:val="false"/>
          <w:color w:val="2A2A2A"/>
          <w:spacing w:val="0"/>
          <w:sz w:val="22"/>
          <w:szCs w:val="22"/>
          <w:lang w:val="en-US"/>
        </w:rPr>
        <w:t>I</w:t>
      </w:r>
      <w:r>
        <w:rPr>
          <w:rFonts w:eastAsia="Calibri" w:cs="Calibri" w:ascii="Calibri" w:hAnsi="Calibri"/>
          <w:b w:val="false"/>
          <w:bCs w:val="false"/>
          <w:i w:val="false"/>
          <w:iCs w:val="false"/>
          <w:caps w:val="false"/>
          <w:smallCaps w:val="false"/>
          <w:color w:val="2A2A2A"/>
          <w:spacing w:val="0"/>
          <w:sz w:val="22"/>
          <w:szCs w:val="22"/>
          <w:lang w:val="en-US"/>
        </w:rPr>
        <w:t xml:space="preserve">n support of Parris argument, </w:t>
      </w:r>
      <w:r>
        <w:rPr>
          <w:rFonts w:eastAsia="Calibri" w:cs="Calibri" w:ascii="Calibri" w:hAnsi="Calibri"/>
          <w:b w:val="false"/>
          <w:bCs w:val="false"/>
          <w:i w:val="false"/>
          <w:iCs w:val="false"/>
          <w:caps w:val="false"/>
          <w:smallCaps w:val="false"/>
          <w:color w:val="2A2A2A"/>
          <w:spacing w:val="0"/>
          <w:sz w:val="22"/>
          <w:szCs w:val="22"/>
          <w:lang w:val="en-US"/>
        </w:rPr>
        <w:t xml:space="preserve">Ian Boxall </w:t>
      </w:r>
      <w:r>
        <w:rPr>
          <w:rFonts w:eastAsia="Calibri" w:cs="Calibri" w:ascii="Calibri" w:hAnsi="Calibri"/>
          <w:b w:val="false"/>
          <w:bCs w:val="false"/>
          <w:i w:val="false"/>
          <w:iCs w:val="false"/>
          <w:caps w:val="false"/>
          <w:smallCaps w:val="false"/>
          <w:color w:val="2A2A2A"/>
          <w:spacing w:val="0"/>
          <w:sz w:val="22"/>
          <w:szCs w:val="22"/>
          <w:lang w:val="en-US"/>
        </w:rPr>
        <w:t>emphases that</w:t>
      </w:r>
      <w:r>
        <w:rPr>
          <w:rFonts w:eastAsia="Calibri" w:cs="Calibri" w:ascii="Calibri" w:hAnsi="Calibri"/>
          <w:b w:val="false"/>
          <w:bCs w:val="false"/>
          <w:i w:val="false"/>
          <w:iCs w:val="false"/>
          <w:caps w:val="false"/>
          <w:smallCaps w:val="false"/>
          <w:color w:val="2A2A2A"/>
          <w:spacing w:val="0"/>
          <w:sz w:val="22"/>
          <w:szCs w:val="22"/>
          <w:lang w:val="en-US"/>
        </w:rPr>
        <w:t xml:space="preserve"> ‘reception historians </w:t>
      </w:r>
      <w:r>
        <w:rPr>
          <w:rFonts w:eastAsia="Merriweather" w:cs="Merriweather" w:ascii="Calibri" w:hAnsi="Calibri"/>
          <w:b w:val="false"/>
          <w:bCs w:val="false"/>
          <w:i w:val="false"/>
          <w:iCs w:val="false"/>
          <w:caps w:val="false"/>
          <w:smallCaps w:val="false"/>
          <w:color w:val="2A2A2A"/>
          <w:spacing w:val="0"/>
          <w:sz w:val="22"/>
          <w:szCs w:val="22"/>
          <w:lang w:val="en-US"/>
        </w:rPr>
        <w:t xml:space="preserve">do more than just </w:t>
      </w:r>
      <w:r>
        <w:rPr>
          <w:rFonts w:eastAsia="Calibri" w:cs="Calibri" w:ascii="Calibri" w:hAnsi="Calibri"/>
          <w:b w:val="false"/>
          <w:bCs w:val="false"/>
          <w:i w:val="false"/>
          <w:iCs w:val="false"/>
          <w:caps w:val="false"/>
          <w:smallCaps w:val="false"/>
          <w:color w:val="2A2A2A"/>
          <w:spacing w:val="0"/>
          <w:sz w:val="22"/>
          <w:szCs w:val="22"/>
          <w:lang w:val="en-US"/>
        </w:rPr>
        <w:t> </w:t>
      </w:r>
      <w:r>
        <w:rPr>
          <w:rStyle w:val="Emphasis"/>
          <w:rFonts w:eastAsia="Calibri" w:cs="Calibri" w:ascii="Calibri" w:hAnsi="Calibri"/>
          <w:b w:val="false"/>
          <w:bCs w:val="false"/>
          <w:i/>
          <w:caps w:val="false"/>
          <w:smallCaps w:val="false"/>
          <w:color w:val="2A2A2A"/>
          <w:spacing w:val="0"/>
          <w:sz w:val="22"/>
          <w:szCs w:val="22"/>
          <w:lang w:val="en-US"/>
        </w:rPr>
        <w:t>Auslegungsgeschichte</w:t>
      </w:r>
      <w:r>
        <w:rPr>
          <w:rFonts w:eastAsia="Calibri" w:cs="Calibri" w:ascii="Calibri" w:hAnsi="Calibri"/>
          <w:b w:val="false"/>
          <w:bCs w:val="false"/>
          <w:i w:val="false"/>
          <w:iCs w:val="false"/>
          <w:caps w:val="false"/>
          <w:smallCaps w:val="false"/>
          <w:color w:val="2A2A2A"/>
          <w:spacing w:val="0"/>
          <w:sz w:val="22"/>
          <w:szCs w:val="22"/>
          <w:lang w:val="en-US"/>
        </w:rPr>
        <w:t>, or “the history of interpretation.” but explore how the text has been received in spirituality and other aspects whilst considering its wider cultural impact.’</w:t>
      </w:r>
      <w:r>
        <w:rPr>
          <w:rStyle w:val="FootnoteAnchor"/>
          <w:rFonts w:eastAsia="Calibri" w:cs="Calibri" w:ascii="Calibri" w:hAnsi="Calibri"/>
          <w:b w:val="false"/>
          <w:bCs w:val="false"/>
          <w:i w:val="false"/>
          <w:iCs w:val="false"/>
          <w:caps w:val="false"/>
          <w:smallCaps w:val="false"/>
          <w:color w:val="2A2A2A"/>
          <w:spacing w:val="0"/>
          <w:sz w:val="22"/>
          <w:szCs w:val="22"/>
          <w:lang w:val="en-US"/>
        </w:rPr>
        <w:footnoteReference w:id="10"/>
      </w:r>
    </w:p>
    <w:p>
      <w:pPr>
        <w:pStyle w:val="Normal"/>
        <w:bidi w:val="0"/>
        <w:spacing w:lineRule="auto" w:line="259" w:beforeAutospacing="0" w:before="0" w:afterAutospacing="0" w:after="160"/>
        <w:ind w:left="0" w:right="0" w:hanging="0"/>
        <w:jc w:val="left"/>
        <w:rPr/>
      </w:pPr>
      <w:r>
        <w:rPr>
          <w:rFonts w:eastAsia="Calibri" w:cs="Calibri" w:ascii="Calibri" w:hAnsi="Calibri"/>
          <w:b w:val="false"/>
          <w:bCs w:val="false"/>
          <w:i w:val="false"/>
          <w:iCs w:val="false"/>
          <w:caps w:val="false"/>
          <w:smallCaps w:val="false"/>
          <w:color w:val="2A2A2A"/>
          <w:spacing w:val="0"/>
          <w:sz w:val="22"/>
          <w:szCs w:val="22"/>
          <w:lang w:val="en-US"/>
        </w:rPr>
        <w:t xml:space="preserve">Brennan Breed </w:t>
      </w:r>
      <w:r>
        <w:rPr>
          <w:rFonts w:eastAsia="Calibri" w:cs="Calibri" w:ascii="Calibri" w:hAnsi="Calibri"/>
          <w:b w:val="false"/>
          <w:bCs w:val="false"/>
          <w:i w:val="false"/>
          <w:iCs w:val="false"/>
          <w:caps w:val="false"/>
          <w:smallCaps w:val="false"/>
          <w:color w:val="2A2A2A"/>
          <w:spacing w:val="0"/>
          <w:sz w:val="22"/>
          <w:szCs w:val="22"/>
          <w:lang w:val="en-US"/>
        </w:rPr>
        <w:t>I</w:t>
      </w:r>
      <w:r>
        <w:rPr>
          <w:rFonts w:eastAsia="Merriweather" w:cs="Merriweather" w:ascii="Calibri" w:hAnsi="Calibri"/>
          <w:b w:val="false"/>
          <w:bCs/>
          <w:i w:val="false"/>
          <w:iCs w:val="false"/>
          <w:caps w:val="false"/>
          <w:smallCaps w:val="false"/>
          <w:color w:val="2A2A2A"/>
          <w:spacing w:val="0"/>
          <w:sz w:val="22"/>
          <w:szCs w:val="22"/>
          <w:lang w:val="en-US"/>
        </w:rPr>
        <w:t>n his argument to what he calls history of effect,</w:t>
      </w:r>
      <w:r>
        <w:rPr>
          <w:rFonts w:eastAsia="Merriweather" w:cs="Merriweather" w:ascii="Calibri" w:hAnsi="Calibri"/>
          <w:b w:val="false"/>
          <w:bCs/>
          <w:i w:val="false"/>
          <w:iCs w:val="false"/>
          <w:caps w:val="false"/>
          <w:smallCaps w:val="false"/>
          <w:color w:val="2A2A2A"/>
          <w:spacing w:val="0"/>
          <w:sz w:val="22"/>
          <w:szCs w:val="22"/>
          <w:lang w:val="en-US"/>
        </w:rPr>
        <w:t xml:space="preserve"> calls for an examination into understanding the text by expanding on the horizon or opening new horizons of interpretation which will allow the reader see </w:t>
      </w:r>
      <w:r>
        <w:rPr>
          <w:rFonts w:eastAsia="Merriweather" w:cs="Merriweather" w:ascii="Calibri" w:hAnsi="Calibri"/>
          <w:b w:val="false"/>
          <w:bCs/>
          <w:i w:val="false"/>
          <w:iCs w:val="false"/>
          <w:caps w:val="false"/>
          <w:smallCaps w:val="false"/>
          <w:color w:val="2A2A2A"/>
          <w:spacing w:val="0"/>
          <w:sz w:val="22"/>
          <w:szCs w:val="22"/>
          <w:lang w:val="en-US"/>
        </w:rPr>
        <w:t>beyond</w:t>
      </w:r>
      <w:r>
        <w:rPr>
          <w:rFonts w:eastAsia="Merriweather" w:cs="Merriweather" w:ascii="Calibri" w:hAnsi="Calibri"/>
          <w:b w:val="false"/>
          <w:bCs/>
          <w:i w:val="false"/>
          <w:iCs w:val="false"/>
          <w:caps w:val="false"/>
          <w:smallCaps w:val="false"/>
          <w:color w:val="2A2A2A"/>
          <w:spacing w:val="0"/>
          <w:sz w:val="22"/>
          <w:szCs w:val="22"/>
          <w:lang w:val="en-US"/>
        </w:rPr>
        <w:t xml:space="preserve"> the scoop of the text itself therefore, having the understanding that they are part of </w:t>
      </w:r>
      <w:r>
        <w:rPr>
          <w:rFonts w:eastAsia="Merriweather" w:cs="Merriweather" w:ascii="Calibri" w:hAnsi="Calibri"/>
          <w:b w:val="false"/>
          <w:bCs/>
          <w:i w:val="false"/>
          <w:iCs w:val="false"/>
          <w:caps w:val="false"/>
          <w:smallCaps w:val="false"/>
          <w:color w:val="2A2A2A"/>
          <w:spacing w:val="0"/>
          <w:sz w:val="22"/>
          <w:szCs w:val="22"/>
          <w:lang w:val="en-US"/>
        </w:rPr>
        <w:t>a</w:t>
      </w:r>
      <w:r>
        <w:rPr>
          <w:rFonts w:eastAsia="Merriweather" w:cs="Merriweather" w:ascii="Calibri" w:hAnsi="Calibri"/>
          <w:b w:val="false"/>
          <w:bCs/>
          <w:i w:val="false"/>
          <w:iCs w:val="false"/>
          <w:caps w:val="false"/>
          <w:smallCaps w:val="false"/>
          <w:color w:val="2A2A2A"/>
          <w:spacing w:val="0"/>
          <w:sz w:val="22"/>
          <w:szCs w:val="22"/>
          <w:lang w:val="en-US"/>
        </w:rPr>
        <w:t xml:space="preserve"> tradition and culture of interpretation or heme</w:t>
      </w:r>
      <w:r>
        <w:rPr>
          <w:rFonts w:eastAsia="Merriweather" w:cs="Merriweather" w:ascii="Calibri" w:hAnsi="Calibri"/>
          <w:b w:val="false"/>
          <w:bCs/>
          <w:i w:val="false"/>
          <w:iCs w:val="false"/>
          <w:caps w:val="false"/>
          <w:smallCaps w:val="false"/>
          <w:color w:val="2A2A2A"/>
          <w:spacing w:val="0"/>
          <w:sz w:val="22"/>
          <w:szCs w:val="22"/>
          <w:lang w:val="en-US"/>
        </w:rPr>
        <w:t>ne</w:t>
      </w:r>
      <w:r>
        <w:rPr>
          <w:rFonts w:eastAsia="Merriweather" w:cs="Merriweather" w:ascii="Calibri" w:hAnsi="Calibri"/>
          <w:b w:val="false"/>
          <w:bCs/>
          <w:i w:val="false"/>
          <w:iCs w:val="false"/>
          <w:caps w:val="false"/>
          <w:smallCaps w:val="false"/>
          <w:color w:val="2A2A2A"/>
          <w:spacing w:val="0"/>
          <w:sz w:val="22"/>
          <w:szCs w:val="22"/>
          <w:lang w:val="en-US"/>
        </w:rPr>
        <w:t xml:space="preserve">utics. </w:t>
      </w:r>
      <w:r>
        <w:rPr>
          <w:rStyle w:val="FootnoteAnchor"/>
          <w:rFonts w:eastAsia="Merriweather" w:cs="Merriweather" w:ascii="Calibri" w:hAnsi="Calibri"/>
          <w:b w:val="false"/>
          <w:bCs/>
          <w:i w:val="false"/>
          <w:iCs w:val="false"/>
          <w:caps w:val="false"/>
          <w:smallCaps w:val="false"/>
          <w:color w:val="2A2A2A"/>
          <w:spacing w:val="0"/>
          <w:sz w:val="22"/>
          <w:szCs w:val="22"/>
          <w:lang w:val="en-US"/>
        </w:rPr>
        <w:footnoteReference w:id="11"/>
      </w:r>
    </w:p>
    <w:p>
      <w:pPr>
        <w:pStyle w:val="Normal"/>
        <w:bidi w:val="0"/>
        <w:spacing w:lineRule="auto" w:line="259" w:beforeAutospacing="0" w:before="0" w:afterAutospacing="0" w:after="160"/>
        <w:ind w:left="0" w:right="0" w:hanging="0"/>
        <w:jc w:val="left"/>
        <w:rPr/>
      </w:pPr>
      <w:r>
        <w:rPr>
          <w:rFonts w:eastAsia="Calibri" w:cs="Calibri" w:ascii="Calibri" w:hAnsi="Calibri"/>
          <w:b w:val="false"/>
          <w:bCs w:val="false"/>
          <w:i w:val="false"/>
          <w:iCs w:val="false"/>
          <w:caps w:val="false"/>
          <w:smallCaps w:val="false"/>
          <w:color w:val="2A2A2A"/>
          <w:spacing w:val="0"/>
          <w:sz w:val="22"/>
          <w:szCs w:val="22"/>
          <w:lang w:val="en-US"/>
        </w:rPr>
        <w:t>Timothy Beal</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Calibri" w:cs="Calibri" w:ascii="Calibri" w:hAnsi="Calibri"/>
          <w:b w:val="false"/>
          <w:bCs w:val="false"/>
          <w:i w:val="false"/>
          <w:iCs w:val="false"/>
          <w:caps w:val="false"/>
          <w:smallCaps w:val="false"/>
          <w:color w:val="2A2A2A"/>
          <w:spacing w:val="0"/>
          <w:sz w:val="22"/>
          <w:szCs w:val="22"/>
          <w:lang w:val="en-US"/>
        </w:rPr>
        <w:t xml:space="preserve">identifies </w:t>
      </w:r>
      <w:r>
        <w:rPr>
          <w:rFonts w:eastAsia="Calibri" w:cs="Calibri" w:ascii="Calibri" w:hAnsi="Calibri"/>
          <w:b w:val="false"/>
          <w:bCs w:val="false"/>
          <w:i w:val="false"/>
          <w:iCs w:val="false"/>
          <w:caps w:val="false"/>
          <w:smallCaps w:val="false"/>
          <w:color w:val="2A2A2A"/>
          <w:spacing w:val="0"/>
          <w:sz w:val="22"/>
          <w:szCs w:val="22"/>
          <w:lang w:val="en-US"/>
        </w:rPr>
        <w:t>three methods by which assessments are cond</w:t>
      </w:r>
      <w:r>
        <w:rPr>
          <w:rFonts w:eastAsia="Calibri" w:cs="Calibri" w:ascii="Calibri" w:hAnsi="Calibri"/>
          <w:b w:val="false"/>
          <w:bCs w:val="false"/>
          <w:i w:val="false"/>
          <w:iCs w:val="false"/>
          <w:caps w:val="false"/>
          <w:smallCaps w:val="false"/>
          <w:color w:val="2A2A2A"/>
          <w:spacing w:val="0"/>
          <w:sz w:val="22"/>
          <w:szCs w:val="22"/>
          <w:lang w:val="en-US"/>
        </w:rPr>
        <w:t>ucted</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Calibri" w:cs="Calibri" w:ascii="Calibri" w:hAnsi="Calibri"/>
          <w:b w:val="false"/>
          <w:bCs w:val="false"/>
          <w:i w:val="false"/>
          <w:iCs w:val="false"/>
          <w:caps w:val="false"/>
          <w:smallCaps w:val="false"/>
          <w:color w:val="2A2A2A"/>
          <w:spacing w:val="0"/>
          <w:sz w:val="22"/>
          <w:szCs w:val="22"/>
          <w:lang w:val="en-US"/>
        </w:rPr>
        <w:t xml:space="preserve">in reception history </w:t>
      </w:r>
      <w:r>
        <w:rPr>
          <w:rFonts w:eastAsia="Calibri" w:cs="Calibri" w:ascii="Calibri" w:hAnsi="Calibri"/>
          <w:b w:val="false"/>
          <w:bCs w:val="false"/>
          <w:i w:val="false"/>
          <w:iCs w:val="false"/>
          <w:caps w:val="false"/>
          <w:smallCaps w:val="false"/>
          <w:color w:val="2A2A2A"/>
          <w:spacing w:val="0"/>
          <w:sz w:val="22"/>
          <w:szCs w:val="22"/>
          <w:lang w:val="en-US"/>
        </w:rPr>
        <w:t xml:space="preserve">as </w:t>
      </w:r>
      <w:r>
        <w:rPr>
          <w:rFonts w:eastAsia="Calibri" w:cs="Calibri" w:ascii="Calibri" w:hAnsi="Calibri"/>
          <w:b w:val="false"/>
          <w:bCs w:val="false"/>
          <w:i w:val="false"/>
          <w:iCs w:val="false"/>
          <w:caps w:val="false"/>
          <w:smallCaps w:val="false"/>
          <w:color w:val="2A2A2A"/>
          <w:spacing w:val="0"/>
          <w:sz w:val="22"/>
          <w:szCs w:val="22"/>
          <w:lang w:val="en-US"/>
        </w:rPr>
        <w:t>first,</w:t>
      </w:r>
      <w:r>
        <w:rPr>
          <w:rFonts w:eastAsia="Calibri" w:cs="Calibri" w:ascii="Calibri" w:hAnsi="Calibri"/>
          <w:b w:val="false"/>
          <w:bCs w:val="false"/>
          <w:i w:val="false"/>
          <w:iCs w:val="false"/>
          <w:caps w:val="false"/>
          <w:smallCaps w:val="false"/>
          <w:color w:val="2A2A2A"/>
          <w:spacing w:val="0"/>
          <w:sz w:val="22"/>
          <w:szCs w:val="22"/>
          <w:lang w:val="en-US"/>
        </w:rPr>
        <w:t xml:space="preserve"> ‘focus</w:t>
      </w:r>
      <w:r>
        <w:rPr>
          <w:rFonts w:eastAsia="Calibri" w:cs="Calibri" w:ascii="Calibri" w:hAnsi="Calibri"/>
          <w:b w:val="false"/>
          <w:bCs w:val="false"/>
          <w:i w:val="false"/>
          <w:iCs w:val="false"/>
          <w:caps w:val="false"/>
          <w:smallCaps w:val="false"/>
          <w:color w:val="2A2A2A"/>
          <w:spacing w:val="0"/>
          <w:sz w:val="22"/>
          <w:szCs w:val="22"/>
          <w:lang w:val="en-US"/>
        </w:rPr>
        <w:t>ing</w:t>
      </w:r>
      <w:r>
        <w:rPr>
          <w:rFonts w:eastAsia="Calibri" w:cs="Calibri" w:ascii="Calibri" w:hAnsi="Calibri"/>
          <w:b w:val="false"/>
          <w:bCs w:val="false"/>
          <w:i w:val="false"/>
          <w:iCs w:val="false"/>
          <w:caps w:val="false"/>
          <w:smallCaps w:val="false"/>
          <w:color w:val="2A2A2A"/>
          <w:spacing w:val="0"/>
          <w:sz w:val="22"/>
          <w:szCs w:val="22"/>
          <w:lang w:val="en-US"/>
        </w:rPr>
        <w:t xml:space="preserve"> on the historical and cultural hermeneutical rules that shape and govern the creation of meaning from biblical texts in </w:t>
      </w:r>
      <w:r>
        <w:rPr>
          <w:rFonts w:eastAsia="Calibri" w:cs="Calibri" w:ascii="Calibri" w:hAnsi="Calibri"/>
          <w:b w:val="false"/>
          <w:bCs w:val="false"/>
          <w:i w:val="false"/>
          <w:iCs w:val="false"/>
          <w:caps w:val="false"/>
          <w:smallCaps w:val="false"/>
          <w:color w:val="2A2A2A"/>
          <w:spacing w:val="0"/>
          <w:sz w:val="22"/>
          <w:szCs w:val="22"/>
          <w:lang w:val="en-US"/>
        </w:rPr>
        <w:t>the</w:t>
      </w:r>
      <w:r>
        <w:rPr>
          <w:rFonts w:eastAsia="Calibri" w:cs="Calibri" w:ascii="Calibri" w:hAnsi="Calibri"/>
          <w:b w:val="false"/>
          <w:bCs w:val="false"/>
          <w:i w:val="false"/>
          <w:iCs w:val="false"/>
          <w:caps w:val="false"/>
          <w:smallCaps w:val="false"/>
          <w:color w:val="2A2A2A"/>
          <w:spacing w:val="0"/>
          <w:sz w:val="22"/>
          <w:szCs w:val="22"/>
          <w:lang w:val="en-US"/>
        </w:rPr>
        <w:t xml:space="preserve"> particular contexts’. </w:t>
      </w:r>
      <w:r>
        <w:rPr>
          <w:rFonts w:eastAsia="Calibri" w:cs="Calibri" w:ascii="Calibri" w:hAnsi="Calibri"/>
          <w:b w:val="false"/>
          <w:bCs w:val="false"/>
          <w:i w:val="false"/>
          <w:iCs w:val="false"/>
          <w:caps w:val="false"/>
          <w:smallCaps w:val="false"/>
          <w:color w:val="2A2A2A"/>
          <w:spacing w:val="0"/>
          <w:sz w:val="22"/>
          <w:szCs w:val="22"/>
          <w:lang w:val="en-US"/>
        </w:rPr>
        <w:t>Second,</w:t>
      </w:r>
      <w:r>
        <w:rPr>
          <w:rFonts w:eastAsia="Calibri" w:cs="Calibri" w:ascii="Calibri" w:hAnsi="Calibri"/>
          <w:b w:val="false"/>
          <w:bCs w:val="false"/>
          <w:i w:val="false"/>
          <w:iCs w:val="false"/>
          <w:caps w:val="false"/>
          <w:smallCaps w:val="false"/>
          <w:color w:val="2A2A2A"/>
          <w:spacing w:val="0"/>
          <w:sz w:val="22"/>
          <w:szCs w:val="22"/>
          <w:lang w:val="en-US"/>
        </w:rPr>
        <w:t xml:space="preserve"> exploring a particular biblical book, character, or image through the ages in many social and cultural works and contexts as can be found’. Th</w:t>
      </w:r>
      <w:r>
        <w:rPr>
          <w:rFonts w:eastAsia="Calibri" w:cs="Calibri" w:ascii="Calibri" w:hAnsi="Calibri"/>
          <w:b w:val="false"/>
          <w:bCs w:val="false"/>
          <w:i w:val="false"/>
          <w:iCs w:val="false"/>
          <w:caps w:val="false"/>
          <w:smallCaps w:val="false"/>
          <w:color w:val="2A2A2A"/>
          <w:spacing w:val="0"/>
          <w:sz w:val="22"/>
          <w:szCs w:val="22"/>
          <w:lang w:val="en-US"/>
        </w:rPr>
        <w:t>ird</w:t>
      </w:r>
      <w:r>
        <w:rPr>
          <w:rFonts w:eastAsia="Calibri" w:cs="Calibri" w:ascii="Calibri" w:hAnsi="Calibri"/>
          <w:b w:val="false"/>
          <w:bCs w:val="false"/>
          <w:i w:val="false"/>
          <w:iCs w:val="false"/>
          <w:caps w:val="false"/>
          <w:smallCaps w:val="false"/>
          <w:color w:val="2A2A2A"/>
          <w:spacing w:val="0"/>
          <w:sz w:val="22"/>
          <w:szCs w:val="22"/>
          <w:lang w:val="en-US"/>
        </w:rPr>
        <w:t xml:space="preserve"> is literary-historical, which he states examines the use of biblical texts in particular cultural contexts</w:t>
      </w:r>
      <w:r>
        <w:rPr>
          <w:rStyle w:val="FootnoteAnchor"/>
          <w:rFonts w:eastAsia="Calibri" w:cs="Calibri" w:ascii="Calibri" w:hAnsi="Calibri"/>
          <w:b w:val="false"/>
          <w:bCs w:val="false"/>
          <w:i w:val="false"/>
          <w:iCs w:val="false"/>
          <w:caps w:val="false"/>
          <w:smallCaps w:val="false"/>
          <w:color w:val="2A2A2A"/>
          <w:spacing w:val="0"/>
          <w:sz w:val="22"/>
          <w:szCs w:val="22"/>
          <w:lang w:val="en-US"/>
        </w:rPr>
        <w:footnoteReference w:id="12"/>
      </w:r>
      <w:r>
        <w:rPr>
          <w:rFonts w:eastAsia="Calibri" w:cs="Calibri" w:ascii="Calibri" w:hAnsi="Calibri"/>
          <w:b w:val="false"/>
          <w:bCs w:val="false"/>
          <w:i w:val="false"/>
          <w:iCs w:val="false"/>
          <w:caps w:val="false"/>
          <w:smallCaps w:val="false"/>
          <w:color w:val="2A2A2A"/>
          <w:spacing w:val="0"/>
          <w:sz w:val="22"/>
          <w:szCs w:val="22"/>
          <w:lang w:val="en-US"/>
        </w:rPr>
        <w:t xml:space="preserve">. </w:t>
      </w:r>
    </w:p>
    <w:p>
      <w:pPr>
        <w:pStyle w:val="Normal"/>
        <w:bidi w:val="0"/>
        <w:spacing w:lineRule="auto" w:line="259" w:beforeAutospacing="0" w:before="0" w:afterAutospacing="0" w:after="160"/>
        <w:ind w:left="0" w:right="0" w:hanging="0"/>
        <w:jc w:val="left"/>
        <w:rPr/>
      </w:pP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Calibri" w:cs="Calibri" w:ascii="Calibri" w:hAnsi="Calibri"/>
          <w:b w:val="false"/>
          <w:bCs w:val="false"/>
          <w:i w:val="false"/>
          <w:iCs w:val="false"/>
          <w:caps w:val="false"/>
          <w:smallCaps w:val="false"/>
          <w:color w:val="2A2A2A"/>
          <w:spacing w:val="0"/>
          <w:sz w:val="22"/>
          <w:szCs w:val="22"/>
          <w:lang w:val="en-US"/>
        </w:rPr>
        <w:t>Michael Coogan</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Calibri" w:cs="Calibri" w:ascii="Calibri" w:hAnsi="Calibri"/>
          <w:b w:val="false"/>
          <w:bCs w:val="false"/>
          <w:i w:val="false"/>
          <w:iCs w:val="false"/>
          <w:caps w:val="false"/>
          <w:smallCaps w:val="false"/>
          <w:color w:val="2A2A2A"/>
          <w:spacing w:val="0"/>
          <w:sz w:val="22"/>
          <w:szCs w:val="22"/>
          <w:lang w:val="en-US"/>
        </w:rPr>
        <w:t xml:space="preserve">in his argument, </w:t>
      </w:r>
      <w:r>
        <w:rPr>
          <w:rFonts w:eastAsia="Calibri" w:cs="Calibri" w:ascii="Calibri" w:hAnsi="Calibri"/>
          <w:b w:val="false"/>
          <w:bCs w:val="false"/>
          <w:i w:val="false"/>
          <w:iCs w:val="false"/>
          <w:caps w:val="false"/>
          <w:smallCaps w:val="false"/>
          <w:color w:val="2A2A2A"/>
          <w:spacing w:val="0"/>
          <w:sz w:val="22"/>
          <w:szCs w:val="22"/>
          <w:lang w:val="en-US"/>
        </w:rPr>
        <w:t xml:space="preserve">contrasts </w:t>
      </w:r>
      <w:r>
        <w:rPr>
          <w:rFonts w:eastAsia="Calibri" w:cs="Calibri" w:ascii="Calibri" w:hAnsi="Calibri"/>
          <w:b w:val="false"/>
          <w:bCs w:val="false"/>
          <w:i w:val="false"/>
          <w:iCs w:val="false"/>
          <w:caps w:val="false"/>
          <w:smallCaps w:val="false"/>
          <w:color w:val="2A2A2A"/>
          <w:spacing w:val="0"/>
          <w:sz w:val="22"/>
          <w:szCs w:val="22"/>
          <w:lang w:val="en-US"/>
        </w:rPr>
        <w:t>reception history</w:t>
      </w:r>
      <w:r>
        <w:rPr>
          <w:rFonts w:eastAsia="Calibri" w:cs="Calibri" w:ascii="Calibri" w:hAnsi="Calibri"/>
          <w:b w:val="false"/>
          <w:bCs w:val="false"/>
          <w:i w:val="false"/>
          <w:iCs w:val="false"/>
          <w:caps w:val="false"/>
          <w:smallCaps w:val="false"/>
          <w:color w:val="2A2A2A"/>
          <w:spacing w:val="0"/>
          <w:sz w:val="22"/>
          <w:szCs w:val="22"/>
          <w:lang w:val="en-US"/>
        </w:rPr>
        <w:t xml:space="preserve"> to the history of interpretation which he s</w:t>
      </w:r>
      <w:r>
        <w:rPr>
          <w:rFonts w:eastAsia="Calibri" w:cs="Calibri" w:ascii="Calibri" w:hAnsi="Calibri"/>
          <w:b w:val="false"/>
          <w:bCs w:val="false"/>
          <w:i w:val="false"/>
          <w:iCs w:val="false"/>
          <w:caps w:val="false"/>
          <w:smallCaps w:val="false"/>
          <w:color w:val="2A2A2A"/>
          <w:spacing w:val="0"/>
          <w:sz w:val="22"/>
          <w:szCs w:val="22"/>
          <w:lang w:val="en-US"/>
        </w:rPr>
        <w:t>tates</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Calibri" w:cs="Calibri" w:ascii="Calibri" w:hAnsi="Calibri"/>
          <w:b w:val="false"/>
          <w:bCs w:val="false"/>
          <w:i w:val="false"/>
          <w:iCs w:val="false"/>
          <w:caps w:val="false"/>
          <w:smallCaps w:val="false"/>
          <w:color w:val="2A2A2A"/>
          <w:spacing w:val="0"/>
          <w:sz w:val="22"/>
          <w:szCs w:val="22"/>
          <w:lang w:val="en-US"/>
        </w:rPr>
        <w:t>analyzes</w:t>
      </w:r>
      <w:r>
        <w:rPr>
          <w:rFonts w:eastAsia="Calibri" w:cs="Calibri" w:ascii="Calibri" w:hAnsi="Calibri"/>
          <w:b w:val="false"/>
          <w:bCs w:val="false"/>
          <w:i w:val="false"/>
          <w:iCs w:val="false"/>
          <w:caps w:val="false"/>
          <w:smallCaps w:val="false"/>
          <w:color w:val="2A2A2A"/>
          <w:spacing w:val="0"/>
          <w:sz w:val="22"/>
          <w:szCs w:val="22"/>
          <w:lang w:val="en-US"/>
        </w:rPr>
        <w:t xml:space="preserve"> scholarly readers understanding of the biblical texts</w:t>
      </w:r>
      <w:r>
        <w:rPr>
          <w:rStyle w:val="FootnoteAnchor"/>
          <w:rFonts w:eastAsia="Calibri" w:cs="Calibri" w:ascii="Calibri" w:hAnsi="Calibri"/>
          <w:b w:val="false"/>
          <w:bCs w:val="false"/>
          <w:i w:val="false"/>
          <w:iCs w:val="false"/>
          <w:caps w:val="false"/>
          <w:smallCaps w:val="false"/>
          <w:color w:val="2A2A2A"/>
          <w:spacing w:val="0"/>
          <w:sz w:val="22"/>
          <w:szCs w:val="22"/>
          <w:lang w:val="en-US"/>
        </w:rPr>
        <w:footnoteReference w:id="13"/>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bCs/>
          <w:i w:val="false"/>
          <w:iCs w:val="false"/>
          <w:caps w:val="false"/>
          <w:smallCaps w:val="false"/>
          <w:color w:val="2A2A2A"/>
          <w:spacing w:val="0"/>
          <w:sz w:val="22"/>
          <w:szCs w:val="22"/>
          <w:lang w:val="en-US"/>
        </w:rPr>
        <w:t xml:space="preserve">Usefulness, </w:t>
      </w:r>
      <w:r>
        <w:rPr>
          <w:rFonts w:eastAsia="Calibri" w:cs="Calibri" w:ascii="Calibri" w:hAnsi="Calibri"/>
          <w:b/>
          <w:bCs/>
          <w:i w:val="false"/>
          <w:iCs w:val="false"/>
          <w:caps w:val="false"/>
          <w:smallCaps w:val="false"/>
          <w:color w:val="2A2A2A"/>
          <w:spacing w:val="0"/>
          <w:sz w:val="22"/>
          <w:szCs w:val="22"/>
          <w:lang w:val="en-US"/>
        </w:rPr>
        <w:t>Limitations</w:t>
      </w:r>
      <w:r>
        <w:rPr>
          <w:rFonts w:eastAsia="Calibri" w:cs="Calibri" w:ascii="Calibri" w:hAnsi="Calibri"/>
          <w:b/>
          <w:bCs/>
          <w:i w:val="false"/>
          <w:iCs w:val="false"/>
          <w:caps w:val="false"/>
          <w:smallCaps w:val="false"/>
          <w:color w:val="2A2A2A"/>
          <w:spacing w:val="0"/>
          <w:sz w:val="22"/>
          <w:szCs w:val="22"/>
          <w:lang w:val="en-US"/>
        </w:rPr>
        <w:t xml:space="preserve"> and Future Prospects</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bCs/>
          <w:i w:val="false"/>
          <w:iCs w:val="false"/>
          <w:caps w:val="false"/>
          <w:smallCaps w:val="false"/>
          <w:color w:val="2A2A2A"/>
          <w:spacing w:val="0"/>
          <w:sz w:val="22"/>
          <w:szCs w:val="22"/>
          <w:lang w:val="en-US"/>
        </w:rPr>
        <w:t xml:space="preserve"> </w:t>
      </w:r>
      <w:r>
        <w:rPr>
          <w:rFonts w:eastAsia="Calibri" w:cs="Calibri" w:ascii="Calibri" w:hAnsi="Calibri"/>
          <w:b w:val="false"/>
          <w:bCs/>
          <w:i w:val="false"/>
          <w:iCs w:val="false"/>
          <w:caps w:val="false"/>
          <w:smallCaps w:val="false"/>
          <w:color w:val="2A2A2A"/>
          <w:spacing w:val="0"/>
          <w:sz w:val="22"/>
          <w:szCs w:val="22"/>
          <w:lang w:val="en-US"/>
        </w:rPr>
        <w:t xml:space="preserve">The broad </w:t>
      </w:r>
      <w:r>
        <w:rPr>
          <w:rFonts w:eastAsia="Calibri" w:cs="Calibri" w:ascii="Calibri" w:hAnsi="Calibri"/>
          <w:b w:val="false"/>
          <w:bCs/>
          <w:i w:val="false"/>
          <w:iCs w:val="false"/>
          <w:caps w:val="false"/>
          <w:smallCaps w:val="false"/>
          <w:color w:val="2A2A2A"/>
          <w:spacing w:val="0"/>
          <w:sz w:val="22"/>
          <w:szCs w:val="22"/>
          <w:lang w:val="en-US"/>
        </w:rPr>
        <w:t>direction</w:t>
      </w:r>
      <w:r>
        <w:rPr>
          <w:rFonts w:eastAsia="Calibri" w:cs="Calibri" w:ascii="Calibri" w:hAnsi="Calibri"/>
          <w:b w:val="false"/>
          <w:bCs/>
          <w:i w:val="false"/>
          <w:iCs w:val="false"/>
          <w:caps w:val="false"/>
          <w:smallCaps w:val="false"/>
          <w:color w:val="2A2A2A"/>
          <w:spacing w:val="0"/>
          <w:sz w:val="22"/>
          <w:szCs w:val="22"/>
          <w:lang w:val="en-US"/>
        </w:rPr>
        <w:t xml:space="preserve"> of reception history means that it can explore negative as well as positive effects, in particular cultural circumstances</w:t>
      </w:r>
      <w:r>
        <w:rPr>
          <w:rStyle w:val="FootnoteAnchor"/>
          <w:rFonts w:eastAsia="Calibri" w:cs="Calibri" w:ascii="Calibri" w:hAnsi="Calibri"/>
          <w:b/>
          <w:bCs/>
          <w:i w:val="false"/>
          <w:iCs w:val="false"/>
          <w:caps w:val="false"/>
          <w:smallCaps w:val="false"/>
          <w:color w:val="2A2A2A"/>
          <w:spacing w:val="0"/>
          <w:sz w:val="22"/>
          <w:szCs w:val="22"/>
          <w:lang w:val="en-US"/>
        </w:rPr>
        <w:footnoteReference w:id="14"/>
      </w:r>
      <w:r>
        <w:rPr>
          <w:rFonts w:eastAsia="Calibri" w:cs="Calibri" w:ascii="Calibri" w:hAnsi="Calibri"/>
          <w:b/>
          <w:bCs/>
          <w:i w:val="false"/>
          <w:iCs w:val="false"/>
          <w:caps w:val="false"/>
          <w:smallCaps w:val="false"/>
          <w:color w:val="2A2A2A"/>
          <w:spacing w:val="0"/>
          <w:sz w:val="22"/>
          <w:szCs w:val="22"/>
          <w:lang w:val="en-US"/>
        </w:rPr>
        <w:t>.</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bCs/>
          <w:i w:val="false"/>
          <w:iCs w:val="false"/>
          <w:caps w:val="false"/>
          <w:smallCaps w:val="false"/>
          <w:color w:val="2A2A2A"/>
          <w:spacing w:val="0"/>
          <w:sz w:val="22"/>
          <w:szCs w:val="22"/>
          <w:lang w:val="en-US"/>
        </w:rPr>
        <w:t xml:space="preserve">Arguing in support of its usefulness, </w:t>
      </w:r>
      <w:r>
        <w:rPr>
          <w:rFonts w:eastAsia="Calibri" w:cs="Calibri" w:ascii="Calibri" w:hAnsi="Calibri"/>
          <w:b w:val="false"/>
          <w:bCs/>
          <w:i w:val="false"/>
          <w:iCs w:val="false"/>
          <w:caps w:val="false"/>
          <w:smallCaps w:val="false"/>
          <w:color w:val="2A2A2A"/>
          <w:spacing w:val="0"/>
          <w:sz w:val="22"/>
          <w:szCs w:val="22"/>
          <w:lang w:val="en-US"/>
        </w:rPr>
        <w:t xml:space="preserve">Ian Boxall </w:t>
      </w:r>
      <w:r>
        <w:rPr>
          <w:rFonts w:eastAsia="Calibri" w:cs="Calibri" w:ascii="Calibri" w:hAnsi="Calibri"/>
          <w:b w:val="false"/>
          <w:bCs/>
          <w:i w:val="false"/>
          <w:iCs w:val="false"/>
          <w:caps w:val="false"/>
          <w:smallCaps w:val="false"/>
          <w:color w:val="2A2A2A"/>
          <w:spacing w:val="0"/>
          <w:sz w:val="22"/>
          <w:szCs w:val="22"/>
          <w:lang w:val="en-US"/>
        </w:rPr>
        <w:t xml:space="preserve">states </w:t>
      </w:r>
      <w:r>
        <w:rPr>
          <w:rFonts w:eastAsia="Calibri" w:cs="Calibri" w:ascii="Calibri" w:hAnsi="Calibri"/>
          <w:b w:val="false"/>
          <w:bCs/>
          <w:i w:val="false"/>
          <w:iCs w:val="false"/>
          <w:caps w:val="false"/>
          <w:smallCaps w:val="false"/>
          <w:color w:val="2A2A2A"/>
          <w:spacing w:val="0"/>
          <w:sz w:val="22"/>
          <w:szCs w:val="22"/>
          <w:lang w:val="en-US"/>
        </w:rPr>
        <w:t xml:space="preserve">that reception history ‘has a proven ability to address “real life” issues. This </w:t>
      </w:r>
      <w:r>
        <w:rPr>
          <w:rFonts w:eastAsia="Calibri" w:cs="Calibri" w:ascii="Calibri" w:hAnsi="Calibri"/>
          <w:b w:val="false"/>
          <w:bCs/>
          <w:i w:val="false"/>
          <w:iCs w:val="false"/>
          <w:caps w:val="false"/>
          <w:smallCaps w:val="false"/>
          <w:color w:val="2A2A2A"/>
          <w:spacing w:val="0"/>
          <w:sz w:val="22"/>
          <w:szCs w:val="22"/>
          <w:lang w:val="en-US"/>
        </w:rPr>
        <w:t xml:space="preserve">he believes, </w:t>
      </w:r>
      <w:r>
        <w:rPr>
          <w:rFonts w:eastAsia="Calibri" w:cs="Calibri" w:ascii="Calibri" w:hAnsi="Calibri"/>
          <w:b w:val="false"/>
          <w:bCs/>
          <w:i w:val="false"/>
          <w:iCs w:val="false"/>
          <w:caps w:val="false"/>
          <w:smallCaps w:val="false"/>
          <w:color w:val="2A2A2A"/>
          <w:spacing w:val="0"/>
          <w:sz w:val="22"/>
          <w:szCs w:val="22"/>
          <w:lang w:val="en-US"/>
        </w:rPr>
        <w:t>helps overcome the criticism that biblical scholarship is disconnected from and how ordinary people read and perceive the Bible’.</w:t>
      </w:r>
      <w:r>
        <w:rPr>
          <w:rFonts w:eastAsia="Calibri" w:cs="Calibri" w:ascii="Calibri" w:hAnsi="Calibri"/>
          <w:b/>
          <w:bCs/>
          <w:i w:val="false"/>
          <w:iCs w:val="false"/>
          <w:caps w:val="false"/>
          <w:smallCaps w:val="false"/>
          <w:color w:val="2A2A2A"/>
          <w:spacing w:val="0"/>
          <w:sz w:val="22"/>
          <w:szCs w:val="22"/>
          <w:lang w:val="en-US"/>
        </w:rPr>
        <w:t xml:space="preserve"> </w:t>
      </w:r>
      <w:r>
        <w:rPr>
          <w:rStyle w:val="FootnoteAnchor"/>
          <w:rFonts w:eastAsia="Calibri" w:cs="Calibri" w:ascii="Calibri" w:hAnsi="Calibri"/>
          <w:b/>
          <w:bCs/>
          <w:i w:val="false"/>
          <w:iCs w:val="false"/>
          <w:caps w:val="false"/>
          <w:smallCaps w:val="false"/>
          <w:color w:val="2A2A2A"/>
          <w:spacing w:val="0"/>
          <w:sz w:val="22"/>
          <w:szCs w:val="22"/>
          <w:lang w:val="en-US"/>
        </w:rPr>
        <w:footnoteReference w:id="15"/>
      </w:r>
      <w:r>
        <w:rPr>
          <w:rFonts w:eastAsia="Calibri" w:cs="Calibri" w:ascii="Calibri" w:hAnsi="Calibri"/>
          <w:b/>
          <w:bCs/>
          <w:i w:val="false"/>
          <w:iCs w:val="false"/>
          <w:caps w:val="false"/>
          <w:smallCaps w:val="false"/>
          <w:color w:val="2A2A2A"/>
          <w:spacing w:val="0"/>
          <w:sz w:val="22"/>
          <w:szCs w:val="22"/>
          <w:lang w:val="en-US"/>
        </w:rPr>
        <w:t xml:space="preserve"> </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bCs/>
          <w:i w:val="false"/>
          <w:iCs w:val="false"/>
          <w:caps w:val="false"/>
          <w:smallCaps w:val="false"/>
          <w:color w:val="2A2A2A"/>
          <w:spacing w:val="0"/>
          <w:sz w:val="23"/>
          <w:szCs w:val="22"/>
          <w:lang w:val="en-US"/>
        </w:rPr>
        <w:t>Biblical scholars finds</w:t>
      </w:r>
      <w:r>
        <w:rPr>
          <w:rFonts w:eastAsia="Calibri" w:cs="Calibri" w:ascii="Calibri" w:hAnsi="Calibri"/>
          <w:b w:val="false"/>
          <w:bCs/>
          <w:i w:val="false"/>
          <w:iCs w:val="false"/>
          <w:caps w:val="false"/>
          <w:smallCaps w:val="false"/>
          <w:color w:val="2A2A2A"/>
          <w:spacing w:val="0"/>
          <w:sz w:val="23"/>
          <w:szCs w:val="22"/>
          <w:lang w:val="en-US"/>
        </w:rPr>
        <w:t xml:space="preserve"> reception history a liberating attitude, an opportunity to explore new forms of exegetical engagement and diverse meanings</w:t>
      </w:r>
      <w:r>
        <w:rPr>
          <w:rFonts w:eastAsia="Calibri" w:cs="Calibri" w:ascii="Calibri" w:hAnsi="Calibri"/>
          <w:b w:val="false"/>
          <w:bCs/>
          <w:i w:val="false"/>
          <w:iCs w:val="false"/>
          <w:caps w:val="false"/>
          <w:smallCaps w:val="false"/>
          <w:color w:val="2A2A2A"/>
          <w:spacing w:val="0"/>
          <w:sz w:val="22"/>
          <w:szCs w:val="22"/>
          <w:lang w:val="en-US"/>
        </w:rPr>
        <w:t xml:space="preserve">. </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bCs/>
          <w:i w:val="false"/>
          <w:iCs w:val="false"/>
          <w:caps w:val="false"/>
          <w:smallCaps w:val="false"/>
          <w:color w:val="2A2A2A"/>
          <w:spacing w:val="0"/>
          <w:sz w:val="22"/>
          <w:szCs w:val="22"/>
          <w:lang w:val="en-US"/>
        </w:rPr>
        <w:t xml:space="preserve">I will argue that in giving diverse meaning to a text, the truth about the word of God </w:t>
      </w:r>
      <w:r>
        <w:rPr>
          <w:rFonts w:eastAsia="Calibri" w:cs="Calibri" w:ascii="Calibri" w:hAnsi="Calibri"/>
          <w:b w:val="false"/>
          <w:bCs/>
          <w:i w:val="false"/>
          <w:iCs w:val="false"/>
          <w:caps w:val="false"/>
          <w:smallCaps w:val="false"/>
          <w:color w:val="2A2A2A"/>
          <w:spacing w:val="0"/>
          <w:sz w:val="22"/>
          <w:szCs w:val="22"/>
          <w:lang w:val="en-US"/>
        </w:rPr>
        <w:t>should</w:t>
      </w:r>
      <w:r>
        <w:rPr>
          <w:rFonts w:eastAsia="Calibri" w:cs="Calibri" w:ascii="Calibri" w:hAnsi="Calibri"/>
          <w:b w:val="false"/>
          <w:bCs/>
          <w:i w:val="false"/>
          <w:iCs w:val="false"/>
          <w:caps w:val="false"/>
          <w:smallCaps w:val="false"/>
          <w:color w:val="2A2A2A"/>
          <w:spacing w:val="0"/>
          <w:sz w:val="22"/>
          <w:szCs w:val="22"/>
          <w:lang w:val="en-US"/>
        </w:rPr>
        <w:t xml:space="preserve"> not be compromised.</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bCs/>
          <w:i w:val="false"/>
          <w:iCs w:val="false"/>
          <w:caps w:val="false"/>
          <w:smallCaps w:val="false"/>
          <w:color w:val="2A2A2A"/>
          <w:spacing w:val="0"/>
          <w:sz w:val="22"/>
          <w:szCs w:val="22"/>
          <w:lang w:val="en-US"/>
        </w:rPr>
        <w:t xml:space="preserve">Reception history </w:t>
      </w:r>
      <w:r>
        <w:rPr>
          <w:rFonts w:eastAsia="Calibri" w:cs="Calibri" w:ascii="Calibri" w:hAnsi="Calibri"/>
          <w:b w:val="false"/>
          <w:bCs/>
          <w:i w:val="false"/>
          <w:iCs w:val="false"/>
          <w:caps w:val="false"/>
          <w:smallCaps w:val="false"/>
          <w:color w:val="2A2A2A"/>
          <w:spacing w:val="0"/>
          <w:sz w:val="22"/>
          <w:szCs w:val="22"/>
          <w:lang w:val="en-US"/>
        </w:rPr>
        <w:t>also</w:t>
      </w:r>
      <w:r>
        <w:rPr>
          <w:rFonts w:eastAsia="Calibri" w:cs="Calibri" w:ascii="Calibri" w:hAnsi="Calibri"/>
          <w:b w:val="false"/>
          <w:bCs/>
          <w:i w:val="false"/>
          <w:iCs w:val="false"/>
          <w:caps w:val="false"/>
          <w:smallCaps w:val="false"/>
          <w:color w:val="2A2A2A"/>
          <w:spacing w:val="0"/>
          <w:sz w:val="22"/>
          <w:szCs w:val="22"/>
          <w:lang w:val="en-US"/>
        </w:rPr>
        <w:t xml:space="preserve"> helps bring together conversation partners from different disciplines into </w:t>
      </w:r>
      <w:r>
        <w:rPr>
          <w:rFonts w:eastAsia="Calibri" w:cs="Calibri" w:ascii="Calibri" w:hAnsi="Calibri"/>
          <w:b w:val="false"/>
          <w:bCs/>
          <w:i w:val="false"/>
          <w:iCs w:val="false"/>
          <w:caps w:val="false"/>
          <w:smallCaps w:val="false"/>
          <w:color w:val="2A2A2A"/>
          <w:spacing w:val="0"/>
          <w:sz w:val="22"/>
          <w:szCs w:val="22"/>
          <w:lang w:val="en-US"/>
        </w:rPr>
        <w:t>fuller and more meaningful</w:t>
      </w:r>
      <w:r>
        <w:rPr>
          <w:rFonts w:eastAsia="Calibri" w:cs="Calibri" w:ascii="Calibri" w:hAnsi="Calibri"/>
          <w:b w:val="false"/>
          <w:bCs/>
          <w:i w:val="false"/>
          <w:iCs w:val="false"/>
          <w:caps w:val="false"/>
          <w:smallCaps w:val="false"/>
          <w:color w:val="2A2A2A"/>
          <w:spacing w:val="0"/>
          <w:sz w:val="22"/>
          <w:szCs w:val="22"/>
          <w:lang w:val="en-US"/>
        </w:rPr>
        <w:t xml:space="preserve"> </w:t>
      </w:r>
      <w:r>
        <w:rPr>
          <w:rFonts w:eastAsia="Calibri" w:cs="Calibri" w:ascii="Calibri" w:hAnsi="Calibri"/>
          <w:b w:val="false"/>
          <w:bCs/>
          <w:i w:val="false"/>
          <w:iCs w:val="false"/>
          <w:caps w:val="false"/>
          <w:smallCaps w:val="false"/>
          <w:color w:val="2A2A2A"/>
          <w:spacing w:val="0"/>
          <w:sz w:val="22"/>
          <w:szCs w:val="22"/>
          <w:lang w:val="en-US"/>
        </w:rPr>
        <w:t xml:space="preserve">or </w:t>
      </w:r>
      <w:r>
        <w:rPr>
          <w:rFonts w:eastAsia="Calibri" w:cs="Calibri" w:ascii="Calibri" w:hAnsi="Calibri"/>
          <w:b w:val="false"/>
          <w:bCs/>
          <w:i w:val="false"/>
          <w:iCs w:val="false"/>
          <w:caps w:val="false"/>
          <w:smallCaps w:val="false"/>
          <w:color w:val="2A2A2A"/>
          <w:spacing w:val="0"/>
          <w:sz w:val="22"/>
          <w:szCs w:val="22"/>
          <w:lang w:val="en-US"/>
        </w:rPr>
        <w:t xml:space="preserve">constructive dialogue. </w:t>
      </w:r>
      <w:r>
        <w:rPr>
          <w:rFonts w:eastAsia="Calibri" w:cs="Calibri" w:ascii="Calibri" w:hAnsi="Calibri"/>
          <w:b w:val="false"/>
          <w:bCs/>
          <w:i w:val="false"/>
          <w:iCs w:val="false"/>
          <w:caps w:val="false"/>
          <w:smallCaps w:val="false"/>
          <w:color w:val="2A2A2A"/>
          <w:spacing w:val="0"/>
          <w:sz w:val="22"/>
          <w:szCs w:val="22"/>
          <w:lang w:val="en-US"/>
        </w:rPr>
        <w:t>As such, co</w:t>
      </w:r>
      <w:r>
        <w:rPr>
          <w:rFonts w:eastAsia="Calibri" w:cs="Calibri" w:ascii="Calibri" w:hAnsi="Calibri"/>
          <w:b w:val="false"/>
          <w:bCs/>
          <w:i w:val="false"/>
          <w:iCs w:val="false"/>
          <w:caps w:val="false"/>
          <w:smallCaps w:val="false"/>
          <w:color w:val="2A2A2A"/>
          <w:spacing w:val="0"/>
          <w:sz w:val="22"/>
          <w:szCs w:val="22"/>
          <w:lang w:val="en-US"/>
        </w:rPr>
        <w:t>llaboration</w:t>
      </w:r>
      <w:r>
        <w:rPr>
          <w:rFonts w:eastAsia="Calibri" w:cs="Calibri" w:ascii="Calibri" w:hAnsi="Calibri"/>
          <w:b w:val="false"/>
          <w:bCs/>
          <w:i w:val="false"/>
          <w:iCs w:val="false"/>
          <w:caps w:val="false"/>
          <w:smallCaps w:val="false"/>
          <w:color w:val="2A2A2A"/>
          <w:spacing w:val="0"/>
          <w:sz w:val="22"/>
          <w:szCs w:val="22"/>
          <w:lang w:val="en-US"/>
        </w:rPr>
        <w:t xml:space="preserve"> is likely to be more pronounced in the future, </w:t>
      </w:r>
      <w:r>
        <w:rPr>
          <w:rFonts w:eastAsia="Calibri" w:cs="Calibri" w:ascii="Calibri" w:hAnsi="Calibri"/>
          <w:b w:val="false"/>
          <w:bCs/>
          <w:i w:val="false"/>
          <w:iCs w:val="false"/>
          <w:caps w:val="false"/>
          <w:smallCaps w:val="false"/>
          <w:color w:val="2A2A2A"/>
          <w:spacing w:val="0"/>
          <w:sz w:val="22"/>
          <w:szCs w:val="22"/>
          <w:lang w:val="en-US"/>
        </w:rPr>
        <w:t xml:space="preserve">just </w:t>
      </w:r>
      <w:r>
        <w:rPr>
          <w:rFonts w:eastAsia="Calibri" w:cs="Calibri" w:ascii="Calibri" w:hAnsi="Calibri"/>
          <w:b w:val="false"/>
          <w:bCs/>
          <w:i w:val="false"/>
          <w:iCs w:val="false"/>
          <w:caps w:val="false"/>
          <w:smallCaps w:val="false"/>
          <w:color w:val="2A2A2A"/>
          <w:spacing w:val="0"/>
          <w:sz w:val="22"/>
          <w:szCs w:val="22"/>
          <w:lang w:val="en-US"/>
        </w:rPr>
        <w:t>as is the shift away from predominantly book-focused commentary.</w:t>
      </w:r>
      <w:r>
        <w:rPr>
          <w:rStyle w:val="FootnoteAnchor"/>
          <w:rFonts w:eastAsia="Calibri" w:cs="Calibri" w:ascii="Calibri" w:hAnsi="Calibri"/>
          <w:b w:val="false"/>
          <w:bCs/>
          <w:i w:val="false"/>
          <w:iCs w:val="false"/>
          <w:caps w:val="false"/>
          <w:smallCaps w:val="false"/>
          <w:color w:val="2A2A2A"/>
          <w:spacing w:val="0"/>
          <w:sz w:val="22"/>
          <w:szCs w:val="22"/>
          <w:lang w:val="en-US"/>
        </w:rPr>
        <w:footnoteReference w:id="16"/>
      </w:r>
      <w:r>
        <w:rPr>
          <w:rFonts w:eastAsia="Calibri" w:cs="Calibri" w:ascii="Calibri" w:hAnsi="Calibri"/>
          <w:b w:val="false"/>
          <w:bCs/>
          <w:i w:val="false"/>
          <w:iCs w:val="false"/>
          <w:caps w:val="false"/>
          <w:smallCaps w:val="false"/>
          <w:color w:val="2A2A2A"/>
          <w:spacing w:val="0"/>
          <w:sz w:val="22"/>
          <w:szCs w:val="22"/>
          <w:lang w:val="en-US"/>
        </w:rPr>
        <w:t xml:space="preserve">  </w:t>
      </w:r>
      <w:r>
        <w:rPr>
          <w:rFonts w:eastAsia="Calibri" w:cs="Calibri" w:ascii="Calibri" w:hAnsi="Calibri"/>
          <w:b w:val="false"/>
          <w:bCs/>
          <w:i w:val="false"/>
          <w:iCs w:val="false"/>
          <w:caps w:val="false"/>
          <w:smallCaps w:val="false"/>
          <w:color w:val="2A2A2A"/>
          <w:spacing w:val="0"/>
          <w:sz w:val="22"/>
          <w:szCs w:val="22"/>
          <w:lang w:val="en-US"/>
        </w:rPr>
        <w:t xml:space="preserve">As at </w:t>
      </w:r>
      <w:r>
        <w:rPr>
          <w:rFonts w:eastAsia="Calibri" w:cs="Calibri" w:ascii="Calibri" w:hAnsi="Calibri"/>
          <w:b w:val="false"/>
          <w:bCs/>
          <w:i w:val="false"/>
          <w:iCs w:val="false"/>
          <w:caps w:val="false"/>
          <w:smallCaps w:val="false"/>
          <w:color w:val="2A2A2A"/>
          <w:spacing w:val="0"/>
          <w:sz w:val="22"/>
          <w:szCs w:val="22"/>
          <w:lang w:val="en-US"/>
        </w:rPr>
        <w:t>today</w:t>
      </w:r>
      <w:r>
        <w:rPr>
          <w:rFonts w:eastAsia="Calibri" w:cs="Calibri" w:ascii="Calibri" w:hAnsi="Calibri"/>
          <w:b w:val="false"/>
          <w:bCs/>
          <w:i w:val="false"/>
          <w:iCs w:val="false"/>
          <w:caps w:val="false"/>
          <w:smallCaps w:val="false"/>
          <w:color w:val="2A2A2A"/>
          <w:spacing w:val="0"/>
          <w:sz w:val="22"/>
          <w:szCs w:val="22"/>
          <w:lang w:val="en-US"/>
        </w:rPr>
        <w:t xml:space="preserve">, a number of the Wiley-Blackwell Bible Commentaries are coauthored. </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i w:val="false"/>
          <w:iCs w:val="false"/>
          <w:caps w:val="false"/>
          <w:smallCaps w:val="false"/>
          <w:color w:val="2A2A2A"/>
          <w:spacing w:val="0"/>
          <w:sz w:val="22"/>
          <w:szCs w:val="22"/>
          <w:lang w:val="en-US"/>
        </w:rPr>
        <w:t>O</w:t>
      </w:r>
      <w:r>
        <w:rPr>
          <w:rFonts w:eastAsia="Calibri" w:cs="Calibri" w:ascii="Calibri" w:hAnsi="Calibri"/>
          <w:b w:val="false"/>
          <w:i w:val="false"/>
          <w:iCs w:val="false"/>
          <w:caps w:val="false"/>
          <w:smallCaps w:val="false"/>
          <w:color w:val="2A2A2A"/>
          <w:spacing w:val="0"/>
          <w:sz w:val="22"/>
          <w:szCs w:val="22"/>
          <w:lang w:val="en-US"/>
        </w:rPr>
        <w:t xml:space="preserve">n </w:t>
      </w:r>
      <w:r>
        <w:rPr>
          <w:rFonts w:eastAsia="Calibri" w:cs="Calibri" w:ascii="Calibri" w:hAnsi="Calibri"/>
          <w:b w:val="false"/>
          <w:i w:val="false"/>
          <w:iCs w:val="false"/>
          <w:caps w:val="false"/>
          <w:smallCaps w:val="false"/>
          <w:color w:val="2A2A2A"/>
          <w:spacing w:val="0"/>
          <w:sz w:val="22"/>
          <w:szCs w:val="22"/>
          <w:lang w:val="en-US"/>
        </w:rPr>
        <w:t xml:space="preserve">the other hand, one </w:t>
      </w:r>
      <w:r>
        <w:rPr>
          <w:rFonts w:eastAsia="Calibri" w:cs="Calibri" w:ascii="Calibri" w:hAnsi="Calibri"/>
          <w:b w:val="false"/>
          <w:i w:val="false"/>
          <w:iCs w:val="false"/>
          <w:caps w:val="false"/>
          <w:smallCaps w:val="false"/>
          <w:color w:val="2A2A2A"/>
          <w:spacing w:val="0"/>
          <w:sz w:val="22"/>
          <w:szCs w:val="22"/>
          <w:lang w:val="en-US"/>
        </w:rPr>
        <w:t xml:space="preserve">major risk in reception history according to </w:t>
      </w:r>
      <w:r>
        <w:rPr>
          <w:rFonts w:eastAsia="Calibri" w:cs="Calibri" w:ascii="Calibri" w:hAnsi="Calibri"/>
          <w:b w:val="false"/>
          <w:i w:val="false"/>
          <w:iCs w:val="false"/>
          <w:caps w:val="false"/>
          <w:smallCaps w:val="false"/>
          <w:color w:val="2A2A2A"/>
          <w:spacing w:val="0"/>
          <w:sz w:val="23"/>
          <w:szCs w:val="22"/>
          <w:lang w:val="en-US"/>
        </w:rPr>
        <w:t xml:space="preserve">Mark Knight, ‘is to place the equal sign between the biblical text and its various interpretations, in line with Gadamer’s idea that the text and its reader are co-participants in the hermeneutical </w:t>
      </w:r>
      <w:r>
        <w:rPr>
          <w:rFonts w:eastAsia="Calibri" w:cs="Calibri" w:ascii="Calibri" w:hAnsi="Calibri"/>
          <w:b w:val="false"/>
          <w:i w:val="false"/>
          <w:iCs w:val="false"/>
          <w:caps w:val="false"/>
          <w:smallCaps w:val="false"/>
          <w:color w:val="2A2A2A"/>
          <w:spacing w:val="0"/>
          <w:sz w:val="23"/>
          <w:szCs w:val="22"/>
          <w:lang w:val="en-US"/>
        </w:rPr>
        <w:t>dialogue</w:t>
      </w:r>
      <w:r>
        <w:rPr>
          <w:rFonts w:eastAsia="Calibri" w:cs="Calibri" w:ascii="Calibri" w:hAnsi="Calibri"/>
          <w:b w:val="false"/>
          <w:i w:val="false"/>
          <w:iCs w:val="false"/>
          <w:caps w:val="false"/>
          <w:smallCaps w:val="false"/>
          <w:color w:val="2A2A2A"/>
          <w:spacing w:val="0"/>
          <w:sz w:val="23"/>
          <w:szCs w:val="22"/>
          <w:lang w:val="en-US"/>
        </w:rPr>
        <w:t>.</w:t>
      </w:r>
      <w:r>
        <w:rPr>
          <w:rFonts w:eastAsia="Calibri" w:cs="Calibri" w:ascii="Calibri" w:hAnsi="Calibri"/>
          <w:b w:val="false"/>
          <w:i w:val="false"/>
          <w:iCs w:val="false"/>
          <w:caps w:val="false"/>
          <w:smallCaps w:val="false"/>
          <w:color w:val="2A2A2A"/>
          <w:spacing w:val="0"/>
          <w:sz w:val="22"/>
          <w:szCs w:val="22"/>
          <w:lang w:val="en-US"/>
        </w:rPr>
        <w:t xml:space="preserve"> </w:t>
      </w:r>
      <w:r>
        <w:rPr>
          <w:rStyle w:val="FootnoteAnchor"/>
          <w:rFonts w:eastAsia="Calibri" w:cs="Calibri" w:ascii="Calibri" w:hAnsi="Calibri"/>
          <w:b w:val="false"/>
          <w:i w:val="false"/>
          <w:iCs w:val="false"/>
          <w:caps w:val="false"/>
          <w:smallCaps w:val="false"/>
          <w:color w:val="2A2A2A"/>
          <w:spacing w:val="0"/>
          <w:sz w:val="22"/>
          <w:szCs w:val="22"/>
          <w:lang w:val="en-US"/>
        </w:rPr>
        <w:footnoteReference w:id="17"/>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i w:val="false"/>
          <w:iCs w:val="false"/>
          <w:caps w:val="false"/>
          <w:smallCaps w:val="false"/>
          <w:color w:val="2A2A2A"/>
          <w:spacing w:val="0"/>
          <w:sz w:val="22"/>
          <w:szCs w:val="22"/>
          <w:lang w:val="en-US"/>
        </w:rPr>
        <w:t xml:space="preserve">Another </w:t>
      </w:r>
      <w:r>
        <w:rPr>
          <w:rFonts w:eastAsia="Calibri" w:cs="Calibri" w:ascii="Calibri" w:hAnsi="Calibri"/>
          <w:b w:val="false"/>
          <w:i w:val="false"/>
          <w:iCs w:val="false"/>
          <w:caps w:val="false"/>
          <w:smallCaps w:val="false"/>
          <w:color w:val="2A2A2A"/>
          <w:spacing w:val="0"/>
          <w:sz w:val="23"/>
          <w:szCs w:val="22"/>
          <w:lang w:val="en-US"/>
        </w:rPr>
        <w:t>challenge is</w:t>
      </w:r>
      <w:r>
        <w:rPr>
          <w:rFonts w:eastAsia="Calibri" w:cs="Calibri" w:ascii="Calibri" w:hAnsi="Calibri"/>
          <w:b w:val="false"/>
          <w:i w:val="false"/>
          <w:iCs w:val="false"/>
          <w:caps w:val="false"/>
          <w:smallCaps w:val="false"/>
          <w:color w:val="2A2A2A"/>
          <w:spacing w:val="0"/>
          <w:sz w:val="23"/>
          <w:szCs w:val="22"/>
          <w:lang w:val="en-US"/>
        </w:rPr>
        <w:t xml:space="preserve"> the contextualization of exegetical sources’. The danger </w:t>
      </w:r>
      <w:r>
        <w:rPr>
          <w:rFonts w:eastAsia="Calibri" w:cs="Calibri" w:ascii="Calibri" w:hAnsi="Calibri"/>
          <w:b w:val="false"/>
          <w:i w:val="false"/>
          <w:iCs w:val="false"/>
          <w:caps w:val="false"/>
          <w:smallCaps w:val="false"/>
          <w:color w:val="2A2A2A"/>
          <w:spacing w:val="0"/>
          <w:sz w:val="23"/>
          <w:szCs w:val="22"/>
          <w:lang w:val="en-US"/>
        </w:rPr>
        <w:t>in this</w:t>
      </w:r>
      <w:r>
        <w:rPr>
          <w:rFonts w:eastAsia="Calibri" w:cs="Calibri" w:ascii="Calibri" w:hAnsi="Calibri"/>
          <w:b w:val="false"/>
          <w:i w:val="false"/>
          <w:iCs w:val="false"/>
          <w:caps w:val="false"/>
          <w:smallCaps w:val="false"/>
          <w:color w:val="2A2A2A"/>
          <w:spacing w:val="0"/>
          <w:sz w:val="23"/>
          <w:szCs w:val="22"/>
          <w:lang w:val="en-US"/>
        </w:rPr>
        <w:t xml:space="preserve"> is detaching the source from its environment in an attempt to</w:t>
      </w:r>
      <w:bookmarkStart w:id="1" w:name="jumplink-oxfordhb-9780190948658-e-10-mil"/>
      <w:bookmarkEnd w:id="1"/>
      <w:r>
        <w:rPr>
          <w:rFonts w:eastAsia="Calibri" w:cs="Calibri" w:ascii="Calibri" w:hAnsi="Calibri"/>
          <w:b w:val="false"/>
          <w:i w:val="false"/>
          <w:iCs w:val="false"/>
          <w:caps w:val="false"/>
          <w:smallCaps w:val="false"/>
          <w:color w:val="2A2A2A"/>
          <w:spacing w:val="0"/>
          <w:sz w:val="23"/>
          <w:szCs w:val="22"/>
          <w:lang w:val="en-US"/>
        </w:rPr>
        <w:t xml:space="preserve"> actualize it, and thus misreading or misusing its meaning and significance’.</w:t>
      </w:r>
      <w:bookmarkStart w:id="2" w:name="jumplink-oxfordhb-9780190948658-e-10-not"/>
      <w:bookmarkEnd w:id="2"/>
      <w:r>
        <w:rPr>
          <w:rStyle w:val="FootnoteAnchor"/>
          <w:rFonts w:eastAsia="Calibri" w:cs="Calibri" w:ascii="Calibri" w:hAnsi="Calibri"/>
          <w:b w:val="false"/>
          <w:i w:val="false"/>
          <w:iCs w:val="false"/>
          <w:caps w:val="false"/>
          <w:smallCaps w:val="false"/>
          <w:color w:val="2A2A2A"/>
          <w:spacing w:val="0"/>
          <w:sz w:val="23"/>
          <w:szCs w:val="22"/>
          <w:lang w:val="en-US"/>
        </w:rPr>
        <w:footnoteReference w:id="18"/>
      </w:r>
      <w:r>
        <w:rPr>
          <w:rFonts w:eastAsia="Calibri" w:cs="Calibri" w:ascii="Calibri" w:hAnsi="Calibri"/>
          <w:b w:val="false"/>
          <w:i w:val="false"/>
          <w:iCs w:val="false"/>
          <w:caps w:val="false"/>
          <w:smallCaps w:val="false"/>
          <w:color w:val="2A2A2A"/>
          <w:spacing w:val="0"/>
          <w:sz w:val="23"/>
          <w:szCs w:val="22"/>
          <w:lang w:val="en-US"/>
        </w:rPr>
        <w:t xml:space="preserve"> </w:t>
      </w:r>
      <w:r>
        <w:rPr>
          <w:rFonts w:eastAsia="Calibri" w:cs="Calibri" w:ascii="Calibri" w:hAnsi="Calibri"/>
          <w:b w:val="false"/>
          <w:i w:val="false"/>
          <w:iCs w:val="false"/>
          <w:caps w:val="false"/>
          <w:smallCaps w:val="false"/>
          <w:color w:val="2A2A2A"/>
          <w:spacing w:val="0"/>
          <w:sz w:val="22"/>
          <w:szCs w:val="22"/>
          <w:lang w:val="en-US"/>
        </w:rPr>
        <w:t xml:space="preserve">Brennan however, </w:t>
      </w:r>
      <w:r>
        <w:rPr>
          <w:rFonts w:eastAsia="Calibri" w:cs="Calibri" w:ascii="Calibri" w:hAnsi="Calibri"/>
          <w:b w:val="false"/>
          <w:i w:val="false"/>
          <w:iCs w:val="false"/>
          <w:caps w:val="false"/>
          <w:smallCaps w:val="false"/>
          <w:color w:val="2A2A2A"/>
          <w:spacing w:val="0"/>
          <w:sz w:val="23"/>
          <w:szCs w:val="22"/>
          <w:lang w:val="en-US"/>
        </w:rPr>
        <w:t>call for</w:t>
      </w:r>
      <w:r>
        <w:rPr>
          <w:rFonts w:eastAsia="Calibri" w:cs="Calibri" w:ascii="Calibri" w:hAnsi="Calibri"/>
          <w:b w:val="false"/>
          <w:i w:val="false"/>
          <w:iCs w:val="false"/>
          <w:caps w:val="false"/>
          <w:smallCaps w:val="false"/>
          <w:color w:val="2A2A2A"/>
          <w:spacing w:val="0"/>
          <w:sz w:val="23"/>
          <w:szCs w:val="22"/>
          <w:lang w:val="en-US"/>
        </w:rPr>
        <w:t xml:space="preserve"> scholar</w:t>
      </w:r>
      <w:r>
        <w:rPr>
          <w:rFonts w:eastAsia="Calibri" w:cs="Calibri" w:ascii="Calibri" w:hAnsi="Calibri"/>
          <w:b w:val="false"/>
          <w:i w:val="false"/>
          <w:iCs w:val="false"/>
          <w:caps w:val="false"/>
          <w:smallCaps w:val="false"/>
          <w:color w:val="2A2A2A"/>
          <w:spacing w:val="0"/>
          <w:sz w:val="23"/>
          <w:szCs w:val="22"/>
          <w:lang w:val="en-US"/>
        </w:rPr>
        <w:t>s</w:t>
      </w:r>
      <w:r>
        <w:rPr>
          <w:rFonts w:eastAsia="Calibri" w:cs="Calibri" w:ascii="Calibri" w:hAnsi="Calibri"/>
          <w:b w:val="false"/>
          <w:i w:val="false"/>
          <w:iCs w:val="false"/>
          <w:caps w:val="false"/>
          <w:smallCaps w:val="false"/>
          <w:color w:val="2A2A2A"/>
          <w:spacing w:val="0"/>
          <w:sz w:val="23"/>
          <w:szCs w:val="22"/>
          <w:lang w:val="en-US"/>
        </w:rPr>
        <w:t xml:space="preserve"> to immerse themselves in the world of their source and to ensure that its </w:t>
      </w:r>
      <w:r>
        <w:rPr>
          <w:rFonts w:eastAsia="Calibri" w:cs="Calibri" w:ascii="Calibri" w:hAnsi="Calibri"/>
          <w:b w:val="false"/>
          <w:i w:val="false"/>
          <w:iCs w:val="false"/>
          <w:caps w:val="false"/>
          <w:smallCaps w:val="false"/>
          <w:color w:val="2A2A2A"/>
          <w:spacing w:val="0"/>
          <w:sz w:val="23"/>
          <w:szCs w:val="22"/>
          <w:lang w:val="en-US"/>
        </w:rPr>
        <w:t>environment</w:t>
      </w:r>
      <w:r>
        <w:rPr>
          <w:rFonts w:eastAsia="Calibri" w:cs="Calibri" w:ascii="Calibri" w:hAnsi="Calibri"/>
          <w:b w:val="false"/>
          <w:i w:val="false"/>
          <w:iCs w:val="false"/>
          <w:caps w:val="false"/>
          <w:smallCaps w:val="false"/>
          <w:color w:val="2A2A2A"/>
          <w:spacing w:val="0"/>
          <w:sz w:val="23"/>
          <w:szCs w:val="22"/>
          <w:lang w:val="en-US"/>
        </w:rPr>
        <w:t xml:space="preserve"> is appropriately presented.</w:t>
      </w:r>
      <w:r>
        <w:rPr>
          <w:rFonts w:eastAsia="Calibri" w:cs="Calibri" w:ascii="Calibri" w:hAnsi="Calibri"/>
          <w:b w:val="false"/>
          <w:i w:val="false"/>
          <w:iCs w:val="false"/>
          <w:caps w:val="false"/>
          <w:smallCaps w:val="false"/>
          <w:color w:val="2A2A2A"/>
          <w:spacing w:val="0"/>
          <w:sz w:val="22"/>
          <w:szCs w:val="22"/>
          <w:lang w:val="en-US"/>
        </w:rPr>
        <w:t xml:space="preserve"> </w:t>
      </w:r>
    </w:p>
    <w:p>
      <w:pPr>
        <w:pStyle w:val="Normal"/>
        <w:bidi w:val="0"/>
        <w:spacing w:lineRule="auto" w:line="259" w:beforeAutospacing="0" w:before="0" w:afterAutospacing="0" w:after="160"/>
        <w:ind w:left="0" w:right="0" w:hanging="0"/>
        <w:jc w:val="left"/>
        <w:rPr>
          <w:rFonts w:ascii="Calibri" w:hAnsi="Calibri"/>
          <w:b/>
          <w:b/>
          <w:bCs/>
        </w:rPr>
      </w:pPr>
      <w:r>
        <w:rPr>
          <w:rFonts w:eastAsia="Calibri" w:cs="Calibri" w:ascii="Calibri" w:hAnsi="Calibri"/>
          <w:b/>
          <w:bCs/>
          <w:i w:val="false"/>
          <w:iCs w:val="false"/>
          <w:caps w:val="false"/>
          <w:smallCaps w:val="false"/>
          <w:color w:val="2A2A2A"/>
          <w:spacing w:val="0"/>
          <w:sz w:val="22"/>
          <w:szCs w:val="22"/>
          <w:lang w:val="en-US"/>
        </w:rPr>
        <w:t>Conclusion</w:t>
      </w:r>
    </w:p>
    <w:p>
      <w:pPr>
        <w:pStyle w:val="Normal"/>
        <w:bidi w:val="0"/>
        <w:spacing w:lineRule="auto" w:line="259" w:beforeAutospacing="0" w:before="0" w:afterAutospacing="0" w:after="160"/>
        <w:ind w:left="0" w:right="0" w:hanging="0"/>
        <w:jc w:val="left"/>
        <w:rPr>
          <w:rFonts w:ascii="Calibri" w:hAnsi="Calibri"/>
        </w:rPr>
      </w:pPr>
      <w:r>
        <w:rPr>
          <w:rFonts w:eastAsia="Calibri" w:cs="Calibri" w:ascii="Calibri" w:hAnsi="Calibri"/>
          <w:b w:val="false"/>
          <w:bCs w:val="false"/>
          <w:i w:val="false"/>
          <w:iCs w:val="false"/>
          <w:caps w:val="false"/>
          <w:smallCaps w:val="false"/>
          <w:color w:val="2A2A2A"/>
          <w:spacing w:val="0"/>
          <w:sz w:val="22"/>
          <w:szCs w:val="22"/>
          <w:lang w:val="en-US"/>
        </w:rPr>
        <w:t xml:space="preserve">In summary,  </w:t>
      </w:r>
      <w:r>
        <w:rPr>
          <w:rFonts w:eastAsia="Calibri" w:cs="Calibri" w:ascii="Calibri" w:hAnsi="Calibri"/>
          <w:b w:val="false"/>
          <w:bCs w:val="false"/>
          <w:i w:val="false"/>
          <w:iCs w:val="false"/>
          <w:caps w:val="false"/>
          <w:smallCaps w:val="false"/>
          <w:color w:val="2A2A2A"/>
          <w:spacing w:val="0"/>
          <w:sz w:val="22"/>
          <w:szCs w:val="22"/>
          <w:lang w:val="en-US"/>
        </w:rPr>
        <w:t xml:space="preserve">reception history is a </w:t>
      </w:r>
      <w:r>
        <w:rPr>
          <w:rFonts w:eastAsia="Calibri" w:cs="Calibri" w:ascii="Calibri" w:hAnsi="Calibri"/>
          <w:b w:val="false"/>
          <w:bCs w:val="false"/>
          <w:i w:val="false"/>
          <w:iCs w:val="false"/>
          <w:caps w:val="false"/>
          <w:smallCaps w:val="false"/>
          <w:color w:val="2A2A2A"/>
          <w:spacing w:val="0"/>
          <w:sz w:val="22"/>
          <w:szCs w:val="22"/>
          <w:lang w:val="en-US"/>
        </w:rPr>
        <w:t xml:space="preserve">‘relatively new development in the field of biblical interpretation </w:t>
      </w:r>
      <w:r>
        <w:rPr>
          <w:rFonts w:eastAsia="Calibri" w:cs="Calibri" w:ascii="Calibri" w:hAnsi="Calibri"/>
          <w:b w:val="false"/>
          <w:bCs w:val="false"/>
          <w:i w:val="false"/>
          <w:iCs w:val="false"/>
          <w:caps w:val="false"/>
          <w:smallCaps w:val="false"/>
          <w:color w:val="2A2A2A"/>
          <w:spacing w:val="0"/>
          <w:sz w:val="22"/>
          <w:szCs w:val="22"/>
          <w:lang w:val="en-US"/>
        </w:rPr>
        <w:t xml:space="preserve">but has taken the world of biblical interpretation </w:t>
      </w:r>
      <w:r>
        <w:rPr>
          <w:rFonts w:eastAsia="Calibri" w:cs="Calibri" w:ascii="Calibri" w:hAnsi="Calibri"/>
          <w:b w:val="false"/>
          <w:bCs w:val="false"/>
          <w:i w:val="false"/>
          <w:iCs w:val="false"/>
          <w:caps w:val="false"/>
          <w:smallCaps w:val="false"/>
          <w:color w:val="2A2A2A"/>
          <w:spacing w:val="0"/>
          <w:sz w:val="22"/>
          <w:szCs w:val="22"/>
          <w:lang w:val="en-US"/>
        </w:rPr>
        <w:t>and studies</w:t>
      </w:r>
      <w:r>
        <w:rPr>
          <w:rFonts w:eastAsia="Calibri" w:cs="Calibri" w:ascii="Calibri" w:hAnsi="Calibri"/>
          <w:b w:val="false"/>
          <w:bCs w:val="false"/>
          <w:i w:val="false"/>
          <w:iCs w:val="false"/>
          <w:caps w:val="false"/>
          <w:smallCaps w:val="false"/>
          <w:color w:val="2A2A2A"/>
          <w:spacing w:val="0"/>
          <w:sz w:val="22"/>
          <w:szCs w:val="22"/>
          <w:lang w:val="en-US"/>
        </w:rPr>
        <w:t xml:space="preserve"> by storm</w:t>
      </w:r>
      <w:r>
        <w:rPr>
          <w:rFonts w:eastAsia="Calibri" w:cs="Calibri" w:ascii="Calibri" w:hAnsi="Calibri"/>
          <w:b w:val="false"/>
          <w:bCs w:val="false"/>
          <w:i w:val="false"/>
          <w:iCs w:val="false"/>
          <w:caps w:val="false"/>
          <w:smallCaps w:val="false"/>
          <w:color w:val="2A2A2A"/>
          <w:spacing w:val="0"/>
          <w:sz w:val="22"/>
          <w:szCs w:val="22"/>
          <w:lang w:val="en-US"/>
        </w:rPr>
        <w:t>.</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Calibri" w:cs="Calibri" w:ascii="Calibri" w:hAnsi="Calibri"/>
          <w:b w:val="false"/>
          <w:bCs w:val="false"/>
          <w:i w:val="false"/>
          <w:iCs w:val="false"/>
          <w:caps w:val="false"/>
          <w:smallCaps w:val="false"/>
          <w:color w:val="2A2A2A"/>
          <w:spacing w:val="0"/>
          <w:sz w:val="22"/>
          <w:szCs w:val="22"/>
          <w:lang w:val="en-US"/>
        </w:rPr>
        <w:t>Reflecting on reception history, my thoughts are in the correct inter</w:t>
      </w:r>
      <w:r>
        <w:rPr>
          <w:rFonts w:eastAsia="Calibri" w:cs="Calibri" w:ascii="Calibri" w:hAnsi="Calibri"/>
          <w:b w:val="false"/>
          <w:bCs w:val="false"/>
          <w:i w:val="false"/>
          <w:iCs w:val="false"/>
          <w:caps w:val="false"/>
          <w:smallCaps w:val="false"/>
          <w:color w:val="2A2A2A"/>
          <w:spacing w:val="0"/>
          <w:sz w:val="22"/>
          <w:szCs w:val="22"/>
          <w:lang w:val="en-US"/>
        </w:rPr>
        <w:t xml:space="preserve">pretation of </w:t>
      </w:r>
      <w:r>
        <w:rPr>
          <w:rFonts w:eastAsia="Calibri" w:cs="Calibri" w:ascii="Calibri" w:hAnsi="Calibri"/>
          <w:b w:val="false"/>
          <w:bCs w:val="false"/>
          <w:i w:val="false"/>
          <w:iCs w:val="false"/>
          <w:caps w:val="false"/>
          <w:smallCaps w:val="false"/>
          <w:color w:val="2A2A2A"/>
          <w:spacing w:val="0"/>
          <w:sz w:val="22"/>
          <w:szCs w:val="22"/>
          <w:lang w:val="en-US"/>
        </w:rPr>
        <w:t>biblical</w:t>
      </w:r>
      <w:r>
        <w:rPr>
          <w:rFonts w:eastAsia="Calibri" w:cs="Calibri" w:ascii="Calibri" w:hAnsi="Calibri"/>
          <w:b w:val="false"/>
          <w:bCs w:val="false"/>
          <w:i w:val="false"/>
          <w:iCs w:val="false"/>
          <w:caps w:val="false"/>
          <w:smallCaps w:val="false"/>
          <w:color w:val="2A2A2A"/>
          <w:spacing w:val="0"/>
          <w:sz w:val="22"/>
          <w:szCs w:val="22"/>
          <w:lang w:val="en-US"/>
        </w:rPr>
        <w:t xml:space="preserve"> text</w:t>
      </w:r>
      <w:r>
        <w:rPr>
          <w:rFonts w:eastAsia="Calibri" w:cs="Calibri" w:ascii="Calibri" w:hAnsi="Calibri"/>
          <w:b w:val="false"/>
          <w:bCs w:val="false"/>
          <w:i w:val="false"/>
          <w:iCs w:val="false"/>
          <w:caps w:val="false"/>
          <w:smallCaps w:val="false"/>
          <w:color w:val="2A2A2A"/>
          <w:spacing w:val="0"/>
          <w:sz w:val="22"/>
          <w:szCs w:val="22"/>
          <w:lang w:val="en-US"/>
        </w:rPr>
        <w:t>s</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Calibri" w:cs="Calibri" w:ascii="Calibri" w:hAnsi="Calibri"/>
          <w:b w:val="false"/>
          <w:bCs w:val="false"/>
          <w:i w:val="false"/>
          <w:iCs w:val="false"/>
          <w:caps w:val="false"/>
          <w:smallCaps w:val="false"/>
          <w:color w:val="2A2A2A"/>
          <w:spacing w:val="0"/>
          <w:sz w:val="22"/>
          <w:szCs w:val="22"/>
          <w:lang w:val="en-US"/>
        </w:rPr>
        <w:t xml:space="preserve">The mindset </w:t>
      </w:r>
      <w:r>
        <w:rPr>
          <w:rFonts w:eastAsia="Calibri" w:cs="Calibri" w:ascii="Calibri" w:hAnsi="Calibri"/>
          <w:b w:val="false"/>
          <w:bCs w:val="false"/>
          <w:i w:val="false"/>
          <w:iCs w:val="false"/>
          <w:caps w:val="false"/>
          <w:smallCaps w:val="false"/>
          <w:color w:val="2A2A2A"/>
          <w:spacing w:val="0"/>
          <w:sz w:val="22"/>
          <w:szCs w:val="22"/>
          <w:lang w:val="en-US"/>
        </w:rPr>
        <w:t xml:space="preserve">in biblical </w:t>
      </w:r>
      <w:r>
        <w:rPr>
          <w:rFonts w:eastAsia="Merriweather" w:cs="Merriweather" w:ascii="Calibri" w:hAnsi="Calibri"/>
          <w:b w:val="false"/>
          <w:bCs/>
          <w:i w:val="false"/>
          <w:iCs w:val="false"/>
          <w:caps w:val="false"/>
          <w:smallCaps w:val="false"/>
          <w:color w:val="2A2A2A"/>
          <w:spacing w:val="0"/>
          <w:sz w:val="22"/>
          <w:szCs w:val="22"/>
          <w:lang w:val="en-US"/>
        </w:rPr>
        <w:t>heme</w:t>
      </w:r>
      <w:r>
        <w:rPr>
          <w:rFonts w:eastAsia="Merriweather" w:cs="Merriweather" w:ascii="Calibri" w:hAnsi="Calibri"/>
          <w:b w:val="false"/>
          <w:bCs/>
          <w:i w:val="false"/>
          <w:iCs w:val="false"/>
          <w:caps w:val="false"/>
          <w:smallCaps w:val="false"/>
          <w:color w:val="2A2A2A"/>
          <w:spacing w:val="0"/>
          <w:sz w:val="22"/>
          <w:szCs w:val="22"/>
          <w:lang w:val="en-US"/>
        </w:rPr>
        <w:t>ne</w:t>
      </w:r>
      <w:r>
        <w:rPr>
          <w:rFonts w:eastAsia="Merriweather" w:cs="Merriweather" w:ascii="Calibri" w:hAnsi="Calibri"/>
          <w:b w:val="false"/>
          <w:bCs/>
          <w:i w:val="false"/>
          <w:iCs w:val="false"/>
          <w:caps w:val="false"/>
          <w:smallCaps w:val="false"/>
          <w:color w:val="2A2A2A"/>
          <w:spacing w:val="0"/>
          <w:sz w:val="22"/>
          <w:szCs w:val="22"/>
          <w:lang w:val="en-US"/>
        </w:rPr>
        <w:t>utic</w:t>
      </w:r>
      <w:r>
        <w:rPr>
          <w:rFonts w:eastAsia="Merriweather" w:cs="Merriweather" w:ascii="Calibri" w:hAnsi="Calibri"/>
          <w:b w:val="false"/>
          <w:bCs/>
          <w:i w:val="false"/>
          <w:iCs w:val="false"/>
          <w:caps w:val="false"/>
          <w:smallCaps w:val="false"/>
          <w:color w:val="2A2A2A"/>
          <w:spacing w:val="0"/>
          <w:sz w:val="22"/>
          <w:szCs w:val="22"/>
          <w:lang w:val="en-US"/>
        </w:rPr>
        <w:t>s</w:t>
      </w:r>
      <w:r>
        <w:rPr>
          <w:rFonts w:eastAsia="Calibri" w:cs="Calibri" w:ascii="Calibri" w:hAnsi="Calibri"/>
          <w:b w:val="false"/>
          <w:bCs w:val="false"/>
          <w:i w:val="false"/>
          <w:iCs w:val="false"/>
          <w:caps w:val="false"/>
          <w:smallCaps w:val="false"/>
          <w:color w:val="2A2A2A"/>
          <w:spacing w:val="0"/>
          <w:sz w:val="22"/>
          <w:szCs w:val="22"/>
          <w:lang w:val="en-US"/>
        </w:rPr>
        <w:t xml:space="preserve"> must center around the word of God </w:t>
      </w:r>
      <w:r>
        <w:rPr>
          <w:rFonts w:eastAsia="Calibri" w:cs="Calibri" w:ascii="Calibri" w:hAnsi="Calibri"/>
          <w:b w:val="false"/>
          <w:bCs w:val="false"/>
          <w:i w:val="false"/>
          <w:iCs w:val="false"/>
          <w:caps w:val="false"/>
          <w:smallCaps w:val="false"/>
          <w:color w:val="2A2A2A"/>
          <w:spacing w:val="0"/>
          <w:sz w:val="22"/>
          <w:szCs w:val="22"/>
          <w:lang w:val="en-US"/>
        </w:rPr>
        <w:t xml:space="preserve">to achieve the correct interpretation, </w:t>
      </w:r>
      <w:r>
        <w:rPr>
          <w:rFonts w:eastAsia="Calibri" w:cs="Calibri" w:ascii="Calibri" w:hAnsi="Calibri"/>
          <w:b w:val="false"/>
          <w:bCs w:val="false"/>
          <w:i w:val="false"/>
          <w:iCs w:val="false"/>
          <w:caps w:val="false"/>
          <w:smallCaps w:val="false"/>
          <w:color w:val="2A2A2A"/>
          <w:spacing w:val="0"/>
          <w:sz w:val="22"/>
          <w:szCs w:val="22"/>
          <w:lang w:val="en-US"/>
        </w:rPr>
        <w:t xml:space="preserve">in </w:t>
      </w:r>
      <w:r>
        <w:rPr>
          <w:rFonts w:eastAsia="Calibri" w:cs="Calibri" w:ascii="Calibri" w:hAnsi="Calibri"/>
          <w:b w:val="false"/>
          <w:bCs w:val="false"/>
          <w:i w:val="false"/>
          <w:iCs w:val="false"/>
          <w:caps w:val="false"/>
          <w:smallCaps w:val="false"/>
          <w:color w:val="2A2A2A"/>
          <w:spacing w:val="0"/>
          <w:sz w:val="22"/>
          <w:szCs w:val="22"/>
          <w:lang w:val="en-US"/>
        </w:rPr>
        <w:t>P</w:t>
      </w:r>
      <w:r>
        <w:rPr>
          <w:rFonts w:eastAsia="Calibri" w:cs="Calibri" w:ascii="Calibri" w:hAnsi="Calibri"/>
          <w:b w:val="false"/>
          <w:bCs w:val="false"/>
          <w:i w:val="false"/>
          <w:iCs w:val="false"/>
          <w:caps w:val="false"/>
          <w:smallCaps w:val="false"/>
          <w:color w:val="2A2A2A"/>
          <w:spacing w:val="0"/>
          <w:sz w:val="22"/>
          <w:szCs w:val="22"/>
          <w:lang w:val="en-US"/>
        </w:rPr>
        <w:t>salm 19:</w:t>
      </w:r>
      <w:r>
        <w:rPr>
          <w:rFonts w:eastAsia="Calibri" w:cs="Calibri" w:ascii="Calibri" w:hAnsi="Calibri"/>
          <w:b w:val="false"/>
          <w:bCs w:val="false"/>
          <w:i w:val="false"/>
          <w:iCs w:val="false"/>
          <w:caps w:val="false"/>
          <w:smallCaps w:val="false"/>
          <w:color w:val="2A2A2A"/>
          <w:spacing w:val="0"/>
          <w:sz w:val="22"/>
          <w:szCs w:val="22"/>
          <w:lang w:val="en-US"/>
        </w:rPr>
        <w:t>8</w:t>
      </w:r>
      <w:r>
        <w:rPr>
          <w:rFonts w:eastAsia="Calibri" w:cs="Calibri" w:ascii="Calibri" w:hAnsi="Calibri"/>
          <w:b w:val="false"/>
          <w:bCs w:val="false"/>
          <w:i w:val="false"/>
          <w:iCs w:val="false"/>
          <w:caps w:val="false"/>
          <w:smallCaps w:val="false"/>
          <w:color w:val="2A2A2A"/>
          <w:spacing w:val="0"/>
          <w:sz w:val="22"/>
          <w:szCs w:val="22"/>
          <w:lang w:val="en-US"/>
        </w:rPr>
        <w:t xml:space="preserve"> David states, ‘The precepts of the LORD </w:t>
      </w:r>
      <w:r>
        <w:rPr>
          <w:rFonts w:eastAsia="Calibri" w:cs="Calibri" w:ascii="Calibri" w:hAnsi="Calibri"/>
          <w:b w:val="false"/>
          <w:bCs w:val="false"/>
          <w:i w:val="false"/>
          <w:iCs w:val="false"/>
          <w:caps w:val="false"/>
          <w:smallCaps w:val="false"/>
          <w:color w:val="2A2A2A"/>
          <w:spacing w:val="0"/>
          <w:sz w:val="22"/>
          <w:szCs w:val="22"/>
          <w:lang w:val="en-US"/>
        </w:rPr>
        <w:t>are</w:t>
      </w:r>
      <w:r>
        <w:rPr>
          <w:rFonts w:eastAsia="Calibri" w:cs="Calibri" w:ascii="Calibri" w:hAnsi="Calibri"/>
          <w:b w:val="false"/>
          <w:bCs w:val="false"/>
          <w:i w:val="false"/>
          <w:iCs w:val="false"/>
          <w:caps w:val="false"/>
          <w:smallCaps w:val="false"/>
          <w:color w:val="2A2A2A"/>
          <w:spacing w:val="0"/>
          <w:sz w:val="22"/>
          <w:szCs w:val="22"/>
          <w:lang w:val="en-US"/>
        </w:rPr>
        <w:t xml:space="preserve"> right….’  </w:t>
      </w:r>
      <w:r>
        <w:rPr>
          <w:rFonts w:eastAsia="Calibri" w:cs="Calibri" w:ascii="Calibri" w:hAnsi="Calibri"/>
          <w:b w:val="false"/>
          <w:bCs w:val="false"/>
          <w:i w:val="false"/>
          <w:iCs w:val="false"/>
          <w:caps w:val="false"/>
          <w:smallCaps w:val="false"/>
          <w:color w:val="2A2A2A"/>
          <w:spacing w:val="0"/>
          <w:sz w:val="22"/>
          <w:szCs w:val="22"/>
          <w:lang w:val="en-US"/>
        </w:rPr>
        <w:t xml:space="preserve">meaning every word of God </w:t>
      </w:r>
      <w:r>
        <w:rPr>
          <w:rFonts w:eastAsia="Calibri" w:cs="Calibri" w:ascii="Calibri" w:hAnsi="Calibri"/>
          <w:b w:val="false"/>
          <w:bCs w:val="false"/>
          <w:i w:val="false"/>
          <w:iCs w:val="false"/>
          <w:caps w:val="false"/>
          <w:smallCaps w:val="false"/>
          <w:color w:val="2A2A2A"/>
          <w:spacing w:val="0"/>
          <w:sz w:val="22"/>
          <w:szCs w:val="22"/>
          <w:lang w:val="en-US"/>
        </w:rPr>
        <w:t>is</w:t>
      </w:r>
      <w:r>
        <w:rPr>
          <w:rFonts w:eastAsia="Calibri" w:cs="Calibri" w:ascii="Calibri" w:hAnsi="Calibri"/>
          <w:b w:val="false"/>
          <w:bCs w:val="false"/>
          <w:i w:val="false"/>
          <w:iCs w:val="false"/>
          <w:caps w:val="false"/>
          <w:smallCaps w:val="false"/>
          <w:color w:val="2A2A2A"/>
          <w:spacing w:val="0"/>
          <w:sz w:val="22"/>
          <w:szCs w:val="22"/>
          <w:lang w:val="en-US"/>
        </w:rPr>
        <w:t xml:space="preserve"> right.</w:t>
      </w:r>
      <w:r>
        <w:rPr>
          <w:rFonts w:eastAsia="Calibri" w:cs="Calibri" w:ascii="Calibri" w:hAnsi="Calibri"/>
          <w:b w:val="false"/>
          <w:bCs w:val="false"/>
          <w:i w:val="false"/>
          <w:iCs w:val="false"/>
          <w:caps w:val="false"/>
          <w:smallCaps w:val="false"/>
          <w:color w:val="2A2A2A"/>
          <w:spacing w:val="0"/>
          <w:sz w:val="22"/>
          <w:szCs w:val="22"/>
          <w:lang w:val="en-US"/>
        </w:rPr>
        <w:t xml:space="preserve"> In</w:t>
      </w:r>
      <w:r>
        <w:rPr>
          <w:rFonts w:eastAsia="Calibri" w:cs="Calibri" w:ascii="Calibri" w:hAnsi="Calibri"/>
          <w:b w:val="false"/>
          <w:bCs w:val="false"/>
          <w:i w:val="false"/>
          <w:iCs w:val="false"/>
          <w:caps w:val="false"/>
          <w:smallCaps w:val="false"/>
          <w:color w:val="2A2A2A"/>
          <w:spacing w:val="0"/>
          <w:sz w:val="22"/>
          <w:szCs w:val="22"/>
          <w:lang w:val="en-US"/>
        </w:rPr>
        <w:t xml:space="preserve"> my opinion, this</w:t>
      </w:r>
      <w:r>
        <w:rPr>
          <w:rFonts w:eastAsia="Calibri" w:cs="Calibri" w:ascii="Calibri" w:hAnsi="Calibri"/>
          <w:b w:val="false"/>
          <w:bCs w:val="false"/>
          <w:i w:val="false"/>
          <w:iCs w:val="false"/>
          <w:caps w:val="false"/>
          <w:smallCaps w:val="false"/>
          <w:color w:val="2A2A2A"/>
          <w:spacing w:val="0"/>
          <w:sz w:val="22"/>
          <w:szCs w:val="22"/>
          <w:lang w:val="en-US"/>
        </w:rPr>
        <w:t xml:space="preserve"> </w:t>
      </w:r>
      <w:r>
        <w:rPr>
          <w:rFonts w:eastAsia="Calibri" w:cs="Calibri" w:ascii="Calibri" w:hAnsi="Calibri"/>
          <w:b w:val="false"/>
          <w:bCs w:val="false"/>
          <w:i w:val="false"/>
          <w:iCs w:val="false"/>
          <w:caps w:val="false"/>
          <w:smallCaps w:val="false"/>
          <w:color w:val="2A2A2A"/>
          <w:spacing w:val="0"/>
          <w:sz w:val="22"/>
          <w:szCs w:val="22"/>
          <w:lang w:val="en-US"/>
        </w:rPr>
        <w:t xml:space="preserve">must </w:t>
      </w:r>
      <w:r>
        <w:rPr>
          <w:rFonts w:eastAsia="Calibri" w:cs="Calibri" w:ascii="Calibri" w:hAnsi="Calibri"/>
          <w:b w:val="false"/>
          <w:bCs w:val="false"/>
          <w:i w:val="false"/>
          <w:iCs w:val="false"/>
          <w:caps w:val="false"/>
          <w:smallCaps w:val="false"/>
          <w:color w:val="2A2A2A"/>
          <w:spacing w:val="0"/>
          <w:sz w:val="22"/>
          <w:szCs w:val="22"/>
          <w:lang w:val="en-US"/>
        </w:rPr>
        <w:t xml:space="preserve">be the </w:t>
      </w:r>
      <w:r>
        <w:rPr>
          <w:rFonts w:eastAsia="Calibri" w:cs="Calibri" w:ascii="Calibri" w:hAnsi="Calibri"/>
          <w:b w:val="false"/>
          <w:bCs w:val="false"/>
          <w:i w:val="false"/>
          <w:iCs w:val="false"/>
          <w:caps w:val="false"/>
          <w:smallCaps w:val="false"/>
          <w:color w:val="2A2A2A"/>
          <w:spacing w:val="0"/>
          <w:sz w:val="22"/>
          <w:szCs w:val="22"/>
          <w:lang w:val="en-US"/>
        </w:rPr>
        <w:t>purview in reception history.</w:t>
      </w:r>
    </w:p>
    <w:p>
      <w:pPr>
        <w:pStyle w:val="Normal"/>
        <w:bidi w:val="0"/>
        <w:spacing w:lineRule="auto" w:line="259" w:beforeAutospacing="0" w:before="0" w:afterAutospacing="0" w:after="160"/>
        <w:ind w:left="0" w:right="0" w:hanging="0"/>
        <w:jc w:val="left"/>
        <w:rPr>
          <w:rFonts w:ascii="Calibri" w:hAnsi="Calibri"/>
        </w:rPr>
      </w:pPr>
      <w:r>
        <w:rPr>
          <w:rFonts w:ascii="Calibri" w:hAnsi="Calibri"/>
        </w:rPr>
      </w:r>
    </w:p>
    <w:p>
      <w:pPr>
        <w:pStyle w:val="Normal"/>
        <w:bidi w:val="0"/>
        <w:spacing w:lineRule="auto" w:line="259" w:beforeAutospacing="0" w:before="0" w:afterAutospacing="0" w:after="160"/>
        <w:ind w:left="0" w:right="0" w:hanging="0"/>
        <w:jc w:val="left"/>
        <w:rPr>
          <w:rFonts w:ascii="Calibri" w:hAnsi="Calibri" w:eastAsia="Calibri" w:cs="Calibri"/>
          <w:b w:val="false"/>
          <w:b w:val="false"/>
          <w:bCs w:val="false"/>
          <w:i w:val="false"/>
          <w:i w:val="false"/>
          <w:iCs w:val="false"/>
          <w:caps w:val="false"/>
          <w:smallCaps w:val="false"/>
          <w:color w:val="2A2A2A"/>
          <w:spacing w:val="0"/>
          <w:sz w:val="22"/>
          <w:szCs w:val="22"/>
          <w:lang w:val="en-US"/>
        </w:rPr>
      </w:pPr>
      <w:r>
        <w:rPr>
          <w:rFonts w:eastAsia="Calibri" w:cs="Calibri" w:ascii="Calibri" w:hAnsi="Calibri"/>
          <w:b w:val="false"/>
          <w:bCs w:val="false"/>
          <w:i w:val="false"/>
          <w:iCs w:val="false"/>
          <w:caps w:val="false"/>
          <w:smallCaps w:val="false"/>
          <w:color w:val="2A2A2A"/>
          <w:spacing w:val="0"/>
          <w:sz w:val="22"/>
          <w:szCs w:val="22"/>
          <w:lang w:val="en-US"/>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sz w:val="22"/>
          <w:szCs w:val="22"/>
        </w:rPr>
      </w:r>
    </w:p>
    <w:p>
      <w:pPr>
        <w:pStyle w:val="Normal"/>
        <w:bidi w:val="0"/>
        <w:spacing w:lineRule="auto" w:line="259" w:beforeAutospacing="0" w:before="0" w:afterAutospacing="0" w:after="160"/>
        <w:ind w:left="0" w:right="0" w:hanging="0"/>
        <w:jc w:val="left"/>
        <w:rPr>
          <w:b/>
          <w:b/>
          <w:bCs/>
        </w:rPr>
      </w:pPr>
      <w:r>
        <w:rPr>
          <w:rFonts w:ascii="Calibri" w:hAnsi="Calibri"/>
          <w:b/>
          <w:bCs/>
          <w:sz w:val="22"/>
          <w:szCs w:val="22"/>
        </w:rPr>
        <w:t>References</w:t>
      </w:r>
    </w:p>
    <w:p>
      <w:pPr>
        <w:pStyle w:val="Normal"/>
        <w:bidi w:val="0"/>
        <w:spacing w:lineRule="auto" w:line="259" w:beforeAutospacing="0" w:before="0" w:afterAutospacing="0" w:after="160"/>
        <w:ind w:left="0" w:right="0" w:hanging="0"/>
        <w:jc w:val="left"/>
        <w:rPr>
          <w:rFonts w:ascii="Calibri" w:hAnsi="Calibri"/>
          <w:sz w:val="22"/>
          <w:szCs w:val="22"/>
        </w:rPr>
      </w:pPr>
      <w:r>
        <w:rPr>
          <w:rFonts w:ascii="Calibri" w:hAnsi="Calibri"/>
          <w:b w:val="false"/>
          <w:bCs w:val="false"/>
          <w:i w:val="false"/>
          <w:caps w:val="false"/>
          <w:smallCaps w:val="false"/>
          <w:strike w:val="false"/>
          <w:dstrike w:val="false"/>
          <w:color w:val="000000"/>
          <w:spacing w:val="0"/>
          <w:sz w:val="22"/>
          <w:szCs w:val="22"/>
          <w:u w:val="none"/>
          <w:effect w:val="none"/>
        </w:rPr>
        <w:t xml:space="preserve">Beal, </w:t>
      </w:r>
      <w:r>
        <w:rPr>
          <w:rFonts w:ascii="Calibri" w:hAnsi="Calibri"/>
          <w:b w:val="false"/>
          <w:bCs w:val="false"/>
          <w:i w:val="false"/>
          <w:caps w:val="false"/>
          <w:smallCaps w:val="false"/>
          <w:strike w:val="false"/>
          <w:dstrike w:val="false"/>
          <w:color w:val="000000"/>
          <w:spacing w:val="0"/>
          <w:sz w:val="22"/>
          <w:szCs w:val="22"/>
          <w:u w:val="none"/>
          <w:effect w:val="none"/>
        </w:rPr>
        <w:t xml:space="preserve">T,. </w:t>
      </w:r>
      <w:r>
        <w:rPr>
          <w:rFonts w:ascii="Calibri" w:hAnsi="Calibri"/>
          <w:b w:val="false"/>
          <w:bCs w:val="false"/>
          <w:i w:val="false"/>
          <w:caps w:val="false"/>
          <w:smallCaps w:val="false"/>
          <w:strike w:val="false"/>
          <w:dstrike w:val="false"/>
          <w:color w:val="000000"/>
          <w:spacing w:val="0"/>
          <w:sz w:val="22"/>
          <w:szCs w:val="22"/>
          <w:u w:val="none"/>
          <w:effect w:val="none"/>
        </w:rPr>
        <w:t>‘</w:t>
      </w:r>
      <w:r>
        <w:rPr>
          <w:rFonts w:ascii="Calibri" w:hAnsi="Calibri"/>
          <w:b w:val="false"/>
          <w:bCs w:val="false"/>
          <w:i/>
          <w:iCs/>
          <w:caps w:val="false"/>
          <w:smallCaps w:val="false"/>
          <w:strike w:val="false"/>
          <w:dstrike w:val="false"/>
          <w:color w:val="000000"/>
          <w:spacing w:val="0"/>
          <w:sz w:val="22"/>
          <w:szCs w:val="22"/>
          <w:u w:val="none"/>
          <w:effect w:val="none"/>
        </w:rPr>
        <w:t xml:space="preserve">Reception History and Beyond: Toward the Cultural History of Scriptures’ </w:t>
      </w:r>
    </w:p>
    <w:p>
      <w:pPr>
        <w:pStyle w:val="Normal"/>
        <w:bidi w:val="0"/>
        <w:spacing w:lineRule="auto" w:line="259" w:beforeAutospacing="0" w:before="0" w:afterAutospacing="0" w:after="160"/>
        <w:ind w:left="0" w:right="0" w:hanging="0"/>
        <w:jc w:val="left"/>
        <w:rPr>
          <w:rFonts w:ascii="Calibri" w:hAnsi="Calibri"/>
          <w:sz w:val="22"/>
          <w:szCs w:val="22"/>
        </w:rPr>
      </w:pPr>
      <w:r>
        <w:rPr>
          <w:rFonts w:ascii="Calibri" w:hAnsi="Calibri"/>
          <w:b w:val="false"/>
          <w:bCs w:val="false"/>
          <w:i/>
          <w:iCs/>
          <w:caps w:val="false"/>
          <w:smallCaps w:val="false"/>
          <w:strike w:val="false"/>
          <w:dstrike w:val="false"/>
          <w:color w:val="000000"/>
          <w:spacing w:val="0"/>
          <w:sz w:val="22"/>
          <w:szCs w:val="22"/>
          <w:u w:val="none"/>
          <w:effect w:val="none"/>
        </w:rPr>
        <w:t xml:space="preserve">            </w:t>
      </w:r>
      <w:r>
        <w:rPr>
          <w:rFonts w:ascii="Calibri" w:hAnsi="Calibri"/>
          <w:b w:val="false"/>
          <w:bCs w:val="false"/>
          <w:i/>
          <w:iCs/>
          <w:caps w:val="false"/>
          <w:smallCaps w:val="false"/>
          <w:strike w:val="false"/>
          <w:dstrike w:val="false"/>
          <w:color w:val="000000"/>
          <w:spacing w:val="0"/>
          <w:sz w:val="22"/>
          <w:szCs w:val="22"/>
          <w:u w:val="none"/>
          <w:effect w:val="none"/>
        </w:rPr>
        <w:t xml:space="preserve">Biblical Interpretation </w:t>
      </w:r>
      <w:r>
        <w:rPr>
          <w:rFonts w:ascii="Calibri" w:hAnsi="Calibri"/>
          <w:b w:val="false"/>
          <w:bCs w:val="false"/>
          <w:i w:val="false"/>
          <w:iCs w:val="false"/>
          <w:caps w:val="false"/>
          <w:smallCaps w:val="false"/>
          <w:strike w:val="false"/>
          <w:dstrike w:val="false"/>
          <w:color w:val="000000"/>
          <w:spacing w:val="0"/>
          <w:sz w:val="22"/>
          <w:szCs w:val="22"/>
          <w:u w:val="none"/>
          <w:effect w:val="none"/>
        </w:rPr>
        <w:t>19 {2011},pp. 357-372</w:t>
      </w:r>
    </w:p>
    <w:p>
      <w:pPr>
        <w:pStyle w:val="Normal"/>
        <w:bidi w:val="0"/>
        <w:spacing w:lineRule="auto" w:line="259" w:beforeAutospacing="0" w:before="0" w:afterAutospacing="0" w:after="160"/>
        <w:ind w:left="0" w:right="0" w:hanging="0"/>
        <w:jc w:val="left"/>
        <w:rPr/>
      </w:pPr>
      <w:r>
        <w:rPr>
          <w:rFonts w:ascii="Calibri" w:hAnsi="Calibri"/>
          <w:b w:val="false"/>
          <w:bCs w:val="false"/>
          <w:i w:val="false"/>
          <w:iCs/>
          <w:caps w:val="false"/>
          <w:smallCaps w:val="false"/>
          <w:strike w:val="false"/>
          <w:dstrike w:val="false"/>
          <w:color w:val="000000"/>
          <w:spacing w:val="0"/>
          <w:sz w:val="22"/>
          <w:szCs w:val="22"/>
          <w:u w:val="none"/>
          <w:effect w:val="none"/>
        </w:rPr>
        <w:t>Boxall</w:t>
      </w:r>
      <w:r>
        <w:rPr>
          <w:rFonts w:ascii="Calibri" w:hAnsi="Calibri"/>
          <w:b w:val="false"/>
          <w:bCs w:val="false"/>
          <w:i w:val="false"/>
          <w:iCs/>
          <w:caps w:val="false"/>
          <w:smallCaps w:val="false"/>
          <w:strike w:val="false"/>
          <w:dstrike w:val="false"/>
          <w:color w:val="006FB7"/>
          <w:spacing w:val="0"/>
          <w:sz w:val="22"/>
          <w:szCs w:val="22"/>
          <w:u w:val="none"/>
          <w:effect w:val="none"/>
        </w:rPr>
        <w:t xml:space="preserve">, </w:t>
      </w:r>
      <w:r>
        <w:rPr>
          <w:rFonts w:ascii="Calibri" w:hAnsi="Calibri"/>
          <w:b w:val="false"/>
          <w:bCs w:val="false"/>
          <w:i w:val="false"/>
          <w:iCs/>
          <w:caps w:val="false"/>
          <w:smallCaps w:val="false"/>
          <w:strike w:val="false"/>
          <w:dstrike w:val="false"/>
          <w:color w:val="000000"/>
          <w:spacing w:val="0"/>
          <w:sz w:val="22"/>
          <w:szCs w:val="22"/>
          <w:u w:val="none"/>
          <w:effect w:val="none"/>
        </w:rPr>
        <w:t>I.,</w:t>
      </w:r>
      <w:r>
        <w:rPr>
          <w:rFonts w:ascii="Calibri" w:hAnsi="Calibri"/>
          <w:b w:val="false"/>
          <w:bCs w:val="false"/>
          <w:i w:val="false"/>
          <w:iCs/>
          <w:caps w:val="false"/>
          <w:smallCaps w:val="false"/>
          <w:strike w:val="false"/>
          <w:dstrike w:val="false"/>
          <w:color w:val="000000"/>
          <w:spacing w:val="0"/>
          <w:sz w:val="22"/>
          <w:szCs w:val="22"/>
          <w:u w:val="none"/>
          <w:effect w:val="none"/>
        </w:rPr>
        <w:t xml:space="preserve"> </w:t>
      </w:r>
      <w:r>
        <w:rPr>
          <w:rStyle w:val="Emphasis"/>
          <w:rFonts w:ascii="Calibri" w:hAnsi="Calibri"/>
          <w:b w:val="false"/>
          <w:bCs w:val="false"/>
          <w:i/>
          <w:caps w:val="false"/>
          <w:smallCaps w:val="false"/>
          <w:strike w:val="false"/>
          <w:dstrike w:val="false"/>
          <w:color w:val="000000"/>
          <w:spacing w:val="0"/>
          <w:sz w:val="22"/>
          <w:szCs w:val="22"/>
          <w:u w:val="none"/>
          <w:effect w:val="none"/>
        </w:rPr>
        <w:t>Patmos in the Reception History of the Apocalypse</w:t>
      </w: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 Oxford Theology and </w:t>
      </w:r>
    </w:p>
    <w:p>
      <w:pPr>
        <w:pStyle w:val="Normal"/>
        <w:bidi w:val="0"/>
        <w:spacing w:lineRule="auto" w:line="259" w:beforeAutospacing="0" w:before="0" w:afterAutospacing="0" w:after="160"/>
        <w:ind w:left="0" w:right="0" w:hanging="0"/>
        <w:jc w:val="left"/>
        <w:rPr>
          <w:rFonts w:ascii="Calibri" w:hAnsi="Calibri"/>
          <w:sz w:val="22"/>
          <w:szCs w:val="22"/>
        </w:rPr>
      </w:pP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              </w:t>
      </w: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Religion Monographs (Oxford: Oxford University Press, 2013). </w:t>
      </w:r>
    </w:p>
    <w:p>
      <w:pPr>
        <w:pStyle w:val="Normal"/>
        <w:bidi w:val="0"/>
        <w:spacing w:lineRule="auto" w:line="259" w:beforeAutospacing="0" w:before="0" w:afterAutospacing="0" w:after="160"/>
        <w:ind w:left="0" w:right="0" w:hanging="0"/>
        <w:jc w:val="left"/>
        <w:rPr>
          <w:rFonts w:ascii="Calibri" w:hAnsi="Calibri"/>
          <w:sz w:val="22"/>
          <w:szCs w:val="22"/>
        </w:rPr>
      </w:pPr>
      <w:r>
        <w:rPr>
          <w:rFonts w:ascii="Calibri" w:hAnsi="Calibri"/>
          <w:sz w:val="22"/>
          <w:szCs w:val="22"/>
        </w:rPr>
        <w:t xml:space="preserve">Breed, </w:t>
      </w:r>
      <w:r>
        <w:rPr>
          <w:rFonts w:ascii="Calibri" w:hAnsi="Calibri"/>
          <w:sz w:val="22"/>
          <w:szCs w:val="22"/>
        </w:rPr>
        <w:t xml:space="preserve">B., </w:t>
      </w:r>
      <w:r>
        <w:rPr>
          <w:rFonts w:ascii="Calibri" w:hAnsi="Calibri"/>
          <w:sz w:val="22"/>
          <w:szCs w:val="22"/>
        </w:rPr>
        <w:t xml:space="preserve">‘ </w:t>
      </w:r>
      <w:r>
        <w:rPr>
          <w:rFonts w:ascii="Calibri" w:hAnsi="Calibri"/>
          <w:i/>
          <w:iCs/>
          <w:sz w:val="22"/>
          <w:szCs w:val="22"/>
        </w:rPr>
        <w:t>Biblical Reception History: A Dangerous Supplement.</w:t>
      </w:r>
      <w:r>
        <w:rPr>
          <w:rFonts w:ascii="Calibri" w:hAnsi="Calibri"/>
          <w:sz w:val="22"/>
          <w:szCs w:val="22"/>
        </w:rPr>
        <w:t xml:space="preserve"> October 2014</w:t>
      </w:r>
    </w:p>
    <w:p>
      <w:pPr>
        <w:pStyle w:val="Normal"/>
        <w:bidi w:val="0"/>
        <w:spacing w:lineRule="auto" w:line="259" w:beforeAutospacing="0" w:before="0" w:afterAutospacing="0" w:after="160"/>
        <w:ind w:left="0" w:right="0" w:hanging="0"/>
        <w:jc w:val="left"/>
        <w:rPr/>
      </w:pPr>
      <w:r>
        <w:rPr>
          <w:rStyle w:val="Emphasis"/>
          <w:rFonts w:ascii="Calibri" w:hAnsi="Calibri"/>
          <w:b w:val="false"/>
          <w:color w:val="000000"/>
          <w:spacing w:val="0"/>
          <w:sz w:val="22"/>
          <w:szCs w:val="22"/>
        </w:rPr>
        <w:t xml:space="preserve">                     </w:t>
      </w:r>
      <w:hyperlink r:id="rId2">
        <w:r>
          <w:rPr>
            <w:rStyle w:val="Emphasis"/>
            <w:rFonts w:ascii="Calibri" w:hAnsi="Calibri"/>
            <w:b w:val="false"/>
            <w:color w:val="000000"/>
            <w:spacing w:val="0"/>
            <w:sz w:val="22"/>
            <w:szCs w:val="22"/>
          </w:rPr>
          <w:t>https://bibleinterp.arizona.edu/articles/2014/10/bre388022</w:t>
        </w:r>
      </w:hyperlink>
      <w:r>
        <w:rPr>
          <w:rStyle w:val="Emphasis"/>
          <w:rFonts w:ascii="Calibri" w:hAnsi="Calibri"/>
          <w:b w:val="false"/>
          <w:color w:val="000000"/>
          <w:spacing w:val="0"/>
          <w:sz w:val="22"/>
          <w:szCs w:val="22"/>
        </w:rPr>
        <w:t xml:space="preserve">. </w:t>
      </w:r>
      <w:r>
        <w:rPr>
          <w:rStyle w:val="Emphasis"/>
          <w:rFonts w:ascii="Calibri" w:hAnsi="Calibri"/>
          <w:b w:val="false"/>
          <w:color w:val="000000"/>
          <w:spacing w:val="0"/>
          <w:sz w:val="22"/>
          <w:szCs w:val="22"/>
        </w:rPr>
        <w:t>0</w:t>
      </w:r>
      <w:r>
        <w:rPr>
          <w:rStyle w:val="Emphasis"/>
          <w:rFonts w:ascii="Calibri" w:hAnsi="Calibri"/>
          <w:b w:val="false"/>
          <w:i w:val="false"/>
          <w:iCs w:val="false"/>
          <w:color w:val="000000"/>
          <w:spacing w:val="0"/>
          <w:sz w:val="22"/>
          <w:szCs w:val="22"/>
        </w:rPr>
        <w:t>6</w:t>
      </w:r>
      <w:r>
        <w:rPr>
          <w:rStyle w:val="Emphasis"/>
          <w:rFonts w:ascii="Calibri" w:hAnsi="Calibri"/>
          <w:b w:val="false"/>
          <w:i w:val="false"/>
          <w:iCs w:val="false"/>
          <w:color w:val="000000"/>
          <w:spacing w:val="0"/>
          <w:sz w:val="22"/>
          <w:szCs w:val="22"/>
          <w:vertAlign w:val="superscript"/>
        </w:rPr>
        <w:t>th</w:t>
      </w:r>
      <w:r>
        <w:rPr>
          <w:rStyle w:val="Emphasis"/>
          <w:rFonts w:ascii="Calibri" w:hAnsi="Calibri"/>
          <w:b w:val="false"/>
          <w:i w:val="false"/>
          <w:iCs w:val="false"/>
          <w:color w:val="000000"/>
          <w:spacing w:val="0"/>
          <w:sz w:val="22"/>
          <w:szCs w:val="22"/>
        </w:rPr>
        <w:t xml:space="preserve"> June 2023</w:t>
      </w:r>
    </w:p>
    <w:p>
      <w:pPr>
        <w:pStyle w:val="Normal"/>
        <w:bidi w:val="0"/>
        <w:spacing w:lineRule="auto" w:line="259" w:beforeAutospacing="0" w:before="0" w:afterAutospacing="0" w:after="160"/>
        <w:ind w:left="0" w:right="0" w:hanging="0"/>
        <w:jc w:val="left"/>
        <w:rPr/>
      </w:pPr>
      <w:r>
        <w:rPr>
          <w:rFonts w:ascii="Calibri" w:hAnsi="Calibri"/>
          <w:sz w:val="22"/>
          <w:szCs w:val="22"/>
        </w:rPr>
        <w:t xml:space="preserve">Breed, </w:t>
      </w:r>
      <w:r>
        <w:rPr>
          <w:rFonts w:ascii="Calibri" w:hAnsi="Calibri"/>
          <w:sz w:val="22"/>
          <w:szCs w:val="22"/>
        </w:rPr>
        <w:t>B.</w:t>
      </w:r>
      <w:r>
        <w:rPr>
          <w:rFonts w:ascii="Calibri" w:hAnsi="Calibri"/>
          <w:sz w:val="22"/>
          <w:szCs w:val="22"/>
        </w:rPr>
        <w:t xml:space="preserve">, </w:t>
      </w:r>
      <w:r>
        <w:rPr>
          <w:rStyle w:val="Emphasis"/>
          <w:rFonts w:ascii="Calibri" w:hAnsi="Calibri"/>
          <w:i/>
          <w:sz w:val="22"/>
          <w:szCs w:val="22"/>
        </w:rPr>
        <w:t>Nomadic Text: A Theory of Biblical Reception History</w:t>
      </w:r>
      <w:r>
        <w:rPr>
          <w:rFonts w:ascii="Calibri" w:hAnsi="Calibri"/>
          <w:sz w:val="22"/>
          <w:szCs w:val="22"/>
        </w:rPr>
        <w:t xml:space="preserve">, Indiana Studies in </w:t>
      </w:r>
    </w:p>
    <w:p>
      <w:pPr>
        <w:pStyle w:val="Normal"/>
        <w:bidi w:val="0"/>
        <w:spacing w:lineRule="auto" w:line="259" w:beforeAutospacing="0" w:before="0" w:afterAutospacing="0" w:after="160"/>
        <w:ind w:left="0" w:right="0" w:hanging="0"/>
        <w:jc w:val="left"/>
        <w:rPr>
          <w:rFonts w:ascii="Calibri" w:hAnsi="Calibri"/>
          <w:sz w:val="22"/>
          <w:szCs w:val="22"/>
        </w:rPr>
      </w:pPr>
      <w:r>
        <w:rPr>
          <w:rStyle w:val="Emphasis"/>
          <w:rFonts w:ascii="Calibri" w:hAnsi="Calibri"/>
          <w:b w:val="false"/>
          <w:i w:val="false"/>
          <w:iCs w:val="false"/>
          <w:color w:val="000000"/>
          <w:spacing w:val="0"/>
          <w:sz w:val="22"/>
          <w:szCs w:val="22"/>
        </w:rPr>
        <w:t xml:space="preserve">                 </w:t>
      </w:r>
      <w:r>
        <w:rPr>
          <w:rStyle w:val="Emphasis"/>
          <w:rFonts w:ascii="Calibri" w:hAnsi="Calibri"/>
          <w:b w:val="false"/>
          <w:i w:val="false"/>
          <w:iCs w:val="false"/>
          <w:color w:val="000000"/>
          <w:spacing w:val="0"/>
          <w:sz w:val="22"/>
          <w:szCs w:val="22"/>
        </w:rPr>
        <w:t>Biblical Literature (Bloomington: Indiana University Press, 2014), pp. 75–92</w:t>
      </w:r>
    </w:p>
    <w:p>
      <w:pPr>
        <w:pStyle w:val="Normal"/>
        <w:bidi w:val="0"/>
        <w:spacing w:lineRule="auto" w:line="259" w:beforeAutospacing="0" w:before="0" w:afterAutospacing="0" w:after="160"/>
        <w:ind w:left="0" w:right="0" w:hanging="0"/>
        <w:jc w:val="left"/>
        <w:rPr/>
      </w:pPr>
      <w:r>
        <w:rPr>
          <w:rStyle w:val="Emphasis"/>
          <w:rFonts w:ascii="Calibri" w:hAnsi="Calibri"/>
          <w:b w:val="false"/>
          <w:i w:val="false"/>
          <w:iCs w:val="false"/>
          <w:color w:val="000000"/>
          <w:spacing w:val="0"/>
          <w:sz w:val="22"/>
          <w:szCs w:val="22"/>
        </w:rPr>
        <w:t xml:space="preserve">Breed, B., ‘What is Reception History’. </w:t>
      </w:r>
    </w:p>
    <w:p>
      <w:pPr>
        <w:pStyle w:val="Normal"/>
        <w:bidi w:val="0"/>
        <w:spacing w:lineRule="auto" w:line="259" w:beforeAutospacing="0" w:before="0" w:afterAutospacing="0" w:after="160"/>
        <w:ind w:left="0" w:right="0" w:hanging="0"/>
        <w:jc w:val="left"/>
        <w:rPr/>
      </w:pPr>
      <w:r>
        <w:rPr>
          <w:rStyle w:val="Emphasis"/>
          <w:rFonts w:ascii="Calibri" w:hAnsi="Calibri"/>
          <w:b w:val="false"/>
          <w:i w:val="false"/>
          <w:iCs w:val="false"/>
          <w:color w:val="000000"/>
          <w:spacing w:val="0"/>
          <w:sz w:val="22"/>
          <w:szCs w:val="22"/>
        </w:rPr>
        <w:t xml:space="preserve">                       </w:t>
      </w:r>
      <w:hyperlink r:id="rId3">
        <w:r>
          <w:rPr>
            <w:rStyle w:val="Emphasis"/>
            <w:rFonts w:ascii="Calibri" w:hAnsi="Calibri"/>
            <w:b w:val="false"/>
            <w:i w:val="false"/>
            <w:iCs w:val="false"/>
            <w:color w:val="000000"/>
            <w:spacing w:val="0"/>
            <w:sz w:val="22"/>
            <w:szCs w:val="22"/>
          </w:rPr>
          <w:t>https://www.bibleodyssey.org/bible-basics/what-is-reception-history/</w:t>
        </w:r>
      </w:hyperlink>
      <w:r>
        <w:rPr>
          <w:rStyle w:val="Emphasis"/>
          <w:rFonts w:ascii="Calibri" w:hAnsi="Calibri"/>
          <w:b w:val="false"/>
          <w:i w:val="false"/>
          <w:iCs w:val="false"/>
          <w:color w:val="000000"/>
          <w:spacing w:val="0"/>
          <w:sz w:val="22"/>
          <w:szCs w:val="22"/>
        </w:rPr>
        <w:t>.  03</w:t>
      </w:r>
      <w:r>
        <w:rPr>
          <w:rStyle w:val="Emphasis"/>
          <w:rFonts w:ascii="Calibri" w:hAnsi="Calibri"/>
          <w:b w:val="false"/>
          <w:i w:val="false"/>
          <w:iCs w:val="false"/>
          <w:color w:val="000000"/>
          <w:spacing w:val="0"/>
          <w:sz w:val="22"/>
          <w:szCs w:val="22"/>
          <w:vertAlign w:val="superscript"/>
        </w:rPr>
        <w:t>rd</w:t>
      </w:r>
      <w:r>
        <w:rPr>
          <w:rStyle w:val="Emphasis"/>
          <w:rFonts w:ascii="Calibri" w:hAnsi="Calibri"/>
          <w:b w:val="false"/>
          <w:i w:val="false"/>
          <w:iCs w:val="false"/>
          <w:color w:val="000000"/>
          <w:spacing w:val="0"/>
          <w:sz w:val="22"/>
          <w:szCs w:val="22"/>
        </w:rPr>
        <w:t xml:space="preserve"> June 2023</w:t>
      </w:r>
    </w:p>
    <w:p>
      <w:pPr>
        <w:pStyle w:val="Footnote"/>
        <w:widowControl/>
        <w:bidi w:val="0"/>
        <w:spacing w:lineRule="auto" w:line="259" w:beforeAutospacing="0" w:before="0" w:afterAutospacing="0" w:after="160"/>
        <w:ind w:left="0" w:right="0" w:hanging="0"/>
        <w:jc w:val="left"/>
        <w:rPr/>
      </w:pPr>
      <w:r>
        <w:rPr>
          <w:rFonts w:ascii="Calibri" w:hAnsi="Calibri"/>
          <w:b w:val="false"/>
          <w:i w:val="false"/>
          <w:caps w:val="false"/>
          <w:smallCaps w:val="false"/>
          <w:color w:val="000000"/>
          <w:spacing w:val="0"/>
          <w:sz w:val="22"/>
          <w:szCs w:val="22"/>
        </w:rPr>
        <w:t xml:space="preserve">Coogan’s, </w:t>
      </w:r>
      <w:r>
        <w:rPr>
          <w:rFonts w:ascii="Calibri" w:hAnsi="Calibri"/>
          <w:b w:val="false"/>
          <w:i w:val="false"/>
          <w:caps w:val="false"/>
          <w:smallCaps w:val="false"/>
          <w:color w:val="000000"/>
          <w:spacing w:val="0"/>
          <w:sz w:val="22"/>
          <w:szCs w:val="22"/>
        </w:rPr>
        <w:t xml:space="preserve">M. D., </w:t>
      </w:r>
      <w:r>
        <w:rPr>
          <w:rStyle w:val="Emphasis"/>
          <w:rFonts w:ascii="Calibri" w:hAnsi="Calibri"/>
          <w:b w:val="false"/>
          <w:color w:val="000000"/>
          <w:spacing w:val="0"/>
          <w:sz w:val="22"/>
          <w:szCs w:val="22"/>
        </w:rPr>
        <w:t xml:space="preserve">The Old Testament: </w:t>
      </w:r>
      <w:r>
        <w:rPr>
          <w:rStyle w:val="Emphasis"/>
          <w:rFonts w:ascii="Calibri" w:hAnsi="Calibri"/>
          <w:b w:val="false"/>
          <w:i w:val="false"/>
          <w:iCs w:val="false"/>
          <w:color w:val="000000"/>
          <w:spacing w:val="0"/>
          <w:sz w:val="22"/>
          <w:szCs w:val="22"/>
        </w:rPr>
        <w:t xml:space="preserve">A Historical and Literary Introduction to the </w:t>
      </w:r>
    </w:p>
    <w:p>
      <w:pPr>
        <w:pStyle w:val="Footnote"/>
        <w:widowControl/>
        <w:bidi w:val="0"/>
        <w:spacing w:lineRule="auto" w:line="259" w:beforeAutospacing="0" w:before="0" w:afterAutospacing="0" w:after="160"/>
        <w:ind w:left="0" w:right="0" w:hanging="0"/>
        <w:jc w:val="left"/>
        <w:rPr/>
      </w:pPr>
      <w:r>
        <w:rPr>
          <w:rStyle w:val="Emphasis"/>
          <w:rFonts w:ascii="Calibri" w:hAnsi="Calibri"/>
          <w:b w:val="false"/>
          <w:i w:val="false"/>
          <w:iCs w:val="false"/>
          <w:color w:val="000000"/>
          <w:spacing w:val="0"/>
          <w:sz w:val="22"/>
          <w:szCs w:val="22"/>
        </w:rPr>
        <w:t xml:space="preserve">                      </w:t>
      </w:r>
      <w:r>
        <w:rPr>
          <w:rStyle w:val="Emphasis"/>
          <w:rFonts w:ascii="Calibri" w:hAnsi="Calibri"/>
          <w:b w:val="false"/>
          <w:i w:val="false"/>
          <w:iCs w:val="false"/>
          <w:color w:val="000000"/>
          <w:spacing w:val="0"/>
          <w:sz w:val="22"/>
          <w:szCs w:val="22"/>
        </w:rPr>
        <w:t>Hebrew Scriptures.</w:t>
      </w:r>
      <w:bookmarkStart w:id="3" w:name="book-publisher11"/>
      <w:bookmarkEnd w:id="3"/>
      <w:r>
        <w:rPr>
          <w:rStyle w:val="Emphasis"/>
          <w:rFonts w:ascii="Calibri" w:hAnsi="Calibri"/>
          <w:b w:val="false"/>
          <w:i w:val="false"/>
          <w:iCs w:val="false"/>
          <w:caps w:val="false"/>
          <w:smallCaps w:val="false"/>
          <w:color w:val="000000"/>
          <w:spacing w:val="0"/>
          <w:sz w:val="22"/>
          <w:szCs w:val="22"/>
        </w:rPr>
        <w:t xml:space="preserve">   Oxford University Press, USA, 2010</w:t>
      </w:r>
      <w:r>
        <w:rPr>
          <w:rStyle w:val="Emphasis"/>
          <w:rFonts w:ascii="Calibri" w:hAnsi="Calibri"/>
          <w:b w:val="false"/>
          <w:i w:val="false"/>
          <w:iCs w:val="false"/>
          <w:color w:val="000000"/>
          <w:spacing w:val="0"/>
          <w:sz w:val="22"/>
          <w:szCs w:val="22"/>
        </w:rPr>
        <w:t xml:space="preserve"> </w:t>
      </w:r>
    </w:p>
    <w:p>
      <w:pPr>
        <w:pStyle w:val="Normal"/>
        <w:spacing w:before="0" w:after="0"/>
        <w:ind w:left="0" w:right="0" w:hanging="0"/>
        <w:rPr>
          <w:rFonts w:ascii="Calibri" w:hAnsi="Calibri"/>
          <w:sz w:val="22"/>
          <w:szCs w:val="22"/>
        </w:rPr>
      </w:pPr>
      <w:r>
        <w:rPr>
          <w:rFonts w:ascii="Calibri" w:hAnsi="Calibri"/>
          <w:sz w:val="22"/>
          <w:szCs w:val="22"/>
        </w:rPr>
        <w:t xml:space="preserve">England, E., Lyons, W.,: </w:t>
      </w:r>
      <w:r>
        <w:rPr>
          <w:rFonts w:ascii="Calibri" w:hAnsi="Calibri"/>
          <w:i/>
          <w:iCs/>
          <w:sz w:val="22"/>
          <w:szCs w:val="22"/>
        </w:rPr>
        <w:t>Reception History ans Biblical Studies</w:t>
      </w:r>
      <w:r>
        <w:rPr>
          <w:rFonts w:ascii="Calibri" w:hAnsi="Calibri"/>
          <w:sz w:val="22"/>
          <w:szCs w:val="22"/>
        </w:rPr>
        <w:t xml:space="preserve">: Theory and Practice, </w:t>
      </w:r>
    </w:p>
    <w:p>
      <w:pPr>
        <w:pStyle w:val="Normal"/>
        <w:spacing w:before="0" w:after="0"/>
        <w:ind w:left="0" w:right="0" w:hanging="0"/>
        <w:rPr>
          <w:rFonts w:ascii="Calibri" w:hAnsi="Calibri"/>
          <w:sz w:val="22"/>
          <w:szCs w:val="22"/>
        </w:rPr>
      </w:pPr>
      <w:r>
        <w:rPr>
          <w:rFonts w:ascii="Calibri" w:hAnsi="Calibri"/>
          <w:sz w:val="22"/>
          <w:szCs w:val="22"/>
        </w:rPr>
        <w:t xml:space="preserve">                  </w:t>
      </w:r>
      <w:r>
        <w:rPr>
          <w:rFonts w:ascii="Calibri" w:hAnsi="Calibri"/>
          <w:sz w:val="22"/>
          <w:szCs w:val="22"/>
        </w:rPr>
        <w:t>(Bloomsbury, 2015)</w:t>
      </w:r>
    </w:p>
    <w:p>
      <w:pPr>
        <w:pStyle w:val="TextBody"/>
        <w:bidi w:val="0"/>
        <w:spacing w:lineRule="auto" w:line="259" w:beforeAutospacing="0" w:before="0" w:afterAutospacing="0" w:after="160"/>
        <w:ind w:left="0" w:right="0" w:hanging="0"/>
        <w:jc w:val="left"/>
        <w:rPr>
          <w:b w:val="false"/>
          <w:b w:val="false"/>
          <w:bCs w:val="false"/>
          <w:i w:val="false"/>
          <w:i w:val="false"/>
          <w:iCs w:val="false"/>
          <w:caps w:val="false"/>
          <w:smallCaps w:val="false"/>
          <w:strike w:val="false"/>
          <w:dstrike w:val="false"/>
          <w:color w:val="000000"/>
          <w:spacing w:val="0"/>
          <w:u w:val="none"/>
          <w:effect w:val="none"/>
        </w:rPr>
      </w:pPr>
      <w:r>
        <w:rPr>
          <w:rFonts w:ascii="Calibri" w:hAnsi="Calibri"/>
          <w:sz w:val="22"/>
          <w:szCs w:val="22"/>
        </w:rPr>
      </w:r>
    </w:p>
    <w:p>
      <w:pPr>
        <w:pStyle w:val="TextBody"/>
        <w:bidi w:val="0"/>
        <w:spacing w:lineRule="auto" w:line="259" w:beforeAutospacing="0" w:before="0" w:afterAutospacing="0" w:after="160"/>
        <w:ind w:left="0" w:right="0" w:hanging="0"/>
        <w:jc w:val="left"/>
        <w:rPr/>
      </w:pP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Gadamer, </w:t>
      </w: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H-G., </w:t>
      </w:r>
      <w:r>
        <w:rPr>
          <w:rStyle w:val="Emphasis"/>
          <w:rFonts w:ascii="Calibri" w:hAnsi="Calibri"/>
          <w:b w:val="false"/>
          <w:i/>
          <w:color w:val="000000"/>
          <w:spacing w:val="0"/>
          <w:sz w:val="22"/>
          <w:szCs w:val="22"/>
        </w:rPr>
        <w:t>Truth and Method</w:t>
      </w:r>
      <w:r>
        <w:rPr>
          <w:rFonts w:ascii="Calibri" w:hAnsi="Calibri"/>
          <w:b w:val="false"/>
          <w:i w:val="false"/>
          <w:caps w:val="false"/>
          <w:smallCaps w:val="false"/>
          <w:color w:val="000000"/>
          <w:spacing w:val="0"/>
          <w:sz w:val="22"/>
          <w:szCs w:val="22"/>
        </w:rPr>
        <w:t>,</w:t>
      </w:r>
      <w:r>
        <w:rPr>
          <w:rFonts w:ascii="Calibri" w:hAnsi="Calibri"/>
          <w:b w:val="false"/>
          <w:bCs w:val="false"/>
          <w:i w:val="false"/>
          <w:caps w:val="false"/>
          <w:smallCaps w:val="false"/>
          <w:color w:val="000000"/>
          <w:spacing w:val="0"/>
          <w:sz w:val="22"/>
          <w:szCs w:val="22"/>
        </w:rPr>
        <w:t xml:space="preserve"> </w:t>
      </w:r>
      <w:r>
        <w:rPr>
          <w:rFonts w:ascii="Calibri" w:hAnsi="Calibri"/>
          <w:b w:val="false"/>
          <w:bCs w:val="false"/>
          <w:i w:val="false"/>
          <w:caps w:val="false"/>
          <w:smallCaps w:val="false"/>
          <w:color w:val="000000"/>
          <w:spacing w:val="0"/>
          <w:sz w:val="22"/>
          <w:szCs w:val="22"/>
        </w:rPr>
        <w:t xml:space="preserve">trans. J. Weinsheimer and D.G. Marshsall, </w:t>
      </w:r>
      <w:r>
        <w:rPr>
          <w:rFonts w:ascii="Calibri" w:hAnsi="Calibri"/>
          <w:b w:val="false"/>
          <w:bCs w:val="false"/>
          <w:i w:val="false"/>
          <w:caps w:val="false"/>
          <w:smallCaps w:val="false"/>
          <w:color w:val="000000"/>
          <w:spacing w:val="0"/>
          <w:sz w:val="22"/>
          <w:szCs w:val="22"/>
        </w:rPr>
        <w:t xml:space="preserve">2nd edition </w:t>
      </w:r>
    </w:p>
    <w:p>
      <w:pPr>
        <w:pStyle w:val="TextBody"/>
        <w:bidi w:val="0"/>
        <w:spacing w:lineRule="auto" w:line="259" w:beforeAutospacing="0" w:before="0" w:afterAutospacing="0" w:after="160"/>
        <w:ind w:left="0" w:right="0" w:hanging="0"/>
        <w:jc w:val="left"/>
        <w:rPr>
          <w:rFonts w:ascii="Calibri" w:hAnsi="Calibri"/>
          <w:sz w:val="22"/>
          <w:szCs w:val="22"/>
        </w:rPr>
      </w:pPr>
      <w:r>
        <w:rPr>
          <w:rFonts w:ascii="Calibri" w:hAnsi="Calibri"/>
          <w:b w:val="false"/>
          <w:bCs w:val="false"/>
          <w:i w:val="false"/>
          <w:caps w:val="false"/>
          <w:smallCaps w:val="false"/>
          <w:color w:val="000000"/>
          <w:spacing w:val="0"/>
          <w:sz w:val="22"/>
          <w:szCs w:val="22"/>
        </w:rPr>
        <w:t xml:space="preserve">                     </w:t>
      </w:r>
      <w:r>
        <w:rPr>
          <w:rFonts w:ascii="Calibri" w:hAnsi="Calibri"/>
          <w:b w:val="false"/>
          <w:bCs w:val="false"/>
          <w:i w:val="false"/>
          <w:caps w:val="false"/>
          <w:smallCaps w:val="false"/>
          <w:color w:val="000000"/>
          <w:spacing w:val="0"/>
          <w:sz w:val="22"/>
          <w:szCs w:val="22"/>
        </w:rPr>
        <w:t xml:space="preserve">(London: Continuum,2004), </w:t>
      </w:r>
      <w:r>
        <w:rPr>
          <w:rFonts w:ascii="Calibri" w:hAnsi="Calibri"/>
          <w:b w:val="false"/>
          <w:bCs w:val="false"/>
          <w:i w:val="false"/>
          <w:caps w:val="false"/>
          <w:smallCaps w:val="false"/>
          <w:color w:val="000000"/>
          <w:spacing w:val="0"/>
          <w:sz w:val="22"/>
          <w:szCs w:val="22"/>
        </w:rPr>
        <w:t>pp 276-277.</w:t>
      </w:r>
    </w:p>
    <w:p>
      <w:pPr>
        <w:pStyle w:val="TextBody"/>
        <w:widowControl/>
        <w:bidi w:val="0"/>
        <w:spacing w:lineRule="auto" w:line="259" w:beforeAutospacing="0" w:before="0" w:afterAutospacing="0" w:after="160"/>
        <w:ind w:left="0" w:right="0" w:hanging="0"/>
        <w:jc w:val="left"/>
        <w:rPr/>
      </w:pP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Jauss, </w:t>
      </w: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H. R., </w:t>
      </w:r>
      <w:r>
        <w:rPr>
          <w:rStyle w:val="Emphasis"/>
          <w:rFonts w:ascii="Calibri" w:hAnsi="Calibri"/>
          <w:b w:val="false"/>
          <w:bCs w:val="false"/>
          <w:i/>
          <w:caps w:val="false"/>
          <w:smallCaps w:val="false"/>
          <w:color w:val="000000"/>
          <w:spacing w:val="0"/>
          <w:sz w:val="22"/>
          <w:szCs w:val="22"/>
        </w:rPr>
        <w:t>Toward and Aesthetic of Reception</w:t>
      </w:r>
      <w:r>
        <w:rPr>
          <w:rFonts w:ascii="Calibri" w:hAnsi="Calibri"/>
          <w:b w:val="false"/>
          <w:bCs w:val="false"/>
          <w:i w:val="false"/>
          <w:caps w:val="false"/>
          <w:smallCaps w:val="false"/>
          <w:color w:val="000000"/>
          <w:spacing w:val="0"/>
          <w:sz w:val="22"/>
          <w:szCs w:val="22"/>
        </w:rPr>
        <w:t xml:space="preserve">, Theory and History of Literature 2, </w:t>
      </w:r>
    </w:p>
    <w:p>
      <w:pPr>
        <w:pStyle w:val="TextBody"/>
        <w:widowControl/>
        <w:bidi w:val="0"/>
        <w:spacing w:lineRule="auto" w:line="259" w:beforeAutospacing="0" w:before="0" w:afterAutospacing="0" w:after="160"/>
        <w:ind w:left="0" w:right="0" w:hanging="0"/>
        <w:jc w:val="left"/>
        <w:rPr>
          <w:rFonts w:ascii="Calibri" w:hAnsi="Calibri"/>
          <w:sz w:val="22"/>
          <w:szCs w:val="22"/>
        </w:rPr>
      </w:pPr>
      <w:r>
        <w:rPr>
          <w:rFonts w:ascii="Calibri" w:hAnsi="Calibri"/>
          <w:b w:val="false"/>
          <w:bCs w:val="false"/>
          <w:i w:val="false"/>
          <w:caps w:val="false"/>
          <w:smallCaps w:val="false"/>
          <w:color w:val="000000"/>
          <w:spacing w:val="0"/>
          <w:sz w:val="22"/>
          <w:szCs w:val="22"/>
        </w:rPr>
        <w:t xml:space="preserve">              </w:t>
      </w:r>
      <w:r>
        <w:rPr>
          <w:rFonts w:ascii="Calibri" w:hAnsi="Calibri"/>
          <w:b w:val="false"/>
          <w:bCs w:val="false"/>
          <w:i w:val="false"/>
          <w:caps w:val="false"/>
          <w:smallCaps w:val="false"/>
          <w:color w:val="000000"/>
          <w:spacing w:val="0"/>
          <w:sz w:val="22"/>
          <w:szCs w:val="22"/>
        </w:rPr>
        <w:t>trans. T. Bahti (Minneaplis: University of Minnesola Press. 1982)</w:t>
      </w:r>
    </w:p>
    <w:p>
      <w:pPr>
        <w:pStyle w:val="Normal"/>
        <w:bidi w:val="0"/>
        <w:spacing w:lineRule="auto" w:line="259" w:beforeAutospacing="0" w:before="0" w:afterAutospacing="0" w:after="160"/>
        <w:ind w:left="0" w:right="0" w:hanging="0"/>
        <w:jc w:val="left"/>
        <w:rPr/>
      </w:pPr>
      <w:r>
        <w:rPr>
          <w:rFonts w:ascii="Calibri" w:hAnsi="Calibri"/>
          <w:b w:val="false"/>
          <w:bCs w:val="false"/>
          <w:i w:val="false"/>
          <w:caps w:val="false"/>
          <w:smallCaps w:val="false"/>
          <w:color w:val="000000"/>
          <w:spacing w:val="0"/>
          <w:sz w:val="22"/>
          <w:szCs w:val="22"/>
        </w:rPr>
        <w:t xml:space="preserve">Knight, </w:t>
      </w:r>
      <w:r>
        <w:rPr>
          <w:rFonts w:ascii="Calibri" w:hAnsi="Calibri"/>
          <w:b w:val="false"/>
          <w:bCs w:val="false"/>
          <w:i w:val="false"/>
          <w:caps w:val="false"/>
          <w:smallCaps w:val="false"/>
          <w:color w:val="000000"/>
          <w:spacing w:val="0"/>
          <w:sz w:val="22"/>
          <w:szCs w:val="22"/>
        </w:rPr>
        <w:t xml:space="preserve">M., </w:t>
      </w:r>
      <w:r>
        <w:rPr>
          <w:rFonts w:ascii="Calibri" w:hAnsi="Calibri"/>
          <w:b w:val="false"/>
          <w:bCs w:val="false"/>
          <w:i w:val="false"/>
          <w:caps w:val="false"/>
          <w:smallCaps w:val="false"/>
          <w:color w:val="000000"/>
          <w:spacing w:val="0"/>
          <w:sz w:val="22"/>
          <w:szCs w:val="22"/>
        </w:rPr>
        <w:t>“</w:t>
      </w:r>
      <w:r>
        <w:rPr>
          <w:rStyle w:val="Emphasis"/>
          <w:rFonts w:ascii="Calibri" w:hAnsi="Calibri"/>
          <w:b w:val="false"/>
          <w:bCs w:val="false"/>
          <w:i/>
          <w:caps w:val="false"/>
          <w:smallCaps w:val="false"/>
          <w:color w:val="000000"/>
          <w:spacing w:val="0"/>
          <w:sz w:val="22"/>
          <w:szCs w:val="22"/>
        </w:rPr>
        <w:t>Wirkungsgeschichte</w:t>
      </w:r>
      <w:r>
        <w:rPr>
          <w:rFonts w:ascii="Calibri" w:hAnsi="Calibri"/>
          <w:b w:val="false"/>
          <w:bCs w:val="false"/>
          <w:i w:val="false"/>
          <w:caps w:val="false"/>
          <w:smallCaps w:val="false"/>
          <w:color w:val="000000"/>
          <w:spacing w:val="0"/>
          <w:sz w:val="22"/>
          <w:szCs w:val="22"/>
        </w:rPr>
        <w:t>, Reception History, Reception Theory,”</w:t>
      </w:r>
    </w:p>
    <w:p>
      <w:pPr>
        <w:pStyle w:val="Normal"/>
        <w:bidi w:val="0"/>
        <w:spacing w:lineRule="auto" w:line="259" w:beforeAutospacing="0" w:before="0" w:afterAutospacing="0" w:after="160"/>
        <w:ind w:left="0" w:right="0" w:hanging="0"/>
        <w:jc w:val="left"/>
        <w:rPr/>
      </w:pPr>
      <w:r>
        <w:rPr>
          <w:rFonts w:ascii="Calibri" w:hAnsi="Calibri"/>
          <w:b w:val="false"/>
          <w:bCs w:val="false"/>
          <w:i w:val="false"/>
          <w:caps w:val="false"/>
          <w:smallCaps w:val="false"/>
          <w:color w:val="000000"/>
          <w:spacing w:val="0"/>
          <w:sz w:val="22"/>
          <w:szCs w:val="22"/>
        </w:rPr>
        <w:t xml:space="preserve">                   </w:t>
      </w:r>
      <w:r>
        <w:rPr>
          <w:rFonts w:ascii="Calibri" w:hAnsi="Calibri"/>
          <w:b w:val="false"/>
          <w:bCs w:val="false"/>
          <w:i w:val="false"/>
          <w:caps w:val="false"/>
          <w:smallCaps w:val="false"/>
          <w:color w:val="000000"/>
          <w:spacing w:val="0"/>
          <w:sz w:val="22"/>
          <w:szCs w:val="22"/>
        </w:rPr>
        <w:t xml:space="preserve">in </w:t>
      </w:r>
      <w:r>
        <w:rPr>
          <w:rStyle w:val="Emphasis"/>
          <w:rFonts w:ascii="Calibri" w:hAnsi="Calibri"/>
          <w:b w:val="false"/>
          <w:bCs w:val="false"/>
          <w:i/>
          <w:caps w:val="false"/>
          <w:smallCaps w:val="false"/>
          <w:color w:val="000000"/>
          <w:spacing w:val="0"/>
          <w:sz w:val="22"/>
          <w:szCs w:val="22"/>
        </w:rPr>
        <w:t xml:space="preserve">JSNT </w:t>
      </w:r>
      <w:r>
        <w:rPr>
          <w:rFonts w:ascii="Calibri" w:hAnsi="Calibri"/>
          <w:b w:val="false"/>
          <w:bCs w:val="false"/>
          <w:i w:val="false"/>
          <w:caps w:val="false"/>
          <w:smallCaps w:val="false"/>
          <w:color w:val="000000"/>
          <w:spacing w:val="0"/>
          <w:sz w:val="22"/>
          <w:szCs w:val="22"/>
        </w:rPr>
        <w:t>33.2 (2010), p. 141.</w:t>
      </w:r>
    </w:p>
    <w:p>
      <w:pPr>
        <w:pStyle w:val="Normal"/>
        <w:bidi w:val="0"/>
        <w:spacing w:lineRule="auto" w:line="259" w:beforeAutospacing="0" w:before="0" w:afterAutospacing="0" w:after="160"/>
        <w:ind w:left="0" w:right="0" w:hanging="0"/>
        <w:jc w:val="left"/>
        <w:rPr/>
      </w:pPr>
      <w:r>
        <w:rPr>
          <w:rFonts w:ascii="Calibri" w:hAnsi="Calibri"/>
          <w:b w:val="false"/>
          <w:bCs w:val="false"/>
          <w:i w:val="false"/>
          <w:caps w:val="false"/>
          <w:smallCaps w:val="false"/>
          <w:color w:val="000000"/>
          <w:spacing w:val="0"/>
          <w:sz w:val="22"/>
          <w:szCs w:val="22"/>
        </w:rPr>
        <w:t xml:space="preserve">Luz, </w:t>
      </w:r>
      <w:r>
        <w:rPr>
          <w:rFonts w:ascii="Calibri" w:hAnsi="Calibri"/>
          <w:b w:val="false"/>
          <w:bCs w:val="false"/>
          <w:i w:val="false"/>
          <w:caps w:val="false"/>
          <w:smallCaps w:val="false"/>
          <w:color w:val="000000"/>
          <w:spacing w:val="0"/>
          <w:sz w:val="22"/>
          <w:szCs w:val="22"/>
        </w:rPr>
        <w:t xml:space="preserve">U., </w:t>
      </w:r>
      <w:r>
        <w:rPr>
          <w:rStyle w:val="Emphasis"/>
          <w:rFonts w:ascii="Calibri" w:hAnsi="Calibri"/>
          <w:b w:val="false"/>
          <w:bCs w:val="false"/>
          <w:i/>
          <w:caps w:val="false"/>
          <w:smallCaps w:val="false"/>
          <w:color w:val="000000"/>
          <w:spacing w:val="0"/>
          <w:sz w:val="22"/>
          <w:szCs w:val="22"/>
        </w:rPr>
        <w:t>Matthew 1–7: A Commentary</w:t>
      </w:r>
      <w:r>
        <w:rPr>
          <w:rFonts w:ascii="Calibri" w:hAnsi="Calibri"/>
          <w:b w:val="false"/>
          <w:bCs w:val="false"/>
          <w:i w:val="false"/>
          <w:caps w:val="false"/>
          <w:smallCaps w:val="false"/>
          <w:color w:val="000000"/>
          <w:spacing w:val="0"/>
          <w:sz w:val="22"/>
          <w:szCs w:val="22"/>
        </w:rPr>
        <w:t xml:space="preserve">, trans. James E. Crouch, Hermeneia </w:t>
      </w:r>
    </w:p>
    <w:p>
      <w:pPr>
        <w:pStyle w:val="Normal"/>
        <w:bidi w:val="0"/>
        <w:spacing w:lineRule="auto" w:line="259" w:beforeAutospacing="0" w:before="0" w:afterAutospacing="0" w:after="160"/>
        <w:ind w:left="0" w:right="0" w:hanging="0"/>
        <w:jc w:val="left"/>
        <w:rPr>
          <w:rFonts w:ascii="Calibri" w:hAnsi="Calibri"/>
          <w:sz w:val="22"/>
          <w:szCs w:val="22"/>
        </w:rPr>
      </w:pPr>
      <w:r>
        <w:rPr>
          <w:rFonts w:ascii="Calibri" w:hAnsi="Calibri"/>
          <w:b w:val="false"/>
          <w:bCs w:val="false"/>
          <w:i w:val="false"/>
          <w:caps w:val="false"/>
          <w:smallCaps w:val="false"/>
          <w:color w:val="000000"/>
          <w:spacing w:val="0"/>
          <w:sz w:val="22"/>
          <w:szCs w:val="22"/>
        </w:rPr>
        <w:t xml:space="preserve">            </w:t>
      </w:r>
      <w:r>
        <w:rPr>
          <w:rFonts w:ascii="Calibri" w:hAnsi="Calibri"/>
          <w:b w:val="false"/>
          <w:bCs w:val="false"/>
          <w:i w:val="false"/>
          <w:caps w:val="false"/>
          <w:smallCaps w:val="false"/>
          <w:color w:val="000000"/>
          <w:spacing w:val="0"/>
          <w:sz w:val="22"/>
          <w:szCs w:val="22"/>
        </w:rPr>
        <w:t>(Minneapolis: Fortress, 2007), p. 61</w:t>
      </w:r>
    </w:p>
    <w:p>
      <w:pPr>
        <w:pStyle w:val="Normal"/>
        <w:bidi w:val="0"/>
        <w:spacing w:lineRule="auto" w:line="259" w:beforeAutospacing="0" w:before="0" w:afterAutospacing="0" w:after="160"/>
        <w:ind w:left="0" w:right="0" w:hanging="0"/>
        <w:jc w:val="left"/>
        <w:rPr>
          <w:rFonts w:ascii="Calibri" w:hAnsi="Calibri"/>
          <w:sz w:val="22"/>
          <w:szCs w:val="22"/>
        </w:rPr>
      </w:pPr>
      <w:r>
        <w:rPr>
          <w:rFonts w:ascii="Calibri" w:hAnsi="Calibri"/>
          <w:b w:val="false"/>
          <w:bCs w:val="false"/>
          <w:i w:val="false"/>
          <w:caps w:val="false"/>
          <w:smallCaps w:val="false"/>
          <w:color w:val="000000"/>
          <w:spacing w:val="0"/>
          <w:sz w:val="22"/>
          <w:szCs w:val="22"/>
        </w:rPr>
        <w:t xml:space="preserve">Mihoc A. J: </w:t>
      </w:r>
      <w:r>
        <w:rPr>
          <w:rFonts w:ascii="Calibri" w:hAnsi="Calibri"/>
          <w:b w:val="false"/>
          <w:bCs w:val="false"/>
          <w:i/>
          <w:iCs/>
          <w:caps w:val="false"/>
          <w:smallCaps w:val="false"/>
          <w:color w:val="000000"/>
          <w:spacing w:val="0"/>
          <w:sz w:val="22"/>
          <w:szCs w:val="22"/>
        </w:rPr>
        <w:t>Reception History</w:t>
      </w:r>
      <w:r>
        <w:rPr>
          <w:rFonts w:ascii="Calibri" w:hAnsi="Calibri"/>
          <w:b w:val="false"/>
          <w:bCs w:val="false"/>
          <w:i w:val="false"/>
          <w:caps w:val="false"/>
          <w:smallCaps w:val="false"/>
          <w:color w:val="000000"/>
          <w:spacing w:val="0"/>
          <w:sz w:val="22"/>
          <w:szCs w:val="22"/>
        </w:rPr>
        <w:t>: A Paradigmatic Turn in Contemporary Biblical Scholarship</w:t>
      </w:r>
    </w:p>
    <w:p>
      <w:pPr>
        <w:pStyle w:val="Normal"/>
        <w:spacing w:before="0" w:after="0"/>
        <w:ind w:left="0" w:right="0" w:hanging="0"/>
        <w:rPr>
          <w:rFonts w:ascii="Calibri" w:hAnsi="Calibri"/>
          <w:sz w:val="22"/>
          <w:szCs w:val="22"/>
        </w:rPr>
      </w:pPr>
      <w:r>
        <w:rPr>
          <w:rFonts w:ascii="Calibri" w:hAnsi="Calibri"/>
          <w:sz w:val="22"/>
          <w:szCs w:val="22"/>
        </w:rPr>
        <w:t xml:space="preserve">Pentiuc, </w:t>
      </w:r>
      <w:r>
        <w:rPr>
          <w:rFonts w:ascii="Calibri" w:hAnsi="Calibri"/>
          <w:sz w:val="22"/>
          <w:szCs w:val="22"/>
        </w:rPr>
        <w:t>E. J.,</w:t>
      </w:r>
      <w:r>
        <w:rPr>
          <w:rFonts w:ascii="Calibri" w:hAnsi="Calibri"/>
          <w:sz w:val="22"/>
          <w:szCs w:val="22"/>
        </w:rPr>
        <w:t>”</w:t>
      </w:r>
      <w:r>
        <w:rPr>
          <w:rFonts w:ascii="Calibri" w:hAnsi="Calibri"/>
          <w:i/>
          <w:iCs/>
          <w:sz w:val="22"/>
          <w:szCs w:val="22"/>
        </w:rPr>
        <w:t xml:space="preserve">Between Hebrew Bible and Old Testament: Synchronic and Diachronic </w:t>
      </w:r>
    </w:p>
    <w:p>
      <w:pPr>
        <w:pStyle w:val="Normal"/>
        <w:spacing w:before="0" w:after="0"/>
        <w:ind w:left="0" w:right="0" w:hanging="0"/>
        <w:rPr/>
      </w:pPr>
      <w:r>
        <w:rPr>
          <w:rFonts w:ascii="Calibri" w:hAnsi="Calibri"/>
          <w:sz w:val="22"/>
          <w:szCs w:val="22"/>
        </w:rPr>
        <w:t xml:space="preserve">                  </w:t>
      </w:r>
      <w:r>
        <w:rPr>
          <w:rFonts w:ascii="Calibri" w:hAnsi="Calibri"/>
          <w:i/>
          <w:iCs/>
          <w:sz w:val="22"/>
          <w:szCs w:val="22"/>
        </w:rPr>
        <w:t>Modes of     Interpretation,</w:t>
      </w:r>
      <w:r>
        <w:rPr>
          <w:rFonts w:ascii="Calibri" w:hAnsi="Calibri"/>
          <w:sz w:val="22"/>
          <w:szCs w:val="22"/>
        </w:rPr>
        <w:t xml:space="preserve">” </w:t>
      </w:r>
      <w:r>
        <w:rPr>
          <w:rStyle w:val="Emphasis"/>
          <w:rFonts w:ascii="Calibri" w:hAnsi="Calibri"/>
          <w:i/>
          <w:sz w:val="22"/>
          <w:szCs w:val="22"/>
        </w:rPr>
        <w:t xml:space="preserve">St. Vladimir’s Theological Quarterly </w:t>
      </w:r>
      <w:r>
        <w:rPr>
          <w:rFonts w:ascii="Calibri" w:hAnsi="Calibri"/>
          <w:sz w:val="22"/>
          <w:szCs w:val="22"/>
        </w:rPr>
        <w:t>50.4 (2006), pp. 381–396</w:t>
      </w:r>
    </w:p>
    <w:p>
      <w:pPr>
        <w:pStyle w:val="Normal"/>
        <w:spacing w:before="0" w:after="0"/>
        <w:ind w:left="0" w:right="0" w:hanging="0"/>
        <w:rPr/>
      </w:pPr>
      <w:r>
        <w:rPr>
          <w:rFonts w:ascii="Calibri" w:hAnsi="Calibri"/>
          <w:sz w:val="22"/>
          <w:szCs w:val="22"/>
        </w:rPr>
        <w:t xml:space="preserve"> </w:t>
      </w:r>
      <w:r>
        <w:rPr>
          <w:rFonts w:ascii="Calibri" w:hAnsi="Calibri"/>
          <w:sz w:val="22"/>
          <w:szCs w:val="22"/>
        </w:rPr>
        <w:t>Psalm 98: 9. NIV, ‘</w:t>
      </w:r>
      <w:hyperlink r:id="rId4">
        <w:r>
          <w:rPr>
            <w:rStyle w:val="InternetLink"/>
            <w:rFonts w:ascii="Calibri" w:hAnsi="Calibri"/>
            <w:sz w:val="22"/>
            <w:szCs w:val="22"/>
          </w:rPr>
          <w:t>https://www.biblestudytools.com/psalms/19.html</w:t>
        </w:r>
      </w:hyperlink>
      <w:r>
        <w:rPr>
          <w:rFonts w:ascii="Calibri" w:hAnsi="Calibri"/>
          <w:sz w:val="22"/>
          <w:szCs w:val="22"/>
        </w:rPr>
        <w:t xml:space="preserve">. </w:t>
      </w:r>
    </w:p>
    <w:p>
      <w:pPr>
        <w:pStyle w:val="Footnote"/>
        <w:widowControl/>
        <w:spacing w:before="0" w:after="160"/>
        <w:ind w:left="0" w:right="0" w:hanging="0"/>
        <w:rPr>
          <w:b w:val="false"/>
          <w:b w:val="false"/>
          <w:bCs w:val="false"/>
          <w:i w:val="false"/>
          <w:i w:val="false"/>
          <w:iCs w:val="false"/>
          <w:caps w:val="false"/>
          <w:smallCaps w:val="false"/>
          <w:strike w:val="false"/>
          <w:dstrike w:val="false"/>
          <w:color w:val="000000"/>
          <w:spacing w:val="0"/>
          <w:u w:val="none"/>
          <w:effect w:val="none"/>
        </w:rPr>
      </w:pPr>
      <w:r>
        <w:rPr>
          <w:rFonts w:ascii="Calibri" w:hAnsi="Calibri"/>
          <w:sz w:val="22"/>
          <w:szCs w:val="22"/>
        </w:rPr>
      </w:r>
    </w:p>
    <w:p>
      <w:pPr>
        <w:pStyle w:val="Footnote"/>
        <w:widowControl/>
        <w:spacing w:before="0" w:after="160"/>
        <w:ind w:left="0" w:right="0" w:hanging="0"/>
        <w:rPr>
          <w:rFonts w:ascii="Calibri" w:hAnsi="Calibri"/>
          <w:sz w:val="22"/>
          <w:szCs w:val="22"/>
        </w:rPr>
      </w:pP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Roberts, </w:t>
      </w:r>
      <w:r>
        <w:rPr>
          <w:rFonts w:ascii="Calibri" w:hAnsi="Calibri"/>
          <w:b w:val="false"/>
          <w:bCs w:val="false"/>
          <w:i w:val="false"/>
          <w:iCs w:val="false"/>
          <w:caps w:val="false"/>
          <w:smallCaps w:val="false"/>
          <w:strike w:val="false"/>
          <w:dstrike w:val="false"/>
          <w:color w:val="000000"/>
          <w:spacing w:val="0"/>
          <w:sz w:val="22"/>
          <w:szCs w:val="22"/>
          <w:u w:val="none"/>
          <w:effect w:val="none"/>
        </w:rPr>
        <w:t>J.,</w:t>
      </w: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 ‘</w:t>
      </w:r>
      <w:r>
        <w:rPr>
          <w:rFonts w:ascii="Calibri" w:hAnsi="Calibri"/>
          <w:b w:val="false"/>
          <w:bCs w:val="false"/>
          <w:i/>
          <w:iCs/>
          <w:caps w:val="false"/>
          <w:smallCaps w:val="false"/>
          <w:strike w:val="false"/>
          <w:dstrike w:val="false"/>
          <w:color w:val="000000"/>
          <w:spacing w:val="0"/>
          <w:sz w:val="22"/>
          <w:szCs w:val="22"/>
          <w:u w:val="none"/>
          <w:effect w:val="none"/>
        </w:rPr>
        <w:t>Introduction</w:t>
      </w: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 In The Oxford Handbook of the Reception History of the Bible eds. </w:t>
      </w:r>
    </w:p>
    <w:p>
      <w:pPr>
        <w:pStyle w:val="Footnote"/>
        <w:widowControl/>
        <w:spacing w:before="0" w:after="160"/>
        <w:ind w:left="0" w:right="0" w:hanging="0"/>
        <w:rPr>
          <w:rFonts w:ascii="Calibri" w:hAnsi="Calibri"/>
          <w:sz w:val="22"/>
          <w:szCs w:val="22"/>
        </w:rPr>
      </w:pP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               </w:t>
      </w:r>
      <w:r>
        <w:rPr>
          <w:rFonts w:ascii="Calibri" w:hAnsi="Calibri"/>
          <w:b w:val="false"/>
          <w:bCs w:val="false"/>
          <w:i w:val="false"/>
          <w:iCs w:val="false"/>
          <w:caps w:val="false"/>
          <w:smallCaps w:val="false"/>
          <w:strike w:val="false"/>
          <w:dstrike w:val="false"/>
          <w:color w:val="000000"/>
          <w:spacing w:val="0"/>
          <w:sz w:val="22"/>
          <w:szCs w:val="22"/>
          <w:u w:val="none"/>
          <w:effect w:val="none"/>
        </w:rPr>
        <w:t>M. Lieb, E. Mason, J. Roberts, and C. Rowland {Oxford: Oxford University Press, 2011}, pp. 1-8.</w:t>
      </w:r>
    </w:p>
    <w:p>
      <w:pPr>
        <w:pStyle w:val="TextBody"/>
        <w:widowControl/>
        <w:spacing w:before="0" w:after="160"/>
        <w:ind w:left="0" w:right="0" w:hanging="0"/>
        <w:rPr>
          <w:rFonts w:ascii="Calibri" w:hAnsi="Calibri"/>
          <w:sz w:val="22"/>
          <w:szCs w:val="22"/>
        </w:rPr>
      </w:pPr>
      <w:r>
        <w:rPr>
          <w:rFonts w:ascii="Calibri" w:hAnsi="Calibri"/>
          <w:b w:val="false"/>
          <w:bCs w:val="false"/>
          <w:i w:val="false"/>
          <w:caps w:val="false"/>
          <w:smallCaps w:val="false"/>
          <w:color w:val="000000"/>
          <w:spacing w:val="0"/>
          <w:sz w:val="22"/>
          <w:szCs w:val="22"/>
        </w:rPr>
        <w:t>Sawyer</w:t>
      </w:r>
      <w:r>
        <w:rPr>
          <w:rFonts w:ascii="Calibri" w:hAnsi="Calibri"/>
          <w:b w:val="false"/>
          <w:bCs w:val="false"/>
          <w:i w:val="false"/>
          <w:caps w:val="false"/>
          <w:smallCaps w:val="false"/>
          <w:color w:val="000000"/>
          <w:spacing w:val="0"/>
          <w:sz w:val="22"/>
          <w:szCs w:val="22"/>
        </w:rPr>
        <w:t xml:space="preserve">, </w:t>
      </w:r>
      <w:r>
        <w:rPr>
          <w:rFonts w:ascii="Calibri" w:hAnsi="Calibri"/>
          <w:b w:val="false"/>
          <w:bCs w:val="false"/>
          <w:i w:val="false"/>
          <w:caps w:val="false"/>
          <w:smallCaps w:val="false"/>
          <w:color w:val="000000"/>
          <w:spacing w:val="0"/>
          <w:sz w:val="22"/>
          <w:szCs w:val="22"/>
        </w:rPr>
        <w:t xml:space="preserve">J. F., </w:t>
      </w:r>
      <w:r>
        <w:rPr>
          <w:rFonts w:ascii="Calibri" w:hAnsi="Calibri"/>
          <w:b w:val="false"/>
          <w:bCs w:val="false"/>
          <w:i w:val="false"/>
          <w:caps w:val="false"/>
          <w:smallCaps w:val="false"/>
          <w:color w:val="000000"/>
          <w:spacing w:val="0"/>
          <w:sz w:val="22"/>
          <w:szCs w:val="22"/>
        </w:rPr>
        <w:t>“</w:t>
      </w:r>
      <w:r>
        <w:rPr>
          <w:rFonts w:ascii="Calibri" w:hAnsi="Calibri"/>
          <w:b w:val="false"/>
          <w:bCs w:val="false"/>
          <w:i/>
          <w:iCs/>
          <w:caps w:val="false"/>
          <w:smallCaps w:val="false"/>
          <w:color w:val="000000"/>
          <w:spacing w:val="0"/>
          <w:sz w:val="22"/>
          <w:szCs w:val="22"/>
        </w:rPr>
        <w:t>A Critical Review of Recent Projects and Publications</w:t>
      </w:r>
      <w:r>
        <w:rPr>
          <w:rFonts w:ascii="Calibri" w:hAnsi="Calibri"/>
          <w:b w:val="false"/>
          <w:bCs w:val="false"/>
          <w:i w:val="false"/>
          <w:caps w:val="false"/>
          <w:smallCaps w:val="false"/>
          <w:color w:val="000000"/>
          <w:spacing w:val="0"/>
          <w:sz w:val="22"/>
          <w:szCs w:val="22"/>
        </w:rPr>
        <w:t>,</w:t>
      </w:r>
      <w:r>
        <w:rPr>
          <w:rFonts w:ascii="Calibri" w:hAnsi="Calibri"/>
          <w:b w:val="false"/>
          <w:bCs w:val="false"/>
          <w:caps w:val="false"/>
          <w:smallCaps w:val="false"/>
          <w:color w:val="000000"/>
          <w:spacing w:val="0"/>
          <w:sz w:val="22"/>
          <w:szCs w:val="22"/>
        </w:rPr>
        <w:t xml:space="preserve">” </w:t>
      </w:r>
    </w:p>
    <w:p>
      <w:pPr>
        <w:pStyle w:val="TextBody"/>
        <w:widowControl/>
        <w:spacing w:before="0" w:after="160"/>
        <w:ind w:left="0" w:right="0" w:hanging="0"/>
        <w:rPr/>
      </w:pPr>
      <w:r>
        <w:rPr>
          <w:rFonts w:ascii="Calibri" w:hAnsi="Calibri"/>
          <w:b w:val="false"/>
          <w:bCs w:val="false"/>
          <w:i w:val="false"/>
          <w:caps w:val="false"/>
          <w:smallCaps w:val="false"/>
          <w:color w:val="000000"/>
          <w:spacing w:val="0"/>
          <w:sz w:val="22"/>
          <w:szCs w:val="22"/>
        </w:rPr>
        <w:t xml:space="preserve">                 </w:t>
      </w:r>
      <w:r>
        <w:rPr>
          <w:rFonts w:ascii="Calibri" w:hAnsi="Calibri"/>
          <w:b w:val="false"/>
          <w:bCs w:val="false"/>
          <w:i w:val="false"/>
          <w:caps w:val="false"/>
          <w:smallCaps w:val="false"/>
          <w:color w:val="000000"/>
          <w:spacing w:val="0"/>
          <w:sz w:val="22"/>
          <w:szCs w:val="22"/>
        </w:rPr>
        <w:t xml:space="preserve">in </w:t>
      </w:r>
      <w:r>
        <w:rPr>
          <w:rStyle w:val="Emphasis"/>
          <w:rFonts w:ascii="Calibri" w:hAnsi="Calibri"/>
          <w:b w:val="false"/>
          <w:i/>
          <w:color w:val="000000"/>
          <w:spacing w:val="0"/>
          <w:sz w:val="22"/>
          <w:szCs w:val="22"/>
        </w:rPr>
        <w:t xml:space="preserve">Hebrew Bible and Ancient Israel </w:t>
      </w:r>
      <w:r>
        <w:rPr>
          <w:rFonts w:ascii="Calibri" w:hAnsi="Calibri"/>
          <w:b w:val="false"/>
          <w:bCs w:val="false"/>
          <w:i w:val="false"/>
          <w:caps w:val="false"/>
          <w:smallCaps w:val="false"/>
          <w:color w:val="000000"/>
          <w:spacing w:val="0"/>
          <w:sz w:val="22"/>
          <w:szCs w:val="22"/>
        </w:rPr>
        <w:t>1.3 (</w:t>
      </w:r>
      <w:r>
        <w:rPr>
          <w:rFonts w:ascii="Calibri" w:hAnsi="Calibri"/>
          <w:b w:val="false"/>
          <w:bCs w:val="false"/>
          <w:i w:val="false"/>
          <w:caps w:val="false"/>
          <w:smallCaps w:val="false"/>
          <w:color w:val="000000"/>
          <w:spacing w:val="0"/>
          <w:sz w:val="22"/>
          <w:szCs w:val="22"/>
        </w:rPr>
        <w:t>2012</w:t>
      </w:r>
      <w:r>
        <w:rPr>
          <w:rFonts w:ascii="Calibri" w:hAnsi="Calibri"/>
          <w:b w:val="false"/>
          <w:bCs w:val="false"/>
          <w:i w:val="false"/>
          <w:caps w:val="false"/>
          <w:smallCaps w:val="false"/>
          <w:color w:val="000000"/>
          <w:spacing w:val="0"/>
          <w:sz w:val="22"/>
          <w:szCs w:val="22"/>
        </w:rPr>
        <w:t>), pp. 298–326.</w:t>
      </w:r>
      <w:r>
        <w:rPr>
          <w:rFonts w:ascii="Calibri" w:hAnsi="Calibri"/>
          <w:color w:val="000000"/>
          <w:sz w:val="22"/>
          <w:szCs w:val="22"/>
        </w:rPr>
        <w:t xml:space="preserve"> </w:t>
      </w:r>
    </w:p>
    <w:p>
      <w:pPr>
        <w:pStyle w:val="Normal"/>
        <w:bidi w:val="0"/>
        <w:spacing w:lineRule="auto" w:line="259" w:beforeAutospacing="0" w:before="0" w:afterAutospacing="0" w:after="160"/>
        <w:ind w:left="0" w:right="0" w:hanging="0"/>
        <w:jc w:val="left"/>
        <w:rPr>
          <w:i w:val="false"/>
          <w:caps w:val="false"/>
          <w:smallCaps w:val="false"/>
          <w:spacing w:val="0"/>
        </w:rPr>
      </w:pPr>
      <w:r>
        <w:rPr>
          <w:rFonts w:ascii="Calibri" w:hAnsi="Calibri"/>
          <w:b w:val="false"/>
          <w:bCs w:val="false"/>
          <w:color w:val="000000"/>
          <w:sz w:val="22"/>
          <w:szCs w:val="22"/>
        </w:rPr>
      </w:r>
    </w:p>
    <w:p>
      <w:pPr>
        <w:pStyle w:val="Normal"/>
        <w:bidi w:val="0"/>
        <w:spacing w:lineRule="auto" w:line="259" w:beforeAutospacing="0" w:before="0" w:afterAutospacing="0" w:after="160"/>
        <w:ind w:left="0" w:right="0" w:hanging="0"/>
        <w:jc w:val="left"/>
        <w:rPr>
          <w:b w:val="false"/>
          <w:b w:val="false"/>
          <w:bCs w:val="false"/>
          <w:i w:val="false"/>
          <w:i w:val="false"/>
          <w:iCs/>
          <w:caps w:val="false"/>
          <w:smallCaps w:val="false"/>
          <w:strike w:val="false"/>
          <w:dstrike w:val="false"/>
          <w:color w:val="006FB7"/>
          <w:spacing w:val="0"/>
          <w:u w:val="none"/>
          <w:effect w:val="none"/>
        </w:rPr>
      </w:pPr>
      <w:r>
        <w:rPr>
          <w:rFonts w:ascii="Calibri" w:hAnsi="Calibri"/>
          <w:sz w:val="22"/>
          <w:szCs w:val="22"/>
        </w:rPr>
      </w:r>
    </w:p>
    <w:p>
      <w:pPr>
        <w:pStyle w:val="Normal"/>
        <w:bidi w:val="0"/>
        <w:spacing w:lineRule="auto" w:line="259" w:beforeAutospacing="0" w:before="0" w:afterAutospacing="0" w:after="160"/>
        <w:ind w:left="0" w:right="0" w:hanging="0"/>
        <w:jc w:val="left"/>
        <w:rPr>
          <w:b w:val="false"/>
          <w:b w:val="false"/>
          <w:bCs w:val="false"/>
          <w:i w:val="false"/>
          <w:i w:val="false"/>
          <w:iCs/>
          <w:caps w:val="false"/>
          <w:smallCaps w:val="false"/>
          <w:strike w:val="false"/>
          <w:dstrike w:val="false"/>
          <w:color w:val="006FB7"/>
          <w:spacing w:val="0"/>
          <w:u w:val="none"/>
          <w:effect w:val="none"/>
        </w:rPr>
      </w:pPr>
      <w:r>
        <w:rPr>
          <w:rFonts w:ascii="Calibri" w:hAnsi="Calibri"/>
          <w:sz w:val="22"/>
          <w:szCs w:val="22"/>
        </w:rPr>
      </w:r>
    </w:p>
    <w:p>
      <w:pPr>
        <w:pStyle w:val="Normal"/>
        <w:bidi w:val="0"/>
        <w:spacing w:lineRule="auto" w:line="259" w:beforeAutospacing="0" w:before="0" w:afterAutospacing="0" w:after="160"/>
        <w:ind w:left="0" w:right="0" w:hanging="0"/>
        <w:jc w:val="left"/>
        <w:rPr>
          <w:b w:val="false"/>
          <w:b w:val="false"/>
          <w:bCs w:val="false"/>
          <w:i w:val="false"/>
          <w:i w:val="false"/>
          <w:iCs/>
          <w:caps w:val="false"/>
          <w:smallCaps w:val="false"/>
          <w:strike w:val="false"/>
          <w:dstrike w:val="false"/>
          <w:color w:val="006FB7"/>
          <w:spacing w:val="0"/>
          <w:u w:val="none"/>
          <w:effect w:val="none"/>
        </w:rPr>
      </w:pPr>
      <w:r>
        <w:rPr>
          <w:rFonts w:ascii="Calibri" w:hAnsi="Calibri"/>
          <w:sz w:val="22"/>
          <w:szCs w:val="22"/>
        </w:rPr>
      </w:r>
    </w:p>
    <w:p>
      <w:pPr>
        <w:pStyle w:val="Normal"/>
        <w:bidi w:val="0"/>
        <w:spacing w:lineRule="auto" w:line="259" w:beforeAutospacing="0" w:before="0" w:afterAutospacing="0" w:after="160"/>
        <w:ind w:left="0" w:right="0" w:hanging="0"/>
        <w:jc w:val="left"/>
        <w:rPr>
          <w:b w:val="false"/>
          <w:b w:val="false"/>
          <w:bCs w:val="false"/>
          <w:i w:val="false"/>
          <w:i w:val="false"/>
          <w:iCs/>
          <w:caps w:val="false"/>
          <w:smallCaps w:val="false"/>
          <w:strike w:val="false"/>
          <w:dstrike w:val="false"/>
          <w:color w:val="006FB7"/>
          <w:spacing w:val="0"/>
          <w:u w:val="none"/>
          <w:effect w:val="none"/>
        </w:rPr>
      </w:pPr>
      <w:r>
        <w:rPr>
          <w:rFonts w:ascii="Calibri" w:hAnsi="Calibri"/>
          <w:sz w:val="22"/>
          <w:szCs w:val="22"/>
        </w:rPr>
      </w:r>
    </w:p>
    <w:p>
      <w:pPr>
        <w:pStyle w:val="Normal"/>
        <w:bidi w:val="0"/>
        <w:spacing w:lineRule="auto" w:line="259" w:beforeAutospacing="0" w:before="0" w:afterAutospacing="0" w:after="160"/>
        <w:ind w:left="0" w:right="0" w:hanging="0"/>
        <w:jc w:val="left"/>
        <w:rPr>
          <w:b w:val="false"/>
          <w:b w:val="false"/>
          <w:bCs w:val="false"/>
          <w:i w:val="false"/>
          <w:i w:val="false"/>
          <w:iCs/>
          <w:caps w:val="false"/>
          <w:smallCaps w:val="false"/>
          <w:strike w:val="false"/>
          <w:dstrike w:val="false"/>
          <w:color w:val="006FB7"/>
          <w:spacing w:val="0"/>
          <w:u w:val="none"/>
          <w:effect w:val="none"/>
        </w:rPr>
      </w:pPr>
      <w:r>
        <w:rPr>
          <w:rFonts w:ascii="Calibri" w:hAnsi="Calibri"/>
          <w:sz w:val="22"/>
          <w:szCs w:val="22"/>
        </w:rPr>
      </w:r>
    </w:p>
    <w:p>
      <w:pPr>
        <w:pStyle w:val="Normal"/>
        <w:bidi w:val="0"/>
        <w:spacing w:lineRule="auto" w:line="259" w:beforeAutospacing="0" w:before="0" w:afterAutospacing="0" w:after="160"/>
        <w:ind w:left="0" w:right="0" w:hanging="0"/>
        <w:jc w:val="left"/>
        <w:rPr>
          <w:rFonts w:ascii="Calibri" w:hAnsi="Calibri"/>
          <w:b w:val="false"/>
          <w:b w:val="false"/>
          <w:bCs w:val="false"/>
          <w:i w:val="false"/>
          <w:i w:val="false"/>
          <w:iCs/>
          <w:caps w:val="false"/>
          <w:smallCaps w:val="false"/>
          <w:strike w:val="false"/>
          <w:dstrike w:val="false"/>
          <w:color w:val="000000"/>
          <w:spacing w:val="0"/>
          <w:sz w:val="22"/>
          <w:szCs w:val="22"/>
          <w:u w:val="none"/>
          <w:effect w:val="none"/>
        </w:rPr>
      </w:pPr>
      <w:r>
        <w:rPr/>
      </w:r>
    </w:p>
    <w:p>
      <w:pPr>
        <w:pStyle w:val="Normal"/>
        <w:bidi w:val="0"/>
        <w:spacing w:lineRule="auto" w:line="259" w:beforeAutospacing="0" w:before="0" w:afterAutospacing="0" w:after="160"/>
        <w:ind w:left="0" w:right="0" w:hanging="0"/>
        <w:jc w:val="left"/>
        <w:rPr>
          <w:b w:val="false"/>
          <w:b w:val="false"/>
          <w:bCs w:val="false"/>
          <w:i w:val="false"/>
          <w:i w:val="false"/>
          <w:iCs/>
          <w:caps w:val="false"/>
          <w:smallCaps w:val="false"/>
          <w:strike w:val="false"/>
          <w:dstrike w:val="false"/>
          <w:color w:val="006FB7"/>
          <w:spacing w:val="0"/>
          <w:u w:val="none"/>
          <w:effect w:val="none"/>
        </w:rPr>
      </w:pPr>
      <w:r>
        <w:rPr>
          <w:rFonts w:ascii="Calibri" w:hAnsi="Calibri"/>
          <w:sz w:val="22"/>
          <w:szCs w:val="22"/>
        </w:rPr>
      </w:r>
    </w:p>
    <w:p>
      <w:pPr>
        <w:pStyle w:val="Normal"/>
        <w:bidi w:val="0"/>
        <w:spacing w:lineRule="auto" w:line="259" w:beforeAutospacing="0" w:before="0" w:afterAutospacing="0" w:after="160"/>
        <w:ind w:left="0" w:right="0" w:hanging="0"/>
        <w:jc w:val="left"/>
        <w:rPr>
          <w:b w:val="false"/>
          <w:b w:val="false"/>
          <w:bCs w:val="false"/>
          <w:i w:val="false"/>
          <w:i w:val="false"/>
          <w:iCs/>
          <w:caps w:val="false"/>
          <w:smallCaps w:val="false"/>
          <w:strike w:val="false"/>
          <w:dstrike w:val="false"/>
          <w:color w:val="006FB7"/>
          <w:spacing w:val="0"/>
          <w:u w:val="none"/>
          <w:effect w:val="none"/>
        </w:rPr>
      </w:pPr>
      <w:r>
        <w:rPr>
          <w:rFonts w:ascii="Calibri" w:hAnsi="Calibri"/>
          <w:sz w:val="22"/>
          <w:szCs w:val="22"/>
        </w:rPr>
      </w:r>
    </w:p>
    <w:sectPr>
      <w:footnotePr>
        <w:numFmt w:val="decimal"/>
      </w:footnote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Times New Roman">
    <w:charset w:val="00"/>
    <w:family w:val="swiss"/>
    <w:pitch w:val="variable"/>
  </w:font>
  <w:font w:name="Tahoma">
    <w:charset w:val="00"/>
    <w:family w:val="roman"/>
    <w:pitch w:val="variable"/>
  </w:font>
  <w:font w:name="OpenSymbol">
    <w:altName w:val="Arial Unicode MS"/>
    <w:charset w:val="00"/>
    <w:family w:val="roman"/>
    <w:pitch w:val="variable"/>
  </w:font>
  <w:font w:name="Merriweather">
    <w:altName w:val="serif"/>
    <w:charset w:val="00"/>
    <w:family w:val="roman"/>
    <w:pitch w:val="variable"/>
  </w:font>
  <w:font w:name="Arial">
    <w:charset w:val="00"/>
    <w:family w:val="roman"/>
    <w:pitch w:val="variable"/>
  </w:font>
  <w:font w:name="Calibri">
    <w:charset w:val="01"/>
    <w:family w:val="swiss"/>
    <w:pitch w:val="variable"/>
  </w:font>
  <w:font w:name="Source Sans Pro">
    <w:altName w:val="Helvetica"/>
    <w:charset w:val="00"/>
    <w:family w:val="auto"/>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spacing w:before="0" w:after="160"/>
        <w:rPr>
          <w:sz w:val="18"/>
          <w:szCs w:val="18"/>
        </w:rPr>
      </w:pPr>
      <w:r>
        <w:rPr>
          <w:rStyle w:val="FootnoteCharacters"/>
        </w:rPr>
        <w:footnoteRef/>
      </w:r>
      <w:r>
        <w:rPr>
          <w:sz w:val="18"/>
          <w:szCs w:val="18"/>
        </w:rPr>
        <w:tab/>
        <w:t>Brennan Breed, ‘What is reception History?’</w:t>
      </w:r>
      <w:hyperlink r:id="rId1">
        <w:r>
          <w:rPr>
            <w:rStyle w:val="InternetLink"/>
            <w:rFonts w:ascii="Calibri" w:hAnsi="Calibri"/>
            <w:b w:val="false"/>
            <w:i w:val="false"/>
            <w:caps w:val="false"/>
            <w:smallCaps w:val="false"/>
            <w:color w:val="2A2A2A"/>
            <w:spacing w:val="0"/>
            <w:sz w:val="18"/>
            <w:szCs w:val="18"/>
          </w:rPr>
          <w:t>https://www.bibleodyssey.org/bible-basics/what-is-reception-history/</w:t>
        </w:r>
      </w:hyperlink>
      <w:r>
        <w:rPr>
          <w:rFonts w:ascii="Calibri" w:hAnsi="Calibri"/>
          <w:b w:val="false"/>
          <w:i w:val="false"/>
          <w:caps w:val="false"/>
          <w:smallCaps w:val="false"/>
          <w:color w:val="2A2A2A"/>
          <w:spacing w:val="0"/>
          <w:sz w:val="18"/>
          <w:szCs w:val="18"/>
        </w:rPr>
        <w:t>.</w:t>
      </w:r>
    </w:p>
  </w:footnote>
  <w:footnote w:id="3">
    <w:p>
      <w:pPr>
        <w:pStyle w:val="Footnote"/>
        <w:spacing w:before="0" w:after="160"/>
        <w:rPr>
          <w:sz w:val="18"/>
          <w:szCs w:val="18"/>
        </w:rPr>
      </w:pPr>
      <w:r>
        <w:rPr>
          <w:rStyle w:val="FootnoteCharacters"/>
        </w:rPr>
        <w:footnoteRef/>
      </w:r>
      <w:r>
        <w:rPr>
          <w:sz w:val="18"/>
          <w:szCs w:val="18"/>
        </w:rPr>
        <w:tab/>
        <w:t>Timothy Beal, ‘</w:t>
      </w:r>
      <w:r>
        <w:rPr>
          <w:sz w:val="18"/>
          <w:szCs w:val="18"/>
        </w:rPr>
        <w:t>Reception History and Beyond: Toward the Cultural History of Scriptures’</w:t>
      </w:r>
      <w:r>
        <w:rPr>
          <w:i/>
          <w:iCs/>
          <w:sz w:val="18"/>
          <w:szCs w:val="18"/>
        </w:rPr>
        <w:t xml:space="preserve"> Biblical Interpretation </w:t>
      </w:r>
      <w:r>
        <w:rPr>
          <w:i w:val="false"/>
          <w:iCs w:val="false"/>
          <w:sz w:val="18"/>
          <w:szCs w:val="18"/>
        </w:rPr>
        <w:t>19 {2011},pp. 357-372</w:t>
      </w:r>
    </w:p>
  </w:footnote>
  <w:footnote w:id="4">
    <w:p>
      <w:pPr>
        <w:pStyle w:val="Footnote"/>
        <w:spacing w:before="0" w:after="160"/>
        <w:rPr>
          <w:sz w:val="18"/>
          <w:szCs w:val="18"/>
        </w:rPr>
      </w:pPr>
      <w:r>
        <w:rPr>
          <w:rStyle w:val="FootnoteCharacters"/>
        </w:rPr>
        <w:footnoteRef/>
      </w:r>
      <w:r>
        <w:rPr>
          <w:sz w:val="18"/>
          <w:szCs w:val="18"/>
        </w:rPr>
        <w:tab/>
        <w:t>Jonathan Roberts, ‘</w:t>
      </w:r>
      <w:r>
        <w:rPr>
          <w:sz w:val="18"/>
          <w:szCs w:val="18"/>
        </w:rPr>
        <w:t>Introduction’, In The Oxford Handbook of the Reception History of the Bible eds. M. Lieb, E. Mason, J. Roberts, and C. Rowland {Oxford: Oxford University Press, 2011}, pp. 1-8.</w:t>
      </w:r>
    </w:p>
  </w:footnote>
  <w:footnote w:id="5">
    <w:p>
      <w:pPr>
        <w:pStyle w:val="Heading1"/>
        <w:widowControl/>
        <w:pBdr/>
        <w:spacing w:before="0" w:after="0"/>
        <w:ind w:right="150" w:hanging="0"/>
        <w:rPr>
          <w:color w:val="000000"/>
          <w:sz w:val="18"/>
          <w:szCs w:val="18"/>
        </w:rPr>
      </w:pPr>
      <w:r>
        <w:rPr>
          <w:rStyle w:val="FootnoteCharacters"/>
        </w:rPr>
        <w:footnoteRef/>
      </w:r>
      <w:r>
        <w:rPr>
          <w:rFonts w:ascii="Calibri" w:hAnsi="Calibri"/>
          <w:b w:val="false"/>
          <w:bCs w:val="false"/>
          <w:i w:val="false"/>
          <w:caps w:val="false"/>
          <w:smallCaps w:val="false"/>
          <w:color w:val="000000"/>
          <w:spacing w:val="0"/>
          <w:sz w:val="18"/>
          <w:szCs w:val="18"/>
        </w:rPr>
        <w:t xml:space="preserve">      </w:t>
      </w:r>
      <w:r>
        <w:rPr>
          <w:rFonts w:ascii="Calibri" w:hAnsi="Calibri"/>
          <w:b w:val="false"/>
          <w:bCs w:val="false"/>
          <w:i w:val="false"/>
          <w:caps w:val="false"/>
          <w:smallCaps w:val="false"/>
          <w:color w:val="000000"/>
          <w:spacing w:val="0"/>
          <w:sz w:val="18"/>
          <w:szCs w:val="18"/>
        </w:rPr>
        <w:t>J</w:t>
      </w:r>
      <w:r>
        <w:rPr>
          <w:rFonts w:ascii="Calibri" w:hAnsi="Calibri"/>
          <w:b w:val="false"/>
          <w:bCs w:val="false"/>
          <w:i w:val="false"/>
          <w:caps w:val="false"/>
          <w:smallCaps w:val="false"/>
          <w:color w:val="000000"/>
          <w:spacing w:val="0"/>
          <w:sz w:val="18"/>
          <w:szCs w:val="18"/>
        </w:rPr>
        <w:t>ustin A. Mihoc, ‘</w:t>
      </w:r>
      <w:r>
        <w:rPr>
          <w:rFonts w:ascii="Calibri" w:hAnsi="Calibri"/>
          <w:b w:val="false"/>
          <w:bCs w:val="false"/>
          <w:i w:val="false"/>
          <w:caps w:val="false"/>
          <w:smallCaps w:val="false"/>
          <w:color w:val="000000"/>
          <w:spacing w:val="0"/>
          <w:sz w:val="18"/>
          <w:szCs w:val="18"/>
        </w:rPr>
        <w:t xml:space="preserve">Reception History’: </w:t>
      </w:r>
      <w:r>
        <w:rPr>
          <w:rFonts w:ascii="Calibri" w:hAnsi="Calibri"/>
          <w:b w:val="false"/>
          <w:bCs w:val="false"/>
          <w:i/>
          <w:iCs/>
          <w:caps w:val="false"/>
          <w:smallCaps w:val="false"/>
          <w:color w:val="000000"/>
          <w:spacing w:val="0"/>
          <w:sz w:val="18"/>
          <w:szCs w:val="18"/>
        </w:rPr>
        <w:t>A Paradigmatic Turn in Contemporary Biblical Scholarship</w:t>
      </w:r>
    </w:p>
  </w:footnote>
  <w:footnote w:id="6">
    <w:p>
      <w:pPr>
        <w:pStyle w:val="Normal"/>
        <w:spacing w:before="0" w:after="0"/>
        <w:ind w:left="0" w:right="0" w:hanging="0"/>
        <w:rPr/>
      </w:pPr>
      <w:r>
        <w:rPr>
          <w:rStyle w:val="FootnoteCharacters"/>
        </w:rPr>
        <w:footnoteRef/>
      </w:r>
      <w:r>
        <w:rPr>
          <w:rFonts w:ascii="Calibri" w:hAnsi="Calibri"/>
          <w:sz w:val="18"/>
          <w:szCs w:val="18"/>
        </w:rPr>
        <w:t xml:space="preserve">   </w:t>
      </w:r>
      <w:r>
        <w:rPr>
          <w:rFonts w:ascii="Calibri" w:hAnsi="Calibri"/>
          <w:sz w:val="20"/>
          <w:szCs w:val="20"/>
        </w:rPr>
        <w:t xml:space="preserve">  </w:t>
      </w:r>
      <w:r>
        <w:rPr>
          <w:rFonts w:ascii="Calibri" w:hAnsi="Calibri"/>
          <w:sz w:val="18"/>
          <w:szCs w:val="18"/>
        </w:rPr>
        <w:t>John F.A. Sawyer, “A Critical Review of Recent Projects and Publications,”</w:t>
      </w:r>
      <w:r>
        <w:rPr>
          <w:rStyle w:val="Emphasis"/>
          <w:rFonts w:ascii="Calibri" w:hAnsi="Calibri"/>
          <w:i/>
          <w:sz w:val="18"/>
          <w:szCs w:val="18"/>
        </w:rPr>
        <w:t xml:space="preserve">Hebrew Bible and Ancient Israel </w:t>
      </w:r>
      <w:r>
        <w:rPr>
          <w:rFonts w:ascii="Calibri" w:hAnsi="Calibri"/>
          <w:sz w:val="18"/>
          <w:szCs w:val="18"/>
        </w:rPr>
        <w:t>1.3 (2012), p. 321</w:t>
      </w:r>
      <w:r>
        <w:rPr>
          <w:rFonts w:ascii="Calibri" w:hAnsi="Calibri"/>
          <w:b w:val="false"/>
          <w:i w:val="false"/>
          <w:caps w:val="false"/>
          <w:smallCaps w:val="false"/>
          <w:color w:val="2A2A2A"/>
          <w:spacing w:val="0"/>
          <w:sz w:val="18"/>
          <w:szCs w:val="18"/>
        </w:rPr>
        <w:t>.</w:t>
      </w:r>
    </w:p>
  </w:footnote>
  <w:footnote w:id="7">
    <w:p>
      <w:pPr>
        <w:pStyle w:val="Normal"/>
        <w:bidi w:val="0"/>
        <w:spacing w:lineRule="auto" w:line="259" w:beforeAutospacing="0" w:before="0" w:afterAutospacing="0" w:after="160"/>
        <w:ind w:left="0" w:right="0" w:hanging="0"/>
        <w:jc w:val="left"/>
        <w:rPr/>
      </w:pPr>
      <w:r>
        <w:rPr>
          <w:rStyle w:val="FootnoteCharacters"/>
        </w:rPr>
        <w:footnoteRef/>
      </w:r>
      <w:r>
        <w:rPr>
          <w:rFonts w:eastAsia="Merriweather" w:cs="Merriweather" w:ascii="Calibri" w:hAnsi="Calibri"/>
          <w:b w:val="false"/>
          <w:bCs/>
          <w:i w:val="false"/>
          <w:iCs w:val="false"/>
          <w:caps w:val="false"/>
          <w:smallCaps w:val="false"/>
          <w:color w:val="2A2A2A"/>
          <w:spacing w:val="0"/>
          <w:sz w:val="18"/>
          <w:szCs w:val="18"/>
          <w:lang w:val="en-US"/>
        </w:rPr>
        <w:t xml:space="preserve">   </w:t>
      </w:r>
      <w:r>
        <w:rPr>
          <w:rFonts w:eastAsia="Merriweather" w:cs="Merriweather" w:ascii="Calibri" w:hAnsi="Calibri"/>
          <w:b w:val="false"/>
          <w:bCs/>
          <w:i w:val="false"/>
          <w:iCs w:val="false"/>
          <w:caps w:val="false"/>
          <w:smallCaps w:val="false"/>
          <w:color w:val="2A2A2A"/>
          <w:spacing w:val="0"/>
          <w:sz w:val="22"/>
          <w:szCs w:val="22"/>
          <w:lang w:val="en-US"/>
        </w:rPr>
        <w:t xml:space="preserve"> </w:t>
      </w:r>
      <w:r>
        <w:rPr>
          <w:rFonts w:eastAsia="Merriweather" w:cs="Merriweather" w:ascii="Calibri" w:hAnsi="Calibri"/>
          <w:b w:val="false"/>
          <w:bCs/>
          <w:i w:val="false"/>
          <w:iCs w:val="false"/>
          <w:caps w:val="false"/>
          <w:smallCaps w:val="false"/>
          <w:color w:val="2A2A2A"/>
          <w:spacing w:val="0"/>
          <w:sz w:val="18"/>
          <w:szCs w:val="18"/>
          <w:lang w:val="en-US"/>
        </w:rPr>
        <w:t xml:space="preserve"> </w:t>
      </w:r>
      <w:r>
        <w:rPr>
          <w:rFonts w:eastAsia="Merriweather" w:cs="Merriweather" w:ascii="Calibri" w:hAnsi="Calibri"/>
          <w:b w:val="false"/>
          <w:bCs/>
          <w:i w:val="false"/>
          <w:iCs w:val="false"/>
          <w:caps w:val="false"/>
          <w:smallCaps w:val="false"/>
          <w:color w:val="2A2A2A"/>
          <w:spacing w:val="0"/>
          <w:sz w:val="18"/>
          <w:szCs w:val="18"/>
          <w:lang w:val="en-US"/>
        </w:rPr>
        <w:t>Hans-Georg Gadamer, ‘</w:t>
      </w:r>
      <w:r>
        <w:rPr>
          <w:rFonts w:eastAsia="Merriweather" w:cs="Merriweather" w:ascii="Calibri" w:hAnsi="Calibri"/>
          <w:b w:val="false"/>
          <w:bCs/>
          <w:i w:val="false"/>
          <w:iCs w:val="false"/>
          <w:caps w:val="false"/>
          <w:smallCaps w:val="false"/>
          <w:color w:val="2A2A2A"/>
          <w:spacing w:val="0"/>
          <w:sz w:val="18"/>
          <w:szCs w:val="18"/>
          <w:lang w:val="en-US"/>
        </w:rPr>
        <w:t>Truth and Method’</w:t>
      </w:r>
      <w:r>
        <w:rPr>
          <w:rFonts w:eastAsia="Merriweather" w:cs="Merriweather" w:ascii="Calibri" w:hAnsi="Calibri"/>
          <w:b w:val="false"/>
          <w:bCs w:val="false"/>
          <w:i w:val="false"/>
          <w:iCs w:val="false"/>
          <w:caps w:val="false"/>
          <w:smallCaps w:val="false"/>
          <w:color w:val="000000"/>
          <w:spacing w:val="0"/>
          <w:sz w:val="18"/>
          <w:szCs w:val="18"/>
          <w:lang w:val="en-US"/>
        </w:rPr>
        <w:t xml:space="preserve">rans. J. Weinsheimer and D.G. Marshsall, </w:t>
      </w:r>
      <w:r>
        <w:rPr>
          <w:rFonts w:eastAsia="Merriweather" w:cs="Merriweather" w:ascii="Calibri" w:hAnsi="Calibri"/>
          <w:b w:val="false"/>
          <w:bCs w:val="false"/>
          <w:i w:val="false"/>
          <w:iCs w:val="false"/>
          <w:caps w:val="false"/>
          <w:smallCaps w:val="false"/>
          <w:color w:val="000000"/>
          <w:spacing w:val="0"/>
          <w:sz w:val="18"/>
          <w:szCs w:val="18"/>
          <w:lang w:val="en-US"/>
        </w:rPr>
        <w:t xml:space="preserve">2nd edition (London: Continuum,2004), </w:t>
      </w:r>
      <w:r>
        <w:rPr>
          <w:rFonts w:eastAsia="Merriweather" w:cs="Merriweather" w:ascii="Calibri" w:hAnsi="Calibri"/>
          <w:b w:val="false"/>
          <w:bCs w:val="false"/>
          <w:i w:val="false"/>
          <w:iCs w:val="false"/>
          <w:caps w:val="false"/>
          <w:smallCaps w:val="false"/>
          <w:color w:val="000000"/>
          <w:spacing w:val="0"/>
          <w:sz w:val="18"/>
          <w:szCs w:val="18"/>
          <w:lang w:val="en-US"/>
        </w:rPr>
        <w:t>pp 276-277.</w:t>
      </w:r>
    </w:p>
  </w:footnote>
  <w:footnote w:id="8">
    <w:p>
      <w:pPr>
        <w:pStyle w:val="Footnote"/>
        <w:spacing w:before="0" w:after="160"/>
        <w:rPr>
          <w:sz w:val="18"/>
          <w:szCs w:val="18"/>
        </w:rPr>
      </w:pPr>
      <w:r>
        <w:rPr>
          <w:rStyle w:val="FootnoteCharacters"/>
        </w:rPr>
        <w:footnoteRef/>
      </w:r>
      <w:r>
        <w:rPr>
          <w:sz w:val="18"/>
          <w:szCs w:val="18"/>
        </w:rPr>
        <w:tab/>
        <w:t>Justin A, Mihoc, ‘Reception History’: A Paradigmatic Turn in Contemporary Biblical Scholarship. The Oxford Handbook of the bible in Orthodox Christianity</w:t>
      </w:r>
    </w:p>
  </w:footnote>
  <w:footnote w:id="9">
    <w:p>
      <w:pPr>
        <w:pStyle w:val="Normal"/>
        <w:spacing w:before="0" w:after="0"/>
        <w:ind w:left="0" w:right="0" w:hanging="0"/>
        <w:rPr/>
      </w:pPr>
      <w:r>
        <w:rPr>
          <w:rStyle w:val="FootnoteCharacters"/>
        </w:rPr>
        <w:footnoteRef/>
      </w:r>
      <w:r>
        <w:rPr>
          <w:rFonts w:ascii="Calibri" w:hAnsi="Calibri"/>
          <w:sz w:val="18"/>
          <w:szCs w:val="18"/>
        </w:rPr>
        <w:t xml:space="preserve">   </w:t>
      </w:r>
      <w:r>
        <w:rPr>
          <w:rFonts w:ascii="Calibri" w:hAnsi="Calibri"/>
          <w:sz w:val="18"/>
          <w:szCs w:val="18"/>
        </w:rPr>
        <w:t>Eugen J. Pentiuc, ”Between Hebrew Bible and Old Testament: Synchronic and Diachronic Modes of Interpretation,”</w:t>
      </w:r>
      <w:r>
        <w:rPr>
          <w:rStyle w:val="Emphasis"/>
          <w:rFonts w:ascii="Calibri" w:hAnsi="Calibri"/>
          <w:i/>
          <w:sz w:val="18"/>
          <w:szCs w:val="18"/>
        </w:rPr>
        <w:t xml:space="preserve">St. Vladimir’s Theological Quarterly </w:t>
      </w:r>
      <w:r>
        <w:rPr>
          <w:rFonts w:ascii="Calibri" w:hAnsi="Calibri"/>
          <w:sz w:val="18"/>
          <w:szCs w:val="18"/>
        </w:rPr>
        <w:t>50.4 (2006), pp. 381–396</w:t>
      </w:r>
    </w:p>
  </w:footnote>
  <w:footnote w:id="10">
    <w:p>
      <w:pPr>
        <w:pStyle w:val="Footnote"/>
        <w:spacing w:before="0" w:after="160"/>
        <w:ind w:hanging="0"/>
        <w:rPr/>
      </w:pPr>
      <w:r>
        <w:rPr>
          <w:rStyle w:val="FootnoteCharacters"/>
        </w:rPr>
        <w:footnoteRef/>
      </w:r>
      <w:r>
        <w:rPr>
          <w:rFonts w:ascii="Calibri" w:hAnsi="Calibri"/>
          <w:b w:val="false"/>
          <w:bCs w:val="false"/>
          <w:i w:val="false"/>
          <w:caps w:val="false"/>
          <w:smallCaps w:val="false"/>
          <w:color w:val="2A2A2A"/>
          <w:spacing w:val="0"/>
          <w:sz w:val="18"/>
          <w:szCs w:val="18"/>
        </w:rPr>
        <w:t xml:space="preserve">    </w:t>
      </w:r>
      <w:r>
        <w:rPr>
          <w:rFonts w:ascii="Calibri" w:hAnsi="Calibri"/>
          <w:b w:val="false"/>
          <w:bCs w:val="false"/>
          <w:i w:val="false"/>
          <w:caps w:val="false"/>
          <w:smallCaps w:val="false"/>
          <w:color w:val="2A2A2A"/>
          <w:spacing w:val="0"/>
          <w:sz w:val="18"/>
          <w:szCs w:val="18"/>
        </w:rPr>
        <w:t>Ian Boxall, ‘Reception History and the Interpretation of Revelation’</w:t>
      </w:r>
      <w:r>
        <w:rPr>
          <w:rFonts w:ascii="Calibri" w:hAnsi="Calibri"/>
          <w:b w:val="false"/>
          <w:bCs w:val="false"/>
          <w:i w:val="false"/>
          <w:caps w:val="false"/>
          <w:smallCaps w:val="false"/>
          <w:strike w:val="false"/>
          <w:dstrike w:val="false"/>
          <w:color w:val="006FB7"/>
          <w:spacing w:val="0"/>
          <w:sz w:val="18"/>
          <w:szCs w:val="18"/>
          <w:u w:val="none"/>
          <w:effect w:val="none"/>
        </w:rPr>
        <w:t xml:space="preserve"> </w:t>
      </w:r>
      <w:hyperlink r:id="rId2">
        <w:r>
          <w:rPr>
            <w:rStyle w:val="InternetLink"/>
            <w:rFonts w:ascii="Calibri" w:hAnsi="Calibri"/>
            <w:b w:val="false"/>
            <w:i w:val="false"/>
            <w:caps w:val="false"/>
            <w:smallCaps w:val="false"/>
            <w:strike w:val="false"/>
            <w:dstrike w:val="false"/>
            <w:color w:val="006FB7"/>
            <w:spacing w:val="0"/>
            <w:sz w:val="18"/>
            <w:szCs w:val="18"/>
            <w:u w:val="none"/>
            <w:effect w:val="none"/>
          </w:rPr>
          <w:t>https://doi.org/10.1093/oxfordhb/9780190655433.013.22</w:t>
        </w:r>
      </w:hyperlink>
      <w:r>
        <w:rPr>
          <w:rFonts w:ascii="Calibri" w:hAnsi="Calibri"/>
          <w:b w:val="false"/>
          <w:i w:val="false"/>
          <w:caps w:val="false"/>
          <w:smallCaps w:val="false"/>
          <w:strike w:val="false"/>
          <w:dstrike w:val="false"/>
          <w:color w:val="006FB7"/>
          <w:spacing w:val="0"/>
          <w:sz w:val="18"/>
          <w:szCs w:val="18"/>
          <w:u w:val="none"/>
          <w:effect w:val="none"/>
        </w:rPr>
        <w:t xml:space="preserve"> </w:t>
      </w:r>
      <w:r>
        <w:rPr>
          <w:rFonts w:ascii="Calibri" w:hAnsi="Calibri"/>
          <w:b w:val="false"/>
          <w:i w:val="false"/>
          <w:caps w:val="false"/>
          <w:smallCaps w:val="false"/>
          <w:color w:val="2A2A2A"/>
          <w:spacing w:val="0"/>
          <w:sz w:val="18"/>
          <w:szCs w:val="18"/>
        </w:rPr>
        <w:t>376–393, 08 October 2020</w:t>
      </w:r>
    </w:p>
  </w:footnote>
  <w:footnote w:id="11">
    <w:p>
      <w:pPr>
        <w:pStyle w:val="Footnote"/>
        <w:spacing w:before="0" w:after="160"/>
        <w:rPr/>
      </w:pPr>
      <w:r>
        <w:rPr>
          <w:rStyle w:val="FootnoteCharacters"/>
        </w:rPr>
        <w:footnoteRef/>
      </w:r>
      <w:r>
        <w:rPr>
          <w:rFonts w:ascii="Calibri" w:hAnsi="Calibri"/>
          <w:sz w:val="18"/>
          <w:szCs w:val="18"/>
        </w:rPr>
        <w:tab/>
        <w:t xml:space="preserve">Brennan Breed, </w:t>
      </w:r>
      <w:r>
        <w:rPr>
          <w:rFonts w:ascii="Calibri" w:hAnsi="Calibri"/>
          <w:sz w:val="18"/>
          <w:szCs w:val="18"/>
        </w:rPr>
        <w:t>‘</w:t>
      </w:r>
      <w:r>
        <w:rPr>
          <w:rFonts w:ascii="Calibri" w:hAnsi="Calibri"/>
          <w:sz w:val="18"/>
          <w:szCs w:val="18"/>
        </w:rPr>
        <w:t xml:space="preserve">What is reception History’ </w:t>
      </w:r>
      <w:hyperlink r:id="rId4">
        <w:r>
          <w:rPr>
            <w:rFonts w:ascii="Calibri" w:hAnsi="Calibri"/>
            <w:sz w:val="18"/>
            <w:szCs w:val="18"/>
          </w:rPr>
          <w:t xml:space="preserve">. </w:t>
        </w:r>
      </w:hyperlink>
      <w:hyperlink r:id="rId5">
        <w:r>
          <w:rPr>
            <w:rStyle w:val="InternetLink"/>
            <w:rFonts w:ascii="Calibri" w:hAnsi="Calibri"/>
            <w:b w:val="false"/>
            <w:i w:val="false"/>
            <w:caps w:val="false"/>
            <w:smallCaps w:val="false"/>
            <w:color w:val="2A2A2A"/>
            <w:spacing w:val="0"/>
            <w:sz w:val="18"/>
            <w:szCs w:val="18"/>
          </w:rPr>
          <w:t>https://www.bibleodyssey.org/bible-basics/what-is-reception-history/</w:t>
        </w:r>
      </w:hyperlink>
      <w:r>
        <w:rPr>
          <w:rFonts w:ascii="Calibri" w:hAnsi="Calibri"/>
          <w:b w:val="false"/>
          <w:i w:val="false"/>
          <w:caps w:val="false"/>
          <w:smallCaps w:val="false"/>
          <w:color w:val="2A2A2A"/>
          <w:spacing w:val="0"/>
          <w:sz w:val="18"/>
          <w:szCs w:val="18"/>
        </w:rPr>
        <w:t>.</w:t>
      </w:r>
    </w:p>
  </w:footnote>
  <w:footnote w:id="12">
    <w:p>
      <w:pPr>
        <w:pStyle w:val="Footnote"/>
        <w:spacing w:before="0" w:after="160"/>
        <w:rPr>
          <w:sz w:val="18"/>
          <w:szCs w:val="18"/>
        </w:rPr>
      </w:pPr>
      <w:r>
        <w:rPr>
          <w:rStyle w:val="FootnoteCharacters"/>
        </w:rPr>
        <w:footnoteRef/>
      </w:r>
      <w:r>
        <w:rPr>
          <w:sz w:val="18"/>
          <w:szCs w:val="18"/>
        </w:rPr>
        <w:tab/>
        <w:t>Timothy Beal, ‘</w:t>
      </w:r>
      <w:r>
        <w:rPr>
          <w:sz w:val="18"/>
          <w:szCs w:val="18"/>
        </w:rPr>
        <w:t>Reception History and Beyond: Toward the Cultural History of Scriptures’</w:t>
      </w:r>
      <w:r>
        <w:rPr>
          <w:i/>
          <w:iCs/>
          <w:sz w:val="18"/>
          <w:szCs w:val="18"/>
        </w:rPr>
        <w:t xml:space="preserve"> Biblical Interpretation </w:t>
      </w:r>
      <w:r>
        <w:rPr>
          <w:i w:val="false"/>
          <w:iCs w:val="false"/>
          <w:sz w:val="18"/>
          <w:szCs w:val="18"/>
        </w:rPr>
        <w:t>19 {2011},pp. 357-372</w:t>
      </w:r>
    </w:p>
  </w:footnote>
  <w:footnote w:id="13">
    <w:p>
      <w:pPr>
        <w:pStyle w:val="Footnote"/>
        <w:widowControl/>
        <w:spacing w:before="0" w:after="160"/>
        <w:ind w:left="0" w:right="0" w:hanging="0"/>
        <w:rPr/>
      </w:pPr>
      <w:r>
        <w:rPr>
          <w:rStyle w:val="FootnoteCharacters"/>
        </w:rPr>
        <w:footnoteRef/>
      </w:r>
      <w:r>
        <w:rPr>
          <w:rFonts w:ascii="Calibri" w:hAnsi="Calibri"/>
          <w:b w:val="false"/>
          <w:i w:val="false"/>
          <w:caps w:val="false"/>
          <w:smallCaps w:val="false"/>
          <w:color w:val="49595E"/>
          <w:spacing w:val="0"/>
          <w:sz w:val="18"/>
          <w:szCs w:val="18"/>
        </w:rPr>
        <w:t xml:space="preserve">    </w:t>
      </w:r>
      <w:r>
        <w:rPr>
          <w:rFonts w:ascii="Calibri" w:hAnsi="Calibri"/>
          <w:b w:val="false"/>
          <w:i w:val="false"/>
          <w:caps w:val="false"/>
          <w:smallCaps w:val="false"/>
          <w:color w:val="000000"/>
          <w:spacing w:val="0"/>
          <w:sz w:val="18"/>
          <w:szCs w:val="18"/>
        </w:rPr>
        <w:t xml:space="preserve">Michael </w:t>
      </w:r>
      <w:r>
        <w:rPr>
          <w:rFonts w:ascii="Calibri" w:hAnsi="Calibri"/>
          <w:b w:val="false"/>
          <w:i w:val="false"/>
          <w:caps w:val="false"/>
          <w:smallCaps w:val="false"/>
          <w:color w:val="000000"/>
          <w:spacing w:val="0"/>
          <w:sz w:val="18"/>
          <w:szCs w:val="18"/>
        </w:rPr>
        <w:t xml:space="preserve">D </w:t>
      </w:r>
      <w:r>
        <w:rPr>
          <w:rFonts w:ascii="Calibri" w:hAnsi="Calibri"/>
          <w:b w:val="false"/>
          <w:i w:val="false"/>
          <w:caps w:val="false"/>
          <w:smallCaps w:val="false"/>
          <w:color w:val="000000"/>
          <w:spacing w:val="0"/>
          <w:sz w:val="18"/>
          <w:szCs w:val="18"/>
        </w:rPr>
        <w:t xml:space="preserve">Coogan’s, </w:t>
      </w:r>
      <w:r>
        <w:rPr>
          <w:rStyle w:val="Emphasis"/>
          <w:rFonts w:ascii="Calibri" w:hAnsi="Calibri"/>
          <w:b w:val="false"/>
          <w:color w:val="000000"/>
          <w:spacing w:val="0"/>
          <w:sz w:val="18"/>
          <w:szCs w:val="18"/>
        </w:rPr>
        <w:t xml:space="preserve">The Old Testament: </w:t>
      </w:r>
      <w:r>
        <w:rPr>
          <w:rStyle w:val="Emphasis"/>
          <w:rFonts w:ascii="Calibri" w:hAnsi="Calibri"/>
          <w:b w:val="false"/>
          <w:i w:val="false"/>
          <w:iCs w:val="false"/>
          <w:color w:val="000000"/>
          <w:spacing w:val="0"/>
          <w:sz w:val="18"/>
          <w:szCs w:val="18"/>
        </w:rPr>
        <w:t>A Historical and Literary Introduction to the Hebrew Scriptures.</w:t>
      </w:r>
      <w:bookmarkStart w:id="4" w:name="book-publisher12"/>
      <w:bookmarkEnd w:id="4"/>
      <w:r>
        <w:rPr>
          <w:rStyle w:val="Emphasis"/>
          <w:rFonts w:ascii="Calibri" w:hAnsi="Calibri"/>
          <w:b w:val="false"/>
          <w:i w:val="false"/>
          <w:iCs w:val="false"/>
          <w:caps w:val="false"/>
          <w:smallCaps w:val="false"/>
          <w:color w:val="000000"/>
          <w:spacing w:val="0"/>
          <w:sz w:val="18"/>
          <w:szCs w:val="18"/>
        </w:rPr>
        <w:t xml:space="preserve"> </w:t>
      </w:r>
      <w:r>
        <w:rPr>
          <w:rStyle w:val="Emphasis"/>
          <w:rFonts w:ascii="Calibri" w:hAnsi="Calibri"/>
          <w:b w:val="false"/>
          <w:i w:val="false"/>
          <w:iCs w:val="false"/>
          <w:caps w:val="false"/>
          <w:smallCaps w:val="false"/>
          <w:color w:val="000000"/>
          <w:spacing w:val="0"/>
          <w:sz w:val="18"/>
          <w:szCs w:val="18"/>
        </w:rPr>
        <w:t>Oxford University Press, USA, 2010</w:t>
      </w:r>
      <w:r>
        <w:rPr>
          <w:rStyle w:val="Emphasis"/>
          <w:rFonts w:ascii="Calibri" w:hAnsi="Calibri"/>
          <w:b w:val="false"/>
          <w:i w:val="false"/>
          <w:iCs w:val="false"/>
          <w:color w:val="000000"/>
          <w:spacing w:val="0"/>
          <w:sz w:val="18"/>
          <w:szCs w:val="18"/>
        </w:rPr>
        <w:t xml:space="preserve"> </w:t>
      </w:r>
    </w:p>
  </w:footnote>
  <w:footnote w:id="14">
    <w:p>
      <w:pPr>
        <w:pStyle w:val="Footnote"/>
        <w:spacing w:before="0" w:after="160"/>
        <w:rPr/>
      </w:pPr>
      <w:r>
        <w:rPr>
          <w:rStyle w:val="FootnoteCharacters"/>
        </w:rPr>
        <w:footnoteRef/>
      </w:r>
      <w:r>
        <w:rPr>
          <w:rFonts w:ascii="Calibri" w:hAnsi="Calibri"/>
          <w:b w:val="false"/>
          <w:bCs w:val="false"/>
          <w:i w:val="false"/>
          <w:caps w:val="false"/>
          <w:smallCaps w:val="false"/>
          <w:color w:val="2A2A2A"/>
          <w:spacing w:val="0"/>
          <w:sz w:val="18"/>
          <w:szCs w:val="18"/>
        </w:rPr>
        <w:tab/>
        <w:t>Ian Boxall, ‘Reception History and the Interpretation of Revelation’</w:t>
      </w:r>
      <w:r>
        <w:rPr>
          <w:rFonts w:ascii="Calibri" w:hAnsi="Calibri"/>
          <w:b w:val="false"/>
          <w:bCs w:val="false"/>
          <w:i w:val="false"/>
          <w:caps w:val="false"/>
          <w:smallCaps w:val="false"/>
          <w:strike w:val="false"/>
          <w:dstrike w:val="false"/>
          <w:color w:val="006FB7"/>
          <w:spacing w:val="0"/>
          <w:sz w:val="18"/>
          <w:szCs w:val="18"/>
          <w:u w:val="none"/>
          <w:effect w:val="none"/>
        </w:rPr>
        <w:t xml:space="preserve"> </w:t>
      </w:r>
      <w:hyperlink r:id="rId6">
        <w:r>
          <w:rPr>
            <w:rStyle w:val="InternetLink"/>
            <w:rFonts w:ascii="Calibri" w:hAnsi="Calibri"/>
            <w:b w:val="false"/>
            <w:i w:val="false"/>
            <w:caps w:val="false"/>
            <w:smallCaps w:val="false"/>
            <w:strike w:val="false"/>
            <w:dstrike w:val="false"/>
            <w:color w:val="006FB7"/>
            <w:spacing w:val="0"/>
            <w:sz w:val="18"/>
            <w:szCs w:val="18"/>
            <w:u w:val="none"/>
            <w:effect w:val="none"/>
          </w:rPr>
          <w:t>https://doi.org/10.1093/oxfordhb/9780190655433.013.22</w:t>
        </w:r>
      </w:hyperlink>
      <w:r>
        <w:rPr>
          <w:rFonts w:ascii="Calibri" w:hAnsi="Calibri"/>
          <w:b w:val="false"/>
          <w:i w:val="false"/>
          <w:caps w:val="false"/>
          <w:smallCaps w:val="false"/>
          <w:strike w:val="false"/>
          <w:dstrike w:val="false"/>
          <w:color w:val="006FB7"/>
          <w:spacing w:val="0"/>
          <w:sz w:val="18"/>
          <w:szCs w:val="18"/>
          <w:u w:val="none"/>
          <w:effect w:val="none"/>
        </w:rPr>
        <w:t xml:space="preserve"> </w:t>
      </w:r>
      <w:r>
        <w:rPr>
          <w:rFonts w:ascii="Calibri" w:hAnsi="Calibri"/>
          <w:b w:val="false"/>
          <w:i w:val="false"/>
          <w:caps w:val="false"/>
          <w:smallCaps w:val="false"/>
          <w:color w:val="2A2A2A"/>
          <w:spacing w:val="0"/>
          <w:sz w:val="18"/>
          <w:szCs w:val="18"/>
        </w:rPr>
        <w:t>376–393, 08 October 2020</w:t>
      </w:r>
    </w:p>
  </w:footnote>
  <w:footnote w:id="15">
    <w:p>
      <w:pPr>
        <w:pStyle w:val="Footnote"/>
        <w:spacing w:before="0" w:after="160"/>
        <w:rPr/>
      </w:pPr>
      <w:r>
        <w:rPr>
          <w:rStyle w:val="FootnoteCharacters"/>
        </w:rPr>
        <w:footnoteRef/>
      </w:r>
      <w:r>
        <w:rPr>
          <w:rFonts w:ascii="Merriweather;serif" w:hAnsi="Merriweather;serif"/>
          <w:b w:val="false"/>
          <w:bCs w:val="false"/>
          <w:i w:val="false"/>
          <w:caps w:val="false"/>
          <w:smallCaps w:val="false"/>
          <w:color w:val="2A2A2A"/>
          <w:spacing w:val="0"/>
          <w:sz w:val="18"/>
          <w:szCs w:val="18"/>
        </w:rPr>
        <w:tab/>
        <w:t>I</w:t>
      </w:r>
      <w:r>
        <w:rPr>
          <w:rFonts w:ascii="Calibri" w:hAnsi="Calibri"/>
          <w:b w:val="false"/>
          <w:bCs w:val="false"/>
          <w:i w:val="false"/>
          <w:caps w:val="false"/>
          <w:smallCaps w:val="false"/>
          <w:color w:val="2A2A2A"/>
          <w:spacing w:val="0"/>
          <w:sz w:val="18"/>
          <w:szCs w:val="18"/>
        </w:rPr>
        <w:t>an Boxall, ‘Reception History and the Interpretation of Revelation’</w:t>
      </w:r>
      <w:r>
        <w:rPr>
          <w:rFonts w:ascii="Calibri" w:hAnsi="Calibri"/>
          <w:b w:val="false"/>
          <w:bCs w:val="false"/>
          <w:i w:val="false"/>
          <w:caps w:val="false"/>
          <w:smallCaps w:val="false"/>
          <w:strike w:val="false"/>
          <w:dstrike w:val="false"/>
          <w:color w:val="006FB7"/>
          <w:spacing w:val="0"/>
          <w:sz w:val="18"/>
          <w:szCs w:val="18"/>
          <w:u w:val="none"/>
          <w:effect w:val="none"/>
        </w:rPr>
        <w:t xml:space="preserve"> </w:t>
      </w:r>
    </w:p>
  </w:footnote>
  <w:footnote w:id="16">
    <w:p>
      <w:pPr>
        <w:pStyle w:val="Footnote"/>
        <w:spacing w:before="0" w:after="160"/>
        <w:ind w:hanging="0"/>
        <w:rPr>
          <w:rFonts w:ascii="Calibri" w:hAnsi="Calibri"/>
          <w:color w:val="000000"/>
          <w:sz w:val="18"/>
          <w:szCs w:val="18"/>
        </w:rPr>
      </w:pPr>
      <w:r>
        <w:rPr>
          <w:rStyle w:val="FootnoteCharacters"/>
        </w:rPr>
        <w:footnoteRef/>
      </w:r>
      <w:r>
        <w:rPr>
          <w:rFonts w:ascii="Calibri" w:hAnsi="Calibri"/>
          <w:b w:val="false"/>
          <w:i w:val="false"/>
          <w:caps w:val="false"/>
          <w:smallCaps w:val="false"/>
          <w:strike w:val="false"/>
          <w:dstrike w:val="false"/>
          <w:color w:val="000000"/>
          <w:spacing w:val="0"/>
          <w:sz w:val="18"/>
          <w:szCs w:val="18"/>
          <w:highlight w:val="white"/>
          <w:u w:val="none"/>
          <w:effect w:val="none"/>
        </w:rPr>
        <w:t xml:space="preserve">  </w:t>
      </w:r>
      <w:r>
        <w:rPr>
          <w:rFonts w:ascii="Calibri" w:hAnsi="Calibri"/>
          <w:b w:val="false"/>
          <w:i w:val="false"/>
          <w:caps w:val="false"/>
          <w:smallCaps w:val="false"/>
          <w:strike w:val="false"/>
          <w:dstrike w:val="false"/>
          <w:color w:val="000000"/>
          <w:spacing w:val="0"/>
          <w:sz w:val="18"/>
          <w:szCs w:val="18"/>
          <w:highlight w:val="white"/>
          <w:u w:val="none"/>
          <w:effect w:val="none"/>
        </w:rPr>
        <w:t>Brennan Breed, ‘ Biblical Reception History: A Dangerous Supplement. October 2014</w:t>
      </w:r>
    </w:p>
    <w:p>
      <w:pPr>
        <w:pStyle w:val="Footnote"/>
        <w:spacing w:before="0" w:after="160"/>
        <w:ind w:hanging="0"/>
        <w:rPr>
          <w:rFonts w:ascii="Calibri" w:hAnsi="Calibri"/>
          <w:color w:val="000000"/>
          <w:sz w:val="18"/>
          <w:szCs w:val="18"/>
        </w:rPr>
      </w:pPr>
      <w:r>
        <w:rPr>
          <w:rStyle w:val="Emphasis"/>
          <w:rFonts w:ascii="Calibri" w:hAnsi="Calibri"/>
          <w:b w:val="false"/>
          <w:i w:val="false"/>
          <w:caps w:val="false"/>
          <w:smallCaps w:val="false"/>
          <w:strike w:val="false"/>
          <w:dstrike w:val="false"/>
          <w:color w:val="000000"/>
          <w:spacing w:val="0"/>
          <w:sz w:val="18"/>
          <w:szCs w:val="18"/>
          <w:highlight w:val="white"/>
          <w:u w:val="none"/>
          <w:effect w:val="none"/>
        </w:rPr>
        <w:t xml:space="preserve">          </w:t>
      </w:r>
      <w:hyperlink r:id="rId7">
        <w:r>
          <w:rPr>
            <w:rStyle w:val="Emphasis"/>
            <w:rFonts w:ascii="Calibri" w:hAnsi="Calibri"/>
            <w:b w:val="false"/>
            <w:caps w:val="false"/>
            <w:smallCaps w:val="false"/>
            <w:strike w:val="false"/>
            <w:dstrike w:val="false"/>
            <w:color w:val="000000"/>
            <w:spacing w:val="0"/>
            <w:sz w:val="18"/>
            <w:szCs w:val="18"/>
            <w:highlight w:val="white"/>
            <w:u w:val="none"/>
            <w:effect w:val="none"/>
          </w:rPr>
          <w:t>https://bibleinterp.arizona.edu/articles/2014/10/bre388022</w:t>
        </w:r>
      </w:hyperlink>
      <w:hyperlink r:id="rId8">
        <w:r>
          <w:rPr>
            <w:rStyle w:val="Emphasis"/>
            <w:rFonts w:ascii="Calibri" w:hAnsi="Calibri"/>
            <w:b w:val="false"/>
            <w:caps w:val="false"/>
            <w:smallCaps w:val="false"/>
            <w:strike w:val="false"/>
            <w:dstrike w:val="false"/>
            <w:color w:val="000000"/>
            <w:spacing w:val="0"/>
            <w:sz w:val="18"/>
            <w:szCs w:val="18"/>
            <w:highlight w:val="white"/>
            <w:u w:val="none"/>
            <w:effect w:val="none"/>
          </w:rPr>
          <w:t xml:space="preserve">. </w:t>
        </w:r>
      </w:hyperlink>
      <w:r>
        <w:rPr>
          <w:rFonts w:ascii="Calibri" w:hAnsi="Calibri"/>
          <w:b w:val="false"/>
          <w:i w:val="false"/>
          <w:caps w:val="false"/>
          <w:smallCaps w:val="false"/>
          <w:strike w:val="false"/>
          <w:dstrike w:val="false"/>
          <w:color w:val="000000"/>
          <w:spacing w:val="0"/>
          <w:sz w:val="18"/>
          <w:szCs w:val="18"/>
          <w:highlight w:val="white"/>
          <w:u w:val="none"/>
          <w:effect w:val="none"/>
        </w:rPr>
        <w:t xml:space="preserve"> </w:t>
      </w:r>
    </w:p>
  </w:footnote>
  <w:footnote w:id="17">
    <w:p>
      <w:pPr>
        <w:pStyle w:val="Normal"/>
        <w:spacing w:before="0" w:after="0"/>
        <w:ind w:left="0" w:right="0" w:hanging="0"/>
        <w:rPr/>
      </w:pPr>
      <w:r>
        <w:rPr>
          <w:rStyle w:val="FootnoteCharacters"/>
        </w:rPr>
        <w:footnoteRef/>
      </w:r>
      <w:r>
        <w:rPr/>
        <w:t xml:space="preserve">  </w:t>
      </w:r>
      <w:r>
        <w:rPr>
          <w:rFonts w:ascii="Calibri" w:hAnsi="Calibri"/>
          <w:sz w:val="18"/>
          <w:szCs w:val="18"/>
        </w:rPr>
        <w:t>Mark Knight, “</w:t>
      </w:r>
      <w:r>
        <w:rPr>
          <w:rStyle w:val="Emphasis"/>
          <w:rFonts w:ascii="Calibri" w:hAnsi="Calibri"/>
          <w:i/>
          <w:sz w:val="18"/>
          <w:szCs w:val="18"/>
        </w:rPr>
        <w:t>Wirkungsgeschichte</w:t>
      </w:r>
      <w:r>
        <w:rPr>
          <w:rFonts w:ascii="Calibri" w:hAnsi="Calibri"/>
          <w:sz w:val="18"/>
          <w:szCs w:val="18"/>
        </w:rPr>
        <w:t xml:space="preserve">, Reception History, Reception Theory,” in </w:t>
      </w:r>
      <w:r>
        <w:rPr>
          <w:rStyle w:val="Emphasis"/>
          <w:rFonts w:ascii="Calibri" w:hAnsi="Calibri"/>
          <w:i/>
          <w:sz w:val="18"/>
          <w:szCs w:val="18"/>
        </w:rPr>
        <w:t xml:space="preserve">JSNT </w:t>
      </w:r>
      <w:r>
        <w:rPr>
          <w:rFonts w:ascii="Calibri" w:hAnsi="Calibri"/>
          <w:sz w:val="18"/>
          <w:szCs w:val="18"/>
        </w:rPr>
        <w:t>33.2 (2010), p. 141</w:t>
      </w:r>
      <w:r>
        <w:rPr>
          <w:rFonts w:ascii="Source Sans Pro;Helvetica;Arial;sans-serif" w:hAnsi="Source Sans Pro;Helvetica;Arial;sans-serif"/>
          <w:b w:val="false"/>
          <w:i w:val="false"/>
          <w:caps w:val="false"/>
          <w:smallCaps w:val="false"/>
          <w:color w:val="2A2A2A"/>
          <w:spacing w:val="0"/>
          <w:sz w:val="23"/>
        </w:rPr>
        <w:t>.</w:t>
      </w:r>
    </w:p>
  </w:footnote>
  <w:footnote w:id="18">
    <w:p>
      <w:pPr>
        <w:pStyle w:val="Normal"/>
        <w:spacing w:before="0" w:after="0"/>
        <w:ind w:left="0" w:right="0" w:hanging="0"/>
        <w:rPr/>
      </w:pPr>
      <w:r>
        <w:rPr>
          <w:rStyle w:val="FootnoteCharacters"/>
        </w:rPr>
        <w:footnoteRef/>
      </w:r>
      <w:r>
        <w:rPr>
          <w:rFonts w:ascii="Calibri" w:hAnsi="Calibri"/>
          <w:sz w:val="18"/>
          <w:szCs w:val="18"/>
        </w:rPr>
        <w:t xml:space="preserve"> </w:t>
      </w:r>
      <w:r>
        <w:rPr>
          <w:rFonts w:ascii="Calibri" w:hAnsi="Calibri"/>
          <w:sz w:val="18"/>
          <w:szCs w:val="18"/>
        </w:rPr>
        <w:t xml:space="preserve">Brennan W. Breed, </w:t>
      </w:r>
      <w:r>
        <w:rPr>
          <w:rStyle w:val="Emphasis"/>
          <w:rFonts w:ascii="Calibri" w:hAnsi="Calibri"/>
          <w:i/>
          <w:sz w:val="18"/>
          <w:szCs w:val="18"/>
        </w:rPr>
        <w:t>Nomadic Text: A Theory of Biblical Reception History</w:t>
      </w:r>
      <w:r>
        <w:rPr>
          <w:rFonts w:ascii="Calibri" w:hAnsi="Calibri"/>
          <w:sz w:val="18"/>
          <w:szCs w:val="18"/>
        </w:rPr>
        <w:t>, Indiana Studies in Biblical Literature (Bloomington: Indiana University Press, 2014), pp. 75–92</w:t>
      </w:r>
    </w:p>
    <w:p>
      <w:pPr>
        <w:pStyle w:val="Normal"/>
        <w:widowControl/>
        <w:spacing w:before="0" w:after="160"/>
        <w:ind w:left="0" w:right="0" w:hanging="0"/>
        <w:rPr/>
      </w:pPr>
      <w:r>
        <w:rPr>
          <w:rFonts w:ascii="Source Sans Pro;Helvetica;Arial;sans-serif" w:hAnsi="Source Sans Pro;Helvetica;Arial;sans-serif"/>
          <w:b w:val="false"/>
          <w:i w:val="false"/>
          <w:caps w:val="false"/>
          <w:smallCaps w:val="false"/>
          <w:color w:val="2A2A2A"/>
          <w:spacing w:val="0"/>
          <w:sz w:val="23"/>
        </w:rPr>
        <w:t>.</w:t>
      </w:r>
      <w:r>
        <w:rPr/>
        <w:t xml:space="preserve"> </w:t>
      </w:r>
    </w:p>
  </w:footnote>
</w:footnotes>
</file>

<file path=word/settings.xml><?xml version="1.0" encoding="utf-8"?>
<w:settings xmlns:w="http://schemas.openxmlformats.org/wordprocessingml/2006/main">
  <w:zoom w:percent="12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3">
    <w:name w:val="Heading 3"/>
    <w:basedOn w:val="Heading"/>
    <w:next w:val="TextBody"/>
    <w:qFormat/>
    <w:pPr>
      <w:spacing w:before="140" w:after="120"/>
      <w:outlineLvl w:val="2"/>
    </w:pPr>
    <w:rPr>
      <w:rFonts w:ascii="Times New Roman" w:hAnsi="Times New Roman" w:eastAsia="Segoe UI" w:cs="Tahoma"/>
      <w:b/>
      <w:bCs/>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Calibri Light" w:hAnsi="Calibri Light" w:eastAsia=""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Pr>
      <w:color w:val="0563C1" w:themeColor="hyperlink"/>
      <w:u w:val="single"/>
    </w:rPr>
  </w:style>
  <w:style w:type="character" w:styleId="ListLabel1">
    <w:name w:val="ListLabel 1"/>
    <w:qFormat/>
    <w:rPr>
      <w:rFonts w:ascii="Tahoma" w:hAnsi="Tahoma" w:eastAsia="Tahoma" w:cs="Tahoma"/>
      <w:b w:val="false"/>
      <w:bCs w:val="false"/>
      <w:i w:val="false"/>
      <w:iCs w:val="false"/>
      <w:caps w:val="false"/>
      <w:smallCaps w:val="false"/>
      <w:sz w:val="24"/>
      <w:szCs w:val="24"/>
      <w:lang w:val="en-US"/>
    </w:rPr>
  </w:style>
  <w:style w:type="character" w:styleId="Emphasis">
    <w:name w:val="Emphasis"/>
    <w:qFormat/>
    <w:rPr>
      <w:i/>
      <w:iCs/>
    </w:rPr>
  </w:style>
  <w:style w:type="character" w:styleId="FootnoteCharacters">
    <w:name w:val="Footnote Characters"/>
    <w:qFormat/>
    <w:rPr/>
  </w:style>
  <w:style w:type="character" w:styleId="FootnoteAnchor">
    <w:name w:val="Footnote Anchor"/>
    <w:rPr>
      <w:vertAlign w:val="superscript"/>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EndnoteAnchor">
    <w:name w:val="Endnote Anchor"/>
    <w:rPr>
      <w:vertAlign w:val="superscript"/>
    </w:rPr>
  </w:style>
  <w:style w:type="character" w:styleId="EndnoteCharacters">
    <w:name w:val="Endnote Characters"/>
    <w:qFormat/>
    <w:rPr/>
  </w:style>
  <w:style w:type="character" w:styleId="ListLabel2">
    <w:name w:val="ListLabel 2"/>
    <w:qFormat/>
    <w:rPr>
      <w:rFonts w:ascii="Calibri" w:hAnsi="Calibri" w:eastAsia="Calibri" w:cs="Calibri"/>
      <w:b w:val="false"/>
      <w:i w:val="false"/>
      <w:iCs w:val="false"/>
      <w:caps w:val="false"/>
      <w:smallCaps w:val="false"/>
      <w:strike w:val="false"/>
      <w:dstrike w:val="false"/>
      <w:color w:val="006FB7"/>
      <w:spacing w:val="0"/>
      <w:sz w:val="22"/>
      <w:szCs w:val="22"/>
      <w:u w:val="none"/>
      <w:effect w:val="none"/>
      <w:lang w:val="en-US"/>
    </w:rPr>
  </w:style>
  <w:style w:type="character" w:styleId="ListLabel3">
    <w:name w:val="ListLabel 3"/>
    <w:qFormat/>
    <w:rPr>
      <w:rFonts w:ascii="Merriweather;serif" w:hAnsi="Merriweather;serif" w:eastAsia="Calibri" w:cs="Calibri"/>
      <w:b w:val="false"/>
      <w:bCs w:val="false"/>
      <w:i w:val="false"/>
      <w:iCs w:val="false"/>
      <w:caps w:val="false"/>
      <w:smallCaps w:val="false"/>
      <w:strike w:val="false"/>
      <w:dstrike w:val="false"/>
      <w:color w:val="006FB7"/>
      <w:spacing w:val="0"/>
      <w:sz w:val="23"/>
      <w:szCs w:val="22"/>
      <w:u w:val="none"/>
      <w:effect w:val="none"/>
      <w:lang w:val="en-US"/>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
    <w:name w:val="Footnote Text"/>
    <w:basedOn w:val="Normal"/>
    <w:pPr>
      <w:suppressLineNumbers/>
      <w:ind w:left="339" w:hanging="339"/>
    </w:pPr>
    <w:rPr>
      <w:sz w:val="20"/>
      <w:szCs w:val="20"/>
    </w:rPr>
  </w:style>
  <w:style w:type="numbering" w:styleId="NoList" w:default="1">
    <w:name w:val="No List"/>
    <w:uiPriority w:val="99"/>
    <w:semiHidden/>
    <w:unhideWhenUsed/>
    <w:qFormat/>
  </w:style>
  <w:style w:type="numbering" w:styleId="NumberingABC">
    <w:name w:val="Numbering ABC"/>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ibleinterp.arizona.edu/articles/2014/10/bre388022" TargetMode="External"/><Relationship Id="rId3" Type="http://schemas.openxmlformats.org/officeDocument/2006/relationships/hyperlink" Target="https://www.bibleodyssey.org/bible-basics/what-is-reception-history/" TargetMode="External"/><Relationship Id="rId4" Type="http://schemas.openxmlformats.org/officeDocument/2006/relationships/hyperlink" Target="https://www.biblestudytools.com/psalms/19.html" TargetMode="Externa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footnotes.xml.rels><?xml version="1.0" encoding="UTF-8"?>
<Relationships xmlns="http://schemas.openxmlformats.org/package/2006/relationships"><Relationship Id="rId1" Type="http://schemas.openxmlformats.org/officeDocument/2006/relationships/hyperlink" Target="https://www.bibleodyssey.org/bible-basics/what-is-reception-history/" TargetMode="External"/><Relationship Id="rId2" Type="http://schemas.openxmlformats.org/officeDocument/2006/relationships/hyperlink" Target="https://doi.org/10.1093/oxfordhb/9780190655433.013.22" TargetMode="External"/><Relationship Id="rId3" Type="http://schemas.openxmlformats.org/officeDocument/2006/relationships/hyperlink" Target="https://www.bibleodyssey.org/bible-basics/what-is-reception-history/" TargetMode="External"/><Relationship Id="rId4" Type="http://schemas.openxmlformats.org/officeDocument/2006/relationships/hyperlink" Target="" TargetMode="External"/><Relationship Id="rId5" Type="http://schemas.openxmlformats.org/officeDocument/2006/relationships/hyperlink" Target="https://www.bibleodyssey.org/bible-basics/what-is-reception-history/" TargetMode="External"/><Relationship Id="rId6" Type="http://schemas.openxmlformats.org/officeDocument/2006/relationships/hyperlink" Target="https://doi.org/10.1093/oxfordhb/9780190655433.013.22" TargetMode="External"/><Relationship Id="rId7" Type="http://schemas.openxmlformats.org/officeDocument/2006/relationships/hyperlink" Target="https://bibleinterp.arizona.edu/articles/2014/10/bre388022" TargetMode="External"/><Relationship Id="rId8" Type="http://schemas.openxmlformats.org/officeDocument/2006/relationships/hyperlink" Targ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664</TotalTime>
  <Application>Trio_Office/6.2.8.2$Windows_x86 LibreOffice_project/</Application>
  <Pages>6</Pages>
  <Words>1744</Words>
  <Characters>10498</Characters>
  <CharactersWithSpaces>12516</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2023-06-12T16:22:59Z</dcterms:created>
  <dc:creator>Monica Olusanya (2234893)</dc:creator>
  <dc:description/>
  <dc:language>en-US</dc:language>
  <cp:lastModifiedBy/>
  <dcterms:modified xsi:type="dcterms:W3CDTF">2023-06-29T15:19:08Z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