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C424A" w14:textId="1A660DE0" w:rsidR="00F760EA" w:rsidRPr="0063015D" w:rsidRDefault="00F760EA" w:rsidP="0063015D">
      <w:pPr>
        <w:shd w:val="clear" w:color="auto" w:fill="FFFFFF" w:themeFill="background1"/>
        <w:spacing w:line="360" w:lineRule="auto"/>
        <w:jc w:val="both"/>
        <w:rPr>
          <w:rFonts w:ascii="Arial" w:hAnsi="Arial" w:cs="Arial"/>
          <w:b/>
          <w:bCs/>
          <w:color w:val="000000" w:themeColor="text1"/>
          <w:sz w:val="22"/>
          <w:szCs w:val="22"/>
          <w:lang w:eastAsia="en-GB"/>
        </w:rPr>
      </w:pPr>
      <w:r w:rsidRPr="0063015D">
        <w:rPr>
          <w:rFonts w:ascii="Arial" w:hAnsi="Arial" w:cs="Arial"/>
          <w:b/>
          <w:bCs/>
          <w:color w:val="000000" w:themeColor="text1"/>
          <w:sz w:val="22"/>
          <w:szCs w:val="22"/>
          <w:lang w:eastAsia="en-GB"/>
        </w:rPr>
        <w:t>Ana Tanase</w:t>
      </w:r>
      <w:r w:rsidR="004A5F14">
        <w:rPr>
          <w:rFonts w:ascii="Arial" w:hAnsi="Arial" w:cs="Arial"/>
          <w:b/>
          <w:bCs/>
          <w:color w:val="000000" w:themeColor="text1"/>
          <w:sz w:val="22"/>
          <w:szCs w:val="22"/>
          <w:lang w:eastAsia="en-GB"/>
        </w:rPr>
        <w:t xml:space="preserve">                                                                            Student number: </w:t>
      </w:r>
      <w:r w:rsidRPr="0063015D">
        <w:rPr>
          <w:rFonts w:ascii="Arial" w:hAnsi="Arial" w:cs="Arial"/>
          <w:b/>
          <w:bCs/>
          <w:color w:val="000000" w:themeColor="text1"/>
          <w:sz w:val="22"/>
          <w:szCs w:val="22"/>
          <w:lang w:eastAsia="en-GB"/>
        </w:rPr>
        <w:t>1917778</w:t>
      </w:r>
    </w:p>
    <w:p w14:paraId="6A7646CB" w14:textId="582EFE39" w:rsidR="0050295F" w:rsidRPr="0063015D" w:rsidRDefault="000A0B62" w:rsidP="0063015D">
      <w:pPr>
        <w:shd w:val="clear" w:color="auto" w:fill="FFFFFF" w:themeFill="background1"/>
        <w:spacing w:before="240" w:line="360" w:lineRule="auto"/>
        <w:jc w:val="center"/>
        <w:rPr>
          <w:rFonts w:ascii="Arial" w:hAnsi="Arial" w:cs="Arial"/>
          <w:b/>
          <w:bCs/>
          <w:color w:val="000000" w:themeColor="text1"/>
          <w:sz w:val="22"/>
          <w:szCs w:val="22"/>
          <w:lang w:eastAsia="en-GB"/>
        </w:rPr>
      </w:pPr>
      <w:r w:rsidRPr="0063015D">
        <w:rPr>
          <w:rFonts w:ascii="Arial" w:hAnsi="Arial" w:cs="Arial"/>
          <w:b/>
          <w:bCs/>
          <w:color w:val="000000" w:themeColor="text1"/>
          <w:sz w:val="22"/>
          <w:szCs w:val="22"/>
          <w:lang w:eastAsia="en-GB"/>
        </w:rPr>
        <w:t>Emerging Technologies, Online Platforms, and Digital Communities: Consequences for the Development, Wellbeing, and Health and Social Care Practices of Children and Adolescents</w:t>
      </w:r>
    </w:p>
    <w:p w14:paraId="721659A4" w14:textId="24CF3A57" w:rsidR="00ED6CBE" w:rsidRPr="0063015D" w:rsidRDefault="007B1401" w:rsidP="0063015D">
      <w:pPr>
        <w:shd w:val="clear" w:color="auto" w:fill="FFFFFF" w:themeFill="background1"/>
        <w:spacing w:before="240" w:line="360" w:lineRule="auto"/>
        <w:jc w:val="both"/>
        <w:rPr>
          <w:rFonts w:ascii="Arial" w:hAnsi="Arial" w:cs="Arial"/>
          <w:color w:val="000000" w:themeColor="text1"/>
          <w:sz w:val="22"/>
          <w:szCs w:val="22"/>
          <w:shd w:val="clear" w:color="auto" w:fill="FFFFFF"/>
        </w:rPr>
      </w:pPr>
      <w:r w:rsidRPr="0063015D">
        <w:rPr>
          <w:rFonts w:ascii="Arial" w:hAnsi="Arial" w:cs="Arial"/>
          <w:color w:val="000000" w:themeColor="text1"/>
          <w:sz w:val="22"/>
          <w:szCs w:val="22"/>
          <w:shd w:val="clear" w:color="auto" w:fill="FFFFFF"/>
        </w:rPr>
        <w:t xml:space="preserve">       Emergent technologies, social media platforms, and digital communities have increasingly taken on a vital role in the lives of children and young people (CYP), leading to significant changes in their developmental journeys. The incorporation of digital interaction into </w:t>
      </w:r>
      <w:r w:rsidR="00467617" w:rsidRPr="0063015D">
        <w:rPr>
          <w:rFonts w:ascii="Arial" w:hAnsi="Arial" w:cs="Arial"/>
          <w:color w:val="000000" w:themeColor="text1"/>
          <w:sz w:val="22"/>
          <w:szCs w:val="22"/>
          <w:shd w:val="clear" w:color="auto" w:fill="FFFFFF"/>
        </w:rPr>
        <w:t>daily experiences greatly affects learning outcomes, socialisation</w:t>
      </w:r>
      <w:r w:rsidRPr="0063015D">
        <w:rPr>
          <w:rFonts w:ascii="Arial" w:hAnsi="Arial" w:cs="Arial"/>
          <w:color w:val="000000" w:themeColor="text1"/>
          <w:sz w:val="22"/>
          <w:szCs w:val="22"/>
          <w:shd w:val="clear" w:color="auto" w:fill="FFFFFF"/>
        </w:rPr>
        <w:t xml:space="preserve"> processes, identity formation, and emotional health. This </w:t>
      </w:r>
      <w:r w:rsidR="006A0A6F" w:rsidRPr="0063015D">
        <w:rPr>
          <w:rFonts w:ascii="Arial" w:hAnsi="Arial" w:cs="Arial"/>
          <w:color w:val="000000" w:themeColor="text1"/>
          <w:sz w:val="22"/>
          <w:szCs w:val="22"/>
          <w:shd w:val="clear" w:color="auto" w:fill="FFFFFF"/>
        </w:rPr>
        <w:t>paradigm shift</w:t>
      </w:r>
      <w:r w:rsidRPr="0063015D">
        <w:rPr>
          <w:rFonts w:ascii="Arial" w:hAnsi="Arial" w:cs="Arial"/>
          <w:color w:val="000000" w:themeColor="text1"/>
          <w:sz w:val="22"/>
          <w:szCs w:val="22"/>
          <w:shd w:val="clear" w:color="auto" w:fill="FFFFFF"/>
        </w:rPr>
        <w:t xml:space="preserve"> requires a comprehensive evaluation from health and social care perspectives, especially as the link between digital experiences and mental health</w:t>
      </w:r>
      <w:r w:rsidR="00467617" w:rsidRPr="0063015D">
        <w:rPr>
          <w:rFonts w:ascii="Arial" w:hAnsi="Arial" w:cs="Arial"/>
          <w:color w:val="000000" w:themeColor="text1"/>
          <w:sz w:val="22"/>
          <w:szCs w:val="22"/>
          <w:shd w:val="clear" w:color="auto" w:fill="FFFFFF"/>
        </w:rPr>
        <w:t xml:space="preserve"> and safeguarding continues to develop</w:t>
      </w:r>
      <w:r w:rsidRPr="0063015D">
        <w:rPr>
          <w:rFonts w:ascii="Arial" w:hAnsi="Arial" w:cs="Arial"/>
          <w:color w:val="000000" w:themeColor="text1"/>
          <w:sz w:val="22"/>
          <w:szCs w:val="22"/>
          <w:shd w:val="clear" w:color="auto" w:fill="FFFFFF"/>
        </w:rPr>
        <w:t xml:space="preserve">. The discussion </w:t>
      </w:r>
      <w:r w:rsidR="00467617" w:rsidRPr="0063015D">
        <w:rPr>
          <w:rFonts w:ascii="Arial" w:hAnsi="Arial" w:cs="Arial"/>
          <w:color w:val="000000" w:themeColor="text1"/>
          <w:sz w:val="22"/>
          <w:szCs w:val="22"/>
          <w:shd w:val="clear" w:color="auto" w:fill="FFFFFF"/>
        </w:rPr>
        <w:t>of children</w:t>
      </w:r>
      <w:r w:rsidR="00695B0B" w:rsidRPr="0063015D">
        <w:rPr>
          <w:rFonts w:ascii="Arial" w:hAnsi="Arial" w:cs="Arial"/>
          <w:color w:val="000000" w:themeColor="text1"/>
          <w:sz w:val="22"/>
          <w:szCs w:val="22"/>
          <w:shd w:val="clear" w:color="auto" w:fill="FFFFFF"/>
        </w:rPr>
        <w:t>'</w:t>
      </w:r>
      <w:r w:rsidR="00467617" w:rsidRPr="0063015D">
        <w:rPr>
          <w:rFonts w:ascii="Arial" w:hAnsi="Arial" w:cs="Arial"/>
          <w:color w:val="000000" w:themeColor="text1"/>
          <w:sz w:val="22"/>
          <w:szCs w:val="22"/>
          <w:shd w:val="clear" w:color="auto" w:fill="FFFFFF"/>
        </w:rPr>
        <w:t>s online interactions often swings between alarmist views that highlight</w:t>
      </w:r>
      <w:r w:rsidRPr="0063015D">
        <w:rPr>
          <w:rFonts w:ascii="Arial" w:hAnsi="Arial" w:cs="Arial"/>
          <w:color w:val="000000" w:themeColor="text1"/>
          <w:sz w:val="22"/>
          <w:szCs w:val="22"/>
          <w:shd w:val="clear" w:color="auto" w:fill="FFFFFF"/>
        </w:rPr>
        <w:t xml:space="preserve"> potential dangers and overly optimistic depictions of digital possibilities. It is essential to acknowledge the complex realities that children navigate within these digital spaces.</w:t>
      </w:r>
      <w:r w:rsidR="00467617" w:rsidRPr="0063015D">
        <w:rPr>
          <w:rFonts w:ascii="Arial" w:hAnsi="Arial" w:cs="Arial"/>
          <w:color w:val="000000" w:themeColor="text1"/>
          <w:sz w:val="22"/>
          <w:szCs w:val="22"/>
          <w:shd w:val="clear" w:color="auto" w:fill="FFFFFF"/>
        </w:rPr>
        <w:t xml:space="preserve"> </w:t>
      </w:r>
      <w:r w:rsidR="00A71280" w:rsidRPr="0063015D">
        <w:rPr>
          <w:rFonts w:ascii="Arial" w:hAnsi="Arial" w:cs="Arial"/>
          <w:color w:val="000000" w:themeColor="text1"/>
          <w:sz w:val="22"/>
          <w:szCs w:val="22"/>
          <w:shd w:val="clear" w:color="auto" w:fill="FFFFFF"/>
        </w:rPr>
        <w:t>This essay explores how technology influences the development of young people, focusing on its effects on wellbeing, behaviour, skill acquisition, and social interactions. It examines both the positive and negative implications for these areas and emphasises the need for coordinated responses from</w:t>
      </w:r>
      <w:r w:rsidR="007B1DA3" w:rsidRPr="0063015D">
        <w:rPr>
          <w:rFonts w:ascii="Arial" w:hAnsi="Arial" w:cs="Arial"/>
          <w:color w:val="000000" w:themeColor="text1"/>
          <w:sz w:val="22"/>
          <w:szCs w:val="22"/>
          <w:shd w:val="clear" w:color="auto" w:fill="FFFFFF"/>
        </w:rPr>
        <w:t xml:space="preserve"> the United Kingdom</w:t>
      </w:r>
      <w:r w:rsidR="00695B0B" w:rsidRPr="0063015D">
        <w:rPr>
          <w:rFonts w:ascii="Arial" w:hAnsi="Arial" w:cs="Arial"/>
          <w:color w:val="000000" w:themeColor="text1"/>
          <w:sz w:val="22"/>
          <w:szCs w:val="22"/>
          <w:shd w:val="clear" w:color="auto" w:fill="FFFFFF"/>
        </w:rPr>
        <w:t>'</w:t>
      </w:r>
      <w:r w:rsidR="007B1DA3" w:rsidRPr="0063015D">
        <w:rPr>
          <w:rFonts w:ascii="Arial" w:hAnsi="Arial" w:cs="Arial"/>
          <w:color w:val="000000" w:themeColor="text1"/>
          <w:sz w:val="22"/>
          <w:szCs w:val="22"/>
          <w:shd w:val="clear" w:color="auto" w:fill="FFFFFF"/>
        </w:rPr>
        <w:t xml:space="preserve">s </w:t>
      </w:r>
      <w:r w:rsidR="002F5BF3" w:rsidRPr="0063015D">
        <w:rPr>
          <w:rFonts w:ascii="Arial" w:hAnsi="Arial" w:cs="Arial"/>
          <w:color w:val="000000" w:themeColor="text1"/>
          <w:sz w:val="22"/>
          <w:szCs w:val="22"/>
          <w:shd w:val="clear" w:color="auto" w:fill="FFFFFF"/>
        </w:rPr>
        <w:t>(UK) h</w:t>
      </w:r>
      <w:r w:rsidR="00A71280" w:rsidRPr="0063015D">
        <w:rPr>
          <w:rFonts w:ascii="Arial" w:hAnsi="Arial" w:cs="Arial"/>
          <w:color w:val="000000" w:themeColor="text1"/>
          <w:sz w:val="22"/>
          <w:szCs w:val="22"/>
          <w:shd w:val="clear" w:color="auto" w:fill="FFFFFF"/>
        </w:rPr>
        <w:t>ealth, education, and social care systems to ensure safety and inclusion. Using a health and social care framework, the analysis highlights the importance of informed, ethical approaches that address the diverse experiences of children in a digital society, aiming to mitigate risks while enhancing the benefits of digital engagement for their development.</w:t>
      </w:r>
    </w:p>
    <w:p w14:paraId="3D404740" w14:textId="73246F7A" w:rsidR="00617EA5" w:rsidRPr="0063015D" w:rsidRDefault="00D93573" w:rsidP="0063015D">
      <w:pPr>
        <w:shd w:val="clear" w:color="auto" w:fill="FFFFFF" w:themeFill="background1"/>
        <w:spacing w:before="24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      </w:t>
      </w:r>
      <w:r w:rsidR="00467617" w:rsidRPr="0063015D">
        <w:rPr>
          <w:rFonts w:ascii="Arial" w:hAnsi="Arial" w:cs="Arial"/>
          <w:color w:val="000000" w:themeColor="text1"/>
          <w:sz w:val="22"/>
          <w:szCs w:val="22"/>
        </w:rPr>
        <w:t xml:space="preserve">  </w:t>
      </w:r>
      <w:r w:rsidR="00883CE9" w:rsidRPr="0063015D">
        <w:rPr>
          <w:rFonts w:ascii="Arial" w:hAnsi="Arial" w:cs="Arial"/>
          <w:color w:val="000000" w:themeColor="text1"/>
          <w:sz w:val="22"/>
          <w:szCs w:val="22"/>
        </w:rPr>
        <w:t>Global research indicates that digital activities have become a normal part of children's daily lives (OECD, 2025). Likewise, digital participation among children in the UK is prevalent, with regulatory findings indicating that internet access is typical from childhood through adolescence (Ofcom, 2025). The Crime Survey for England and Wales (CSEW) reported that</w:t>
      </w:r>
      <w:r w:rsidR="00695B0B" w:rsidRPr="0063015D">
        <w:rPr>
          <w:rFonts w:ascii="Arial" w:hAnsi="Arial" w:cs="Arial"/>
          <w:color w:val="000000" w:themeColor="text1"/>
          <w:sz w:val="22"/>
          <w:szCs w:val="22"/>
        </w:rPr>
        <w:t>, as of March 2023, 92.6% of 10- to 15-year-olds were online every day, and 58.1% spent 3 or more hours online on a typical</w:t>
      </w:r>
      <w:r w:rsidR="00883CE9" w:rsidRPr="0063015D">
        <w:rPr>
          <w:rFonts w:ascii="Arial" w:hAnsi="Arial" w:cs="Arial"/>
          <w:color w:val="000000" w:themeColor="text1"/>
          <w:sz w:val="22"/>
          <w:szCs w:val="22"/>
        </w:rPr>
        <w:t xml:space="preserve"> school day (Office for National Statistics, 2024).</w:t>
      </w:r>
      <w:r w:rsidR="00354692" w:rsidRPr="0063015D">
        <w:rPr>
          <w:rFonts w:ascii="Arial" w:hAnsi="Arial" w:cs="Arial"/>
          <w:color w:val="000000" w:themeColor="text1"/>
          <w:sz w:val="22"/>
          <w:szCs w:val="22"/>
        </w:rPr>
        <w:t xml:space="preserve"> In the context of </w:t>
      </w:r>
      <w:r w:rsidR="007E474B" w:rsidRPr="0063015D">
        <w:rPr>
          <w:rFonts w:ascii="Arial" w:hAnsi="Arial" w:cs="Arial"/>
          <w:color w:val="000000" w:themeColor="text1"/>
          <w:sz w:val="22"/>
          <w:szCs w:val="22"/>
        </w:rPr>
        <w:t>CYP</w:t>
      </w:r>
      <w:r w:rsidR="00354692" w:rsidRPr="0063015D">
        <w:rPr>
          <w:rFonts w:ascii="Arial" w:hAnsi="Arial" w:cs="Arial"/>
          <w:color w:val="000000" w:themeColor="text1"/>
          <w:sz w:val="22"/>
          <w:szCs w:val="22"/>
        </w:rPr>
        <w:t xml:space="preserve">, digitalisation involves </w:t>
      </w:r>
      <w:r w:rsidR="00EF4A5C" w:rsidRPr="0063015D">
        <w:rPr>
          <w:rFonts w:ascii="Arial" w:hAnsi="Arial" w:cs="Arial"/>
          <w:color w:val="000000" w:themeColor="text1"/>
          <w:sz w:val="22"/>
          <w:szCs w:val="22"/>
        </w:rPr>
        <w:t>integrating</w:t>
      </w:r>
      <w:r w:rsidR="00354692" w:rsidRPr="0063015D">
        <w:rPr>
          <w:rFonts w:ascii="Arial" w:hAnsi="Arial" w:cs="Arial"/>
          <w:color w:val="000000" w:themeColor="text1"/>
          <w:sz w:val="22"/>
          <w:szCs w:val="22"/>
        </w:rPr>
        <w:t xml:space="preserve"> platforms, online systems, and data-driven tools into everyday experiences, including learning, social interactions, and access to support. Over time, this increasingly shapes </w:t>
      </w:r>
      <w:r w:rsidR="00442660" w:rsidRPr="0063015D">
        <w:rPr>
          <w:rFonts w:ascii="Arial" w:hAnsi="Arial" w:cs="Arial"/>
          <w:color w:val="000000" w:themeColor="text1"/>
          <w:sz w:val="22"/>
          <w:szCs w:val="22"/>
        </w:rPr>
        <w:t>CYP</w:t>
      </w:r>
      <w:r w:rsidR="00695B0B" w:rsidRPr="0063015D">
        <w:rPr>
          <w:rFonts w:ascii="Arial" w:hAnsi="Arial" w:cs="Arial"/>
          <w:color w:val="000000" w:themeColor="text1"/>
          <w:sz w:val="22"/>
          <w:szCs w:val="22"/>
        </w:rPr>
        <w:t>'</w:t>
      </w:r>
      <w:r w:rsidR="00442660" w:rsidRPr="0063015D">
        <w:rPr>
          <w:rFonts w:ascii="Arial" w:hAnsi="Arial" w:cs="Arial"/>
          <w:color w:val="000000" w:themeColor="text1"/>
          <w:sz w:val="22"/>
          <w:szCs w:val="22"/>
        </w:rPr>
        <w:t>s</w:t>
      </w:r>
      <w:r w:rsidR="00354692" w:rsidRPr="0063015D">
        <w:rPr>
          <w:rFonts w:ascii="Arial" w:hAnsi="Arial" w:cs="Arial"/>
          <w:color w:val="000000" w:themeColor="text1"/>
          <w:sz w:val="22"/>
          <w:szCs w:val="22"/>
        </w:rPr>
        <w:t xml:space="preserve"> learn</w:t>
      </w:r>
      <w:r w:rsidR="00442660" w:rsidRPr="0063015D">
        <w:rPr>
          <w:rFonts w:ascii="Arial" w:hAnsi="Arial" w:cs="Arial"/>
          <w:color w:val="000000" w:themeColor="text1"/>
          <w:sz w:val="22"/>
          <w:szCs w:val="22"/>
        </w:rPr>
        <w:t>ing</w:t>
      </w:r>
      <w:r w:rsidR="00695B0B" w:rsidRPr="0063015D">
        <w:rPr>
          <w:rFonts w:ascii="Arial" w:hAnsi="Arial" w:cs="Arial"/>
          <w:color w:val="000000" w:themeColor="text1"/>
          <w:sz w:val="22"/>
          <w:szCs w:val="22"/>
        </w:rPr>
        <w:t xml:space="preserve"> and socialisation</w:t>
      </w:r>
      <w:r w:rsidR="00354692" w:rsidRPr="0063015D">
        <w:rPr>
          <w:rFonts w:ascii="Arial" w:hAnsi="Arial" w:cs="Arial"/>
          <w:color w:val="000000" w:themeColor="text1"/>
          <w:sz w:val="22"/>
          <w:szCs w:val="22"/>
        </w:rPr>
        <w:t xml:space="preserve"> and </w:t>
      </w:r>
      <w:r w:rsidR="00DF49F1" w:rsidRPr="0063015D">
        <w:rPr>
          <w:rFonts w:ascii="Arial" w:hAnsi="Arial" w:cs="Arial"/>
          <w:color w:val="000000" w:themeColor="text1"/>
          <w:sz w:val="22"/>
          <w:szCs w:val="22"/>
        </w:rPr>
        <w:t>supports</w:t>
      </w:r>
      <w:r w:rsidR="00354692" w:rsidRPr="0063015D">
        <w:rPr>
          <w:rFonts w:ascii="Arial" w:hAnsi="Arial" w:cs="Arial"/>
          <w:color w:val="000000" w:themeColor="text1"/>
          <w:sz w:val="22"/>
          <w:szCs w:val="22"/>
        </w:rPr>
        <w:t xml:space="preserve"> their wellbeing (OECD, 2023).</w:t>
      </w:r>
      <w:r w:rsidR="00950E00" w:rsidRPr="0063015D">
        <w:rPr>
          <w:rFonts w:ascii="Arial" w:hAnsi="Arial" w:cs="Arial"/>
          <w:color w:val="000000" w:themeColor="text1"/>
          <w:sz w:val="22"/>
          <w:szCs w:val="22"/>
        </w:rPr>
        <w:t xml:space="preserve"> </w:t>
      </w:r>
      <w:r w:rsidR="00354692" w:rsidRPr="0063015D">
        <w:rPr>
          <w:rFonts w:ascii="Arial" w:hAnsi="Arial" w:cs="Arial"/>
          <w:color w:val="000000" w:themeColor="text1"/>
          <w:sz w:val="22"/>
          <w:szCs w:val="22"/>
        </w:rPr>
        <w:t xml:space="preserve">This evolution is crucial for health and social care, framing digital issues as both environmental and structural, which are important for prevention, safeguarding, and reducing inequality (Paulus </w:t>
      </w:r>
      <w:r w:rsidR="00354692" w:rsidRPr="00C34EE0">
        <w:rPr>
          <w:rFonts w:ascii="Arial" w:hAnsi="Arial" w:cs="Arial"/>
          <w:i/>
          <w:iCs/>
          <w:color w:val="000000" w:themeColor="text1"/>
          <w:sz w:val="22"/>
          <w:szCs w:val="22"/>
        </w:rPr>
        <w:t>et al</w:t>
      </w:r>
      <w:r w:rsidR="00354692" w:rsidRPr="0063015D">
        <w:rPr>
          <w:rFonts w:ascii="Arial" w:hAnsi="Arial" w:cs="Arial"/>
          <w:color w:val="000000" w:themeColor="text1"/>
          <w:sz w:val="22"/>
          <w:szCs w:val="22"/>
        </w:rPr>
        <w:t>., 2023).</w:t>
      </w:r>
    </w:p>
    <w:p w14:paraId="67382619" w14:textId="397EBBDF" w:rsidR="0050295F" w:rsidRPr="0063015D" w:rsidRDefault="00617EA5" w:rsidP="0063015D">
      <w:pPr>
        <w:shd w:val="clear" w:color="auto" w:fill="FFFFFF" w:themeFill="background1"/>
        <w:spacing w:before="24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lastRenderedPageBreak/>
        <w:t xml:space="preserve">      </w:t>
      </w:r>
      <w:r w:rsidR="00354692" w:rsidRPr="0063015D">
        <w:rPr>
          <w:rFonts w:ascii="Arial" w:hAnsi="Arial" w:cs="Arial"/>
          <w:color w:val="000000" w:themeColor="text1"/>
          <w:sz w:val="22"/>
          <w:szCs w:val="22"/>
        </w:rPr>
        <w:t xml:space="preserve"> Children's development is affected by various systems, as outlined in Bronfenbrenner's ecological systems theory, which includes the microsystem (family, peers, school), mesosystem (interactions among these environments), exosystem (indirect effects like parental employment), macrosystem (cultural and social contexts), and chronosystem (changes over time) (Tong and An, 2024). Digital technologies have been woven into these systems, influencing </w:t>
      </w:r>
      <w:r w:rsidR="00E80FE1" w:rsidRPr="0063015D">
        <w:rPr>
          <w:rFonts w:ascii="Arial" w:hAnsi="Arial" w:cs="Arial"/>
          <w:color w:val="000000" w:themeColor="text1"/>
          <w:sz w:val="22"/>
          <w:szCs w:val="22"/>
        </w:rPr>
        <w:t>CYP</w:t>
      </w:r>
      <w:r w:rsidR="00354692" w:rsidRPr="0063015D">
        <w:rPr>
          <w:rFonts w:ascii="Arial" w:hAnsi="Arial" w:cs="Arial"/>
          <w:color w:val="000000" w:themeColor="text1"/>
          <w:sz w:val="22"/>
          <w:szCs w:val="22"/>
        </w:rPr>
        <w:t xml:space="preserve">'s experiences from early life through adulthood (Halla Holmarsdottir </w:t>
      </w:r>
      <w:r w:rsidR="00354692" w:rsidRPr="00C34EE0">
        <w:rPr>
          <w:rFonts w:ascii="Arial" w:hAnsi="Arial" w:cs="Arial"/>
          <w:i/>
          <w:iCs/>
          <w:color w:val="000000" w:themeColor="text1"/>
          <w:sz w:val="22"/>
          <w:szCs w:val="22"/>
        </w:rPr>
        <w:t>et al</w:t>
      </w:r>
      <w:r w:rsidR="00354692" w:rsidRPr="0063015D">
        <w:rPr>
          <w:rFonts w:ascii="Arial" w:hAnsi="Arial" w:cs="Arial"/>
          <w:color w:val="000000" w:themeColor="text1"/>
          <w:sz w:val="22"/>
          <w:szCs w:val="22"/>
        </w:rPr>
        <w:t xml:space="preserve">., 2024). Social media platforms and online communities serve not </w:t>
      </w:r>
      <w:r w:rsidR="00A9608C">
        <w:rPr>
          <w:rFonts w:ascii="Arial" w:hAnsi="Arial" w:cs="Arial"/>
          <w:color w:val="000000" w:themeColor="text1"/>
          <w:sz w:val="22"/>
          <w:szCs w:val="22"/>
        </w:rPr>
        <w:t>only as tools but also as socio-technical environments, driven by financial motives, algorithmic curation, and societal norms, that shape behaviour, emotional management, and social expectations, ultimately influencing</w:t>
      </w:r>
      <w:r w:rsidR="00354692" w:rsidRPr="0063015D">
        <w:rPr>
          <w:rFonts w:ascii="Arial" w:hAnsi="Arial" w:cs="Arial"/>
          <w:color w:val="000000" w:themeColor="text1"/>
          <w:sz w:val="22"/>
          <w:szCs w:val="22"/>
        </w:rPr>
        <w:t xml:space="preserve"> social identity and fostering connections for young people (Regehr </w:t>
      </w:r>
      <w:r w:rsidR="00354692" w:rsidRPr="00C34EE0">
        <w:rPr>
          <w:rFonts w:ascii="Arial" w:hAnsi="Arial" w:cs="Arial"/>
          <w:i/>
          <w:iCs/>
          <w:color w:val="000000" w:themeColor="text1"/>
          <w:sz w:val="22"/>
          <w:szCs w:val="22"/>
        </w:rPr>
        <w:t>et al</w:t>
      </w:r>
      <w:r w:rsidR="00354692" w:rsidRPr="0063015D">
        <w:rPr>
          <w:rFonts w:ascii="Arial" w:hAnsi="Arial" w:cs="Arial"/>
          <w:color w:val="000000" w:themeColor="text1"/>
          <w:sz w:val="22"/>
          <w:szCs w:val="22"/>
        </w:rPr>
        <w:t>., 2025).</w:t>
      </w:r>
    </w:p>
    <w:p w14:paraId="4415AD6D" w14:textId="4274A290" w:rsidR="0050295F" w:rsidRPr="0063015D" w:rsidRDefault="00F22EE8" w:rsidP="0063015D">
      <w:pPr>
        <w:shd w:val="clear" w:color="auto" w:fill="FFFFFF" w:themeFill="background1"/>
        <w:spacing w:before="240" w:after="100" w:afterAutospacing="1" w:line="360" w:lineRule="auto"/>
        <w:jc w:val="both"/>
        <w:rPr>
          <w:rFonts w:ascii="Arial" w:eastAsia="Times New Roman" w:hAnsi="Arial" w:cs="Arial"/>
          <w:color w:val="000000" w:themeColor="text1"/>
          <w:kern w:val="0"/>
          <w:sz w:val="22"/>
          <w:szCs w:val="22"/>
          <w:lang w:eastAsia="en-GB"/>
          <w14:ligatures w14:val="none"/>
        </w:rPr>
      </w:pPr>
      <w:r w:rsidRPr="0063015D">
        <w:rPr>
          <w:rFonts w:ascii="Arial" w:eastAsia="Times New Roman" w:hAnsi="Arial" w:cs="Arial"/>
          <w:color w:val="000000" w:themeColor="text1"/>
          <w:kern w:val="0"/>
          <w:sz w:val="22"/>
          <w:szCs w:val="22"/>
          <w:lang w:eastAsia="en-GB"/>
          <w14:ligatures w14:val="none"/>
        </w:rPr>
        <w:t xml:space="preserve">         </w:t>
      </w:r>
      <w:r w:rsidR="00294148" w:rsidRPr="0063015D">
        <w:rPr>
          <w:rFonts w:ascii="Arial" w:eastAsia="Times New Roman" w:hAnsi="Arial" w:cs="Arial"/>
          <w:color w:val="000000" w:themeColor="text1"/>
          <w:kern w:val="0"/>
          <w:sz w:val="22"/>
          <w:szCs w:val="22"/>
          <w:lang w:eastAsia="en-GB"/>
          <w14:ligatures w14:val="none"/>
        </w:rPr>
        <w:t xml:space="preserve">Research indicates that the effects of digital engagement are neither consistent nor predictable. An umbrella review by Sala, Porcaro, and Gómez (2024) highlights that social media use can have both positive and negative impacts on mental health. </w:t>
      </w:r>
      <w:r w:rsidR="009B2B0A" w:rsidRPr="0063015D">
        <w:rPr>
          <w:rFonts w:ascii="Arial" w:eastAsia="Times New Roman" w:hAnsi="Arial" w:cs="Arial"/>
          <w:color w:val="000000" w:themeColor="text1"/>
          <w:kern w:val="0"/>
          <w:sz w:val="22"/>
          <w:szCs w:val="22"/>
          <w:lang w:eastAsia="en-GB"/>
          <w14:ligatures w14:val="none"/>
        </w:rPr>
        <w:t>Usage patterns, individual traits, and situational factors influence these effect</w:t>
      </w:r>
      <w:r w:rsidR="00294148" w:rsidRPr="0063015D">
        <w:rPr>
          <w:rFonts w:ascii="Arial" w:eastAsia="Times New Roman" w:hAnsi="Arial" w:cs="Arial"/>
          <w:color w:val="000000" w:themeColor="text1"/>
          <w:kern w:val="0"/>
          <w:sz w:val="22"/>
          <w:szCs w:val="22"/>
          <w:lang w:eastAsia="en-GB"/>
          <w14:ligatures w14:val="none"/>
        </w:rPr>
        <w:t>s. This is particularly significant in health and social care contexts, where children and adolescents may encounter challenges like trauma, economic hardship, or unstable family situations, increasing their vulnerability to online risks. Viewing digital engagement as a developmental context—rather than an isolated activity—aligns with modern safeguarding strategies that recogni</w:t>
      </w:r>
      <w:r w:rsidR="009B3E89" w:rsidRPr="0063015D">
        <w:rPr>
          <w:rFonts w:ascii="Arial" w:eastAsia="Times New Roman" w:hAnsi="Arial" w:cs="Arial"/>
          <w:color w:val="000000" w:themeColor="text1"/>
          <w:kern w:val="0"/>
          <w:sz w:val="22"/>
          <w:szCs w:val="22"/>
          <w:lang w:eastAsia="en-GB"/>
          <w14:ligatures w14:val="none"/>
        </w:rPr>
        <w:t>s</w:t>
      </w:r>
      <w:r w:rsidR="00294148" w:rsidRPr="0063015D">
        <w:rPr>
          <w:rFonts w:ascii="Arial" w:eastAsia="Times New Roman" w:hAnsi="Arial" w:cs="Arial"/>
          <w:color w:val="000000" w:themeColor="text1"/>
          <w:kern w:val="0"/>
          <w:sz w:val="22"/>
          <w:szCs w:val="22"/>
          <w:lang w:eastAsia="en-GB"/>
          <w14:ligatures w14:val="none"/>
        </w:rPr>
        <w:t xml:space="preserve">e harm occurring in broader settings. Online activities can amplify </w:t>
      </w:r>
      <w:r w:rsidR="00AC6DB2" w:rsidRPr="0063015D">
        <w:rPr>
          <w:rFonts w:ascii="Arial" w:eastAsia="Times New Roman" w:hAnsi="Arial" w:cs="Arial"/>
          <w:color w:val="000000" w:themeColor="text1"/>
          <w:kern w:val="0"/>
          <w:sz w:val="22"/>
          <w:szCs w:val="22"/>
          <w:lang w:eastAsia="en-GB"/>
          <w14:ligatures w14:val="none"/>
        </w:rPr>
        <w:t>peer dynamics</w:t>
      </w:r>
      <w:r w:rsidR="003C06C7" w:rsidRPr="0063015D">
        <w:rPr>
          <w:rFonts w:ascii="Arial" w:eastAsia="Times New Roman" w:hAnsi="Arial" w:cs="Arial"/>
          <w:color w:val="000000" w:themeColor="text1"/>
          <w:kern w:val="0"/>
          <w:sz w:val="22"/>
          <w:szCs w:val="22"/>
          <w:lang w:eastAsia="en-GB"/>
          <w14:ligatures w14:val="none"/>
        </w:rPr>
        <w:t>, school culture, and community influences, underscoring that addressing digital harms requires consideration of a child</w:t>
      </w:r>
      <w:r w:rsidR="00695B0B" w:rsidRPr="0063015D">
        <w:rPr>
          <w:rFonts w:ascii="Arial" w:eastAsia="Times New Roman" w:hAnsi="Arial" w:cs="Arial"/>
          <w:color w:val="000000" w:themeColor="text1"/>
          <w:kern w:val="0"/>
          <w:sz w:val="22"/>
          <w:szCs w:val="22"/>
          <w:lang w:eastAsia="en-GB"/>
          <w14:ligatures w14:val="none"/>
        </w:rPr>
        <w:t>'</w:t>
      </w:r>
      <w:r w:rsidR="003C06C7" w:rsidRPr="0063015D">
        <w:rPr>
          <w:rFonts w:ascii="Arial" w:eastAsia="Times New Roman" w:hAnsi="Arial" w:cs="Arial"/>
          <w:color w:val="000000" w:themeColor="text1"/>
          <w:kern w:val="0"/>
          <w:sz w:val="22"/>
          <w:szCs w:val="22"/>
          <w:lang w:eastAsia="en-GB"/>
          <w14:ligatures w14:val="none"/>
        </w:rPr>
        <w:t>s broader</w:t>
      </w:r>
      <w:r w:rsidR="00294148" w:rsidRPr="0063015D">
        <w:rPr>
          <w:rFonts w:ascii="Arial" w:eastAsia="Times New Roman" w:hAnsi="Arial" w:cs="Arial"/>
          <w:color w:val="000000" w:themeColor="text1"/>
          <w:kern w:val="0"/>
          <w:sz w:val="22"/>
          <w:szCs w:val="22"/>
          <w:lang w:eastAsia="en-GB"/>
          <w14:ligatures w14:val="none"/>
        </w:rPr>
        <w:t xml:space="preserve"> social environment (Firmin, Manister, and Peace, 2022).</w:t>
      </w:r>
    </w:p>
    <w:p w14:paraId="45E10C48" w14:textId="41CC9D6D" w:rsidR="00786248" w:rsidRPr="0063015D" w:rsidRDefault="003C06C7" w:rsidP="0063015D">
      <w:pPr>
        <w:shd w:val="clear" w:color="auto" w:fill="FFFFFF" w:themeFill="background1"/>
        <w:spacing w:before="240" w:after="100" w:afterAutospacing="1" w:line="360" w:lineRule="auto"/>
        <w:jc w:val="both"/>
        <w:rPr>
          <w:rFonts w:ascii="Arial" w:eastAsia="Times New Roman" w:hAnsi="Arial" w:cs="Arial"/>
          <w:color w:val="000000" w:themeColor="text1"/>
          <w:kern w:val="0"/>
          <w:sz w:val="22"/>
          <w:szCs w:val="22"/>
          <w:lang w:eastAsia="en-GB"/>
          <w14:ligatures w14:val="none"/>
        </w:rPr>
      </w:pPr>
      <w:r w:rsidRPr="0063015D">
        <w:rPr>
          <w:rFonts w:ascii="Arial" w:eastAsia="Times New Roman" w:hAnsi="Arial" w:cs="Arial"/>
          <w:color w:val="000000" w:themeColor="text1"/>
          <w:kern w:val="0"/>
          <w:sz w:val="22"/>
          <w:szCs w:val="22"/>
          <w:lang w:eastAsia="en-GB"/>
          <w14:ligatures w14:val="none"/>
        </w:rPr>
        <w:t xml:space="preserve">        </w:t>
      </w:r>
      <w:r w:rsidR="00786248" w:rsidRPr="0063015D">
        <w:rPr>
          <w:rFonts w:ascii="Arial" w:eastAsia="Times New Roman" w:hAnsi="Arial" w:cs="Arial"/>
          <w:color w:val="000000" w:themeColor="text1"/>
          <w:kern w:val="0"/>
          <w:sz w:val="22"/>
          <w:szCs w:val="22"/>
          <w:lang w:eastAsia="en-GB"/>
          <w14:ligatures w14:val="none"/>
        </w:rPr>
        <w:t>Emerging technologies are increasingly shaping children's educational experiences in various settings. When effectively incorporated into teaching methods, educational technologies can enhance engagement, support personali</w:t>
      </w:r>
      <w:r w:rsidR="009B3E89" w:rsidRPr="0063015D">
        <w:rPr>
          <w:rFonts w:ascii="Arial" w:eastAsia="Times New Roman" w:hAnsi="Arial" w:cs="Arial"/>
          <w:color w:val="000000" w:themeColor="text1"/>
          <w:kern w:val="0"/>
          <w:sz w:val="22"/>
          <w:szCs w:val="22"/>
          <w:lang w:eastAsia="en-GB"/>
          <w14:ligatures w14:val="none"/>
        </w:rPr>
        <w:t>s</w:t>
      </w:r>
      <w:r w:rsidR="00786248" w:rsidRPr="0063015D">
        <w:rPr>
          <w:rFonts w:ascii="Arial" w:eastAsia="Times New Roman" w:hAnsi="Arial" w:cs="Arial"/>
          <w:color w:val="000000" w:themeColor="text1"/>
          <w:kern w:val="0"/>
          <w:sz w:val="22"/>
          <w:szCs w:val="22"/>
          <w:lang w:eastAsia="en-GB"/>
          <w14:ligatures w14:val="none"/>
        </w:rPr>
        <w:t xml:space="preserve">ed learning, and improve accessibility (Department for Education, 2026). Research shows that immersive technologies, such as virtual reality, can transcend the limitations of space and time in education, fostering experiential learning that positively impacts primary education outcomes, particularly when aligned with curricular goals and </w:t>
      </w:r>
      <w:r w:rsidR="001F7117" w:rsidRPr="0063015D">
        <w:rPr>
          <w:rFonts w:ascii="Arial" w:eastAsia="Times New Roman" w:hAnsi="Arial" w:cs="Arial"/>
          <w:color w:val="000000" w:themeColor="text1"/>
          <w:kern w:val="0"/>
          <w:sz w:val="22"/>
          <w:szCs w:val="22"/>
          <w:lang w:eastAsia="en-GB"/>
          <w14:ligatures w14:val="none"/>
        </w:rPr>
        <w:t>supported by teachers</w:t>
      </w:r>
      <w:r w:rsidR="00786248" w:rsidRPr="0063015D">
        <w:rPr>
          <w:rFonts w:ascii="Arial" w:eastAsia="Times New Roman" w:hAnsi="Arial" w:cs="Arial"/>
          <w:color w:val="000000" w:themeColor="text1"/>
          <w:kern w:val="0"/>
          <w:sz w:val="22"/>
          <w:szCs w:val="22"/>
          <w:lang w:eastAsia="en-GB"/>
          <w14:ligatures w14:val="none"/>
        </w:rPr>
        <w:t xml:space="preserve"> (Villena-Taranilla </w:t>
      </w:r>
      <w:r w:rsidR="00786248" w:rsidRPr="00C34EE0">
        <w:rPr>
          <w:rFonts w:ascii="Arial" w:eastAsia="Times New Roman" w:hAnsi="Arial" w:cs="Arial"/>
          <w:i/>
          <w:iCs/>
          <w:color w:val="000000" w:themeColor="text1"/>
          <w:kern w:val="0"/>
          <w:sz w:val="22"/>
          <w:szCs w:val="22"/>
          <w:lang w:eastAsia="en-GB"/>
          <w14:ligatures w14:val="none"/>
        </w:rPr>
        <w:t>et al</w:t>
      </w:r>
      <w:r w:rsidR="00786248" w:rsidRPr="0063015D">
        <w:rPr>
          <w:rFonts w:ascii="Arial" w:eastAsia="Times New Roman" w:hAnsi="Arial" w:cs="Arial"/>
          <w:color w:val="000000" w:themeColor="text1"/>
          <w:kern w:val="0"/>
          <w:sz w:val="22"/>
          <w:szCs w:val="22"/>
          <w:lang w:eastAsia="en-GB"/>
          <w14:ligatures w14:val="none"/>
        </w:rPr>
        <w:t>., 2022).</w:t>
      </w:r>
      <w:r w:rsidR="00525711" w:rsidRPr="0063015D">
        <w:rPr>
          <w:rFonts w:ascii="Arial" w:eastAsia="Times New Roman" w:hAnsi="Arial" w:cs="Arial"/>
          <w:color w:val="000000" w:themeColor="text1"/>
          <w:kern w:val="0"/>
          <w:sz w:val="22"/>
          <w:szCs w:val="22"/>
          <w:lang w:eastAsia="en-GB"/>
          <w14:ligatures w14:val="none"/>
        </w:rPr>
        <w:t xml:space="preserve"> </w:t>
      </w:r>
      <w:r w:rsidR="00786248" w:rsidRPr="0063015D">
        <w:rPr>
          <w:rFonts w:ascii="Arial" w:eastAsia="Times New Roman" w:hAnsi="Arial" w:cs="Arial"/>
          <w:color w:val="000000" w:themeColor="text1"/>
          <w:kern w:val="0"/>
          <w:sz w:val="22"/>
          <w:szCs w:val="22"/>
          <w:lang w:eastAsia="en-GB"/>
          <w14:ligatures w14:val="none"/>
        </w:rPr>
        <w:t xml:space="preserve">The COVID-19 pandemic spurred a swift digital transformation in education, </w:t>
      </w:r>
      <w:r w:rsidR="001F7117" w:rsidRPr="0063015D">
        <w:rPr>
          <w:rFonts w:ascii="Arial" w:eastAsia="Times New Roman" w:hAnsi="Arial" w:cs="Arial"/>
          <w:color w:val="000000" w:themeColor="text1"/>
          <w:kern w:val="0"/>
          <w:sz w:val="22"/>
          <w:szCs w:val="22"/>
          <w:lang w:eastAsia="en-GB"/>
          <w14:ligatures w14:val="none"/>
        </w:rPr>
        <w:t>leading to the</w:t>
      </w:r>
      <w:r w:rsidR="00786248" w:rsidRPr="0063015D">
        <w:rPr>
          <w:rFonts w:ascii="Arial" w:eastAsia="Times New Roman" w:hAnsi="Arial" w:cs="Arial"/>
          <w:color w:val="000000" w:themeColor="text1"/>
          <w:kern w:val="0"/>
          <w:sz w:val="22"/>
          <w:szCs w:val="22"/>
          <w:lang w:eastAsia="en-GB"/>
          <w14:ligatures w14:val="none"/>
        </w:rPr>
        <w:t xml:space="preserve"> transition to online learning amid school closures. This transition highlighted both advantages and challenges: while technology facilitated educational continuity, many institutions struggled with inadequate resources, insufficient teacher training, and unequal access to devices and internet connectivity (Timotheou </w:t>
      </w:r>
      <w:r w:rsidR="00786248" w:rsidRPr="00C34EE0">
        <w:rPr>
          <w:rFonts w:ascii="Arial" w:eastAsia="Times New Roman" w:hAnsi="Arial" w:cs="Arial"/>
          <w:i/>
          <w:iCs/>
          <w:color w:val="000000" w:themeColor="text1"/>
          <w:kern w:val="0"/>
          <w:sz w:val="22"/>
          <w:szCs w:val="22"/>
          <w:lang w:eastAsia="en-GB"/>
          <w14:ligatures w14:val="none"/>
        </w:rPr>
        <w:t>et al</w:t>
      </w:r>
      <w:r w:rsidR="00786248" w:rsidRPr="0063015D">
        <w:rPr>
          <w:rFonts w:ascii="Arial" w:eastAsia="Times New Roman" w:hAnsi="Arial" w:cs="Arial"/>
          <w:color w:val="000000" w:themeColor="text1"/>
          <w:kern w:val="0"/>
          <w:sz w:val="22"/>
          <w:szCs w:val="22"/>
          <w:lang w:eastAsia="en-GB"/>
          <w14:ligatures w14:val="none"/>
        </w:rPr>
        <w:t xml:space="preserve">., 2023). Remote learning increased the demand for parental support, especially for younger students, and families with limited digital skills faced obstacles to participation. Schools in disadvantaged or rural areas had difficulty adapting due </w:t>
      </w:r>
      <w:r w:rsidR="00786248" w:rsidRPr="0063015D">
        <w:rPr>
          <w:rFonts w:ascii="Arial" w:eastAsia="Times New Roman" w:hAnsi="Arial" w:cs="Arial"/>
          <w:color w:val="000000" w:themeColor="text1"/>
          <w:kern w:val="0"/>
          <w:sz w:val="22"/>
          <w:szCs w:val="22"/>
          <w:lang w:eastAsia="en-GB"/>
          <w14:ligatures w14:val="none"/>
        </w:rPr>
        <w:lastRenderedPageBreak/>
        <w:t xml:space="preserve">to </w:t>
      </w:r>
      <w:r w:rsidR="00B750BD" w:rsidRPr="0063015D">
        <w:rPr>
          <w:rFonts w:ascii="Arial" w:eastAsia="Times New Roman" w:hAnsi="Arial" w:cs="Arial"/>
          <w:color w:val="000000" w:themeColor="text1"/>
          <w:kern w:val="0"/>
          <w:sz w:val="22"/>
          <w:szCs w:val="22"/>
          <w:lang w:eastAsia="en-GB"/>
          <w14:ligatures w14:val="none"/>
        </w:rPr>
        <w:t>limited</w:t>
      </w:r>
      <w:r w:rsidR="00786248" w:rsidRPr="0063015D">
        <w:rPr>
          <w:rFonts w:ascii="Arial" w:eastAsia="Times New Roman" w:hAnsi="Arial" w:cs="Arial"/>
          <w:color w:val="000000" w:themeColor="text1"/>
          <w:kern w:val="0"/>
          <w:sz w:val="22"/>
          <w:szCs w:val="22"/>
          <w:lang w:eastAsia="en-GB"/>
          <w14:ligatures w14:val="none"/>
        </w:rPr>
        <w:t xml:space="preserve"> resources (Timotheou </w:t>
      </w:r>
      <w:r w:rsidR="00786248" w:rsidRPr="00C34EE0">
        <w:rPr>
          <w:rFonts w:ascii="Arial" w:eastAsia="Times New Roman" w:hAnsi="Arial" w:cs="Arial"/>
          <w:i/>
          <w:iCs/>
          <w:color w:val="000000" w:themeColor="text1"/>
          <w:kern w:val="0"/>
          <w:sz w:val="22"/>
          <w:szCs w:val="22"/>
          <w:lang w:eastAsia="en-GB"/>
          <w14:ligatures w14:val="none"/>
        </w:rPr>
        <w:t>et al</w:t>
      </w:r>
      <w:r w:rsidR="00786248" w:rsidRPr="0063015D">
        <w:rPr>
          <w:rFonts w:ascii="Arial" w:eastAsia="Times New Roman" w:hAnsi="Arial" w:cs="Arial"/>
          <w:color w:val="000000" w:themeColor="text1"/>
          <w:kern w:val="0"/>
          <w:sz w:val="22"/>
          <w:szCs w:val="22"/>
          <w:lang w:eastAsia="en-GB"/>
          <w14:ligatures w14:val="none"/>
        </w:rPr>
        <w:t xml:space="preserve">., 2023). These challenges can worsen existing adversities, affecting student wellbeing and safety </w:t>
      </w:r>
      <w:r w:rsidR="00B750BD" w:rsidRPr="0063015D">
        <w:rPr>
          <w:rFonts w:ascii="Arial" w:eastAsia="Times New Roman" w:hAnsi="Arial" w:cs="Arial"/>
          <w:color w:val="000000" w:themeColor="text1"/>
          <w:kern w:val="0"/>
          <w:sz w:val="22"/>
          <w:szCs w:val="22"/>
          <w:lang w:eastAsia="en-GB"/>
          <w14:ligatures w14:val="none"/>
        </w:rPr>
        <w:t>by reducing visibility in schools and limiting access to support services, particularly</w:t>
      </w:r>
      <w:r w:rsidR="00786248" w:rsidRPr="0063015D">
        <w:rPr>
          <w:rFonts w:ascii="Arial" w:eastAsia="Times New Roman" w:hAnsi="Arial" w:cs="Arial"/>
          <w:color w:val="000000" w:themeColor="text1"/>
          <w:kern w:val="0"/>
          <w:sz w:val="22"/>
          <w:szCs w:val="22"/>
          <w:lang w:eastAsia="en-GB"/>
          <w14:ligatures w14:val="none"/>
        </w:rPr>
        <w:t xml:space="preserve"> for vulnerable children (Iivari, Sharma and Ventä-Olkkonen, 2020).</w:t>
      </w:r>
    </w:p>
    <w:p w14:paraId="03FB5026" w14:textId="1717BF87" w:rsidR="0050295F" w:rsidRPr="0063015D" w:rsidRDefault="00570DD8" w:rsidP="0063015D">
      <w:pPr>
        <w:shd w:val="clear" w:color="auto" w:fill="FFFFFF" w:themeFill="background1"/>
        <w:spacing w:before="240" w:after="100" w:afterAutospacing="1" w:line="360" w:lineRule="auto"/>
        <w:jc w:val="both"/>
        <w:rPr>
          <w:rFonts w:ascii="Arial" w:eastAsia="Times New Roman" w:hAnsi="Arial" w:cs="Arial"/>
          <w:color w:val="000000" w:themeColor="text1"/>
          <w:kern w:val="0"/>
          <w:sz w:val="22"/>
          <w:szCs w:val="22"/>
          <w:lang w:eastAsia="en-GB"/>
          <w14:ligatures w14:val="none"/>
        </w:rPr>
      </w:pPr>
      <w:r w:rsidRPr="0063015D">
        <w:rPr>
          <w:rFonts w:ascii="Arial" w:eastAsia="Times New Roman" w:hAnsi="Arial" w:cs="Arial"/>
          <w:color w:val="000000" w:themeColor="text1"/>
          <w:kern w:val="0"/>
          <w:sz w:val="22"/>
          <w:szCs w:val="22"/>
          <w:lang w:eastAsia="en-GB"/>
          <w14:ligatures w14:val="none"/>
        </w:rPr>
        <w:t xml:space="preserve">      </w:t>
      </w:r>
      <w:r w:rsidR="00786248" w:rsidRPr="0063015D">
        <w:rPr>
          <w:rFonts w:ascii="Arial" w:eastAsia="Times New Roman" w:hAnsi="Arial" w:cs="Arial"/>
          <w:color w:val="000000" w:themeColor="text1"/>
          <w:kern w:val="0"/>
          <w:sz w:val="22"/>
          <w:szCs w:val="22"/>
          <w:lang w:eastAsia="en-GB"/>
          <w14:ligatures w14:val="none"/>
        </w:rPr>
        <w:t xml:space="preserve">Alongside traditional education, online communities </w:t>
      </w:r>
      <w:r w:rsidR="00B750BD" w:rsidRPr="0063015D">
        <w:rPr>
          <w:rFonts w:ascii="Arial" w:eastAsia="Times New Roman" w:hAnsi="Arial" w:cs="Arial"/>
          <w:color w:val="000000" w:themeColor="text1"/>
          <w:kern w:val="0"/>
          <w:sz w:val="22"/>
          <w:szCs w:val="22"/>
          <w:lang w:eastAsia="en-GB"/>
          <w14:ligatures w14:val="none"/>
        </w:rPr>
        <w:t>foster informal learning through peer collaboration and knowledge exchange</w:t>
      </w:r>
      <w:r w:rsidR="00786248" w:rsidRPr="0063015D">
        <w:rPr>
          <w:rFonts w:ascii="Arial" w:eastAsia="Times New Roman" w:hAnsi="Arial" w:cs="Arial"/>
          <w:color w:val="000000" w:themeColor="text1"/>
          <w:kern w:val="0"/>
          <w:sz w:val="22"/>
          <w:szCs w:val="22"/>
          <w:lang w:eastAsia="en-GB"/>
          <w14:ligatures w14:val="none"/>
        </w:rPr>
        <w:t xml:space="preserve">. These interactions can help develop essential skills such as digital literacy, communication, and problem-solving, which are vital for future educational and career prospects (OECD, 2025). From a health and social care perspective, these experiences may enhance inclusion, boost confidence, and foster self-efficacy among children facing challenges in conventional educational settings (OECD, 2025). Nonetheless, the dependence on digital tools carries risks. Overreliance can impede the development of critical cognitive abilities, especially when technology replaces rather than supports learning (McNaughton </w:t>
      </w:r>
      <w:r w:rsidR="00786248" w:rsidRPr="00C34EE0">
        <w:rPr>
          <w:rFonts w:ascii="Arial" w:eastAsia="Times New Roman" w:hAnsi="Arial" w:cs="Arial"/>
          <w:i/>
          <w:iCs/>
          <w:color w:val="000000" w:themeColor="text1"/>
          <w:kern w:val="0"/>
          <w:sz w:val="22"/>
          <w:szCs w:val="22"/>
          <w:lang w:eastAsia="en-GB"/>
          <w14:ligatures w14:val="none"/>
        </w:rPr>
        <w:t>et al</w:t>
      </w:r>
      <w:r w:rsidR="00786248" w:rsidRPr="0063015D">
        <w:rPr>
          <w:rFonts w:ascii="Arial" w:eastAsia="Times New Roman" w:hAnsi="Arial" w:cs="Arial"/>
          <w:color w:val="000000" w:themeColor="text1"/>
          <w:kern w:val="0"/>
          <w:sz w:val="22"/>
          <w:szCs w:val="22"/>
          <w:lang w:eastAsia="en-GB"/>
          <w14:ligatures w14:val="none"/>
        </w:rPr>
        <w:t>., 2023). The rapid expansion of generative artificial intelligence</w:t>
      </w:r>
      <w:r w:rsidR="002D7169" w:rsidRPr="0063015D">
        <w:rPr>
          <w:rFonts w:ascii="Arial" w:eastAsia="Times New Roman" w:hAnsi="Arial" w:cs="Arial"/>
          <w:color w:val="000000" w:themeColor="text1"/>
          <w:kern w:val="0"/>
          <w:sz w:val="22"/>
          <w:szCs w:val="22"/>
          <w:lang w:eastAsia="en-GB"/>
          <w14:ligatures w14:val="none"/>
        </w:rPr>
        <w:t xml:space="preserve"> (AI)</w:t>
      </w:r>
      <w:r w:rsidR="00786248" w:rsidRPr="0063015D">
        <w:rPr>
          <w:rFonts w:ascii="Arial" w:eastAsia="Times New Roman" w:hAnsi="Arial" w:cs="Arial"/>
          <w:color w:val="000000" w:themeColor="text1"/>
          <w:kern w:val="0"/>
          <w:sz w:val="22"/>
          <w:szCs w:val="22"/>
          <w:lang w:eastAsia="en-GB"/>
          <w14:ligatures w14:val="none"/>
        </w:rPr>
        <w:t xml:space="preserve"> introduces additional complexities, raising concerns about academic honesty and diminished independent thinking if appropriate precautions and guidance are not implemented (Richmond, 2025). Digital disparities continue to pose significant challenges</w:t>
      </w:r>
      <w:r w:rsidR="00933DB2" w:rsidRPr="0063015D">
        <w:rPr>
          <w:rFonts w:ascii="Arial" w:eastAsia="Times New Roman" w:hAnsi="Arial" w:cs="Arial"/>
          <w:color w:val="000000" w:themeColor="text1"/>
          <w:kern w:val="0"/>
          <w:sz w:val="22"/>
          <w:szCs w:val="22"/>
          <w:lang w:eastAsia="en-GB"/>
          <w14:ligatures w14:val="none"/>
        </w:rPr>
        <w:t xml:space="preserve"> in education</w:t>
      </w:r>
      <w:r w:rsidR="00786248" w:rsidRPr="0063015D">
        <w:rPr>
          <w:rFonts w:ascii="Arial" w:eastAsia="Times New Roman" w:hAnsi="Arial" w:cs="Arial"/>
          <w:color w:val="000000" w:themeColor="text1"/>
          <w:kern w:val="0"/>
          <w:sz w:val="22"/>
          <w:szCs w:val="22"/>
          <w:lang w:eastAsia="en-GB"/>
          <w14:ligatures w14:val="none"/>
        </w:rPr>
        <w:t xml:space="preserve">. Children from socio-economically disadvantaged backgrounds may lack access to </w:t>
      </w:r>
      <w:r w:rsidR="00A9608C">
        <w:rPr>
          <w:rFonts w:ascii="Arial" w:eastAsia="Times New Roman" w:hAnsi="Arial" w:cs="Arial"/>
          <w:color w:val="000000" w:themeColor="text1"/>
          <w:kern w:val="0"/>
          <w:sz w:val="22"/>
          <w:szCs w:val="22"/>
          <w:lang w:eastAsia="en-GB"/>
          <w14:ligatures w14:val="none"/>
        </w:rPr>
        <w:t>high-quality devices, stable internet connections, or sufficient adult support, thereby limiting the benefits of educational technologies and exacerbating</w:t>
      </w:r>
      <w:r w:rsidR="00786248" w:rsidRPr="0063015D">
        <w:rPr>
          <w:rFonts w:ascii="Arial" w:eastAsia="Times New Roman" w:hAnsi="Arial" w:cs="Arial"/>
          <w:color w:val="000000" w:themeColor="text1"/>
          <w:kern w:val="0"/>
          <w:sz w:val="22"/>
          <w:szCs w:val="22"/>
          <w:lang w:eastAsia="en-GB"/>
          <w14:ligatures w14:val="none"/>
        </w:rPr>
        <w:t xml:space="preserve"> existing inequalities (OECD, 2025). Therefore, it is crucial to view digital inclusion as a factor influencing health and </w:t>
      </w:r>
      <w:r w:rsidR="006A0A6F" w:rsidRPr="0063015D">
        <w:rPr>
          <w:rFonts w:ascii="Arial" w:eastAsia="Times New Roman" w:hAnsi="Arial" w:cs="Arial"/>
          <w:color w:val="000000" w:themeColor="text1"/>
          <w:kern w:val="0"/>
          <w:sz w:val="22"/>
          <w:szCs w:val="22"/>
          <w:lang w:eastAsia="en-GB"/>
          <w14:ligatures w14:val="none"/>
        </w:rPr>
        <w:t>wellbeing</w:t>
      </w:r>
      <w:r w:rsidR="00786248" w:rsidRPr="0063015D">
        <w:rPr>
          <w:rFonts w:ascii="Arial" w:eastAsia="Times New Roman" w:hAnsi="Arial" w:cs="Arial"/>
          <w:color w:val="000000" w:themeColor="text1"/>
          <w:kern w:val="0"/>
          <w:sz w:val="22"/>
          <w:szCs w:val="22"/>
          <w:lang w:eastAsia="en-GB"/>
          <w14:ligatures w14:val="none"/>
        </w:rPr>
        <w:t>, rather than solely an educational issue.</w:t>
      </w:r>
    </w:p>
    <w:p w14:paraId="0EF4529C" w14:textId="6056155A" w:rsidR="00CA3738" w:rsidRPr="0063015D" w:rsidRDefault="00933DB2" w:rsidP="0063015D">
      <w:pPr>
        <w:shd w:val="clear" w:color="auto" w:fill="FFFFFF" w:themeFill="background1"/>
        <w:spacing w:before="240" w:after="100" w:afterAutospacing="1" w:line="360" w:lineRule="auto"/>
        <w:jc w:val="both"/>
        <w:rPr>
          <w:rFonts w:ascii="Arial" w:hAnsi="Arial" w:cs="Arial"/>
          <w:color w:val="000000" w:themeColor="text1"/>
          <w:sz w:val="22"/>
          <w:szCs w:val="22"/>
        </w:rPr>
      </w:pPr>
      <w:r w:rsidRPr="0063015D">
        <w:rPr>
          <w:rFonts w:ascii="Arial" w:eastAsia="Times New Roman" w:hAnsi="Arial" w:cs="Arial"/>
          <w:color w:val="000000" w:themeColor="text1"/>
          <w:kern w:val="0"/>
          <w:sz w:val="22"/>
          <w:szCs w:val="22"/>
          <w:lang w:eastAsia="en-GB"/>
          <w14:ligatures w14:val="none"/>
        </w:rPr>
        <w:t xml:space="preserve">          </w:t>
      </w:r>
      <w:r w:rsidR="00AE60EE" w:rsidRPr="0063015D">
        <w:rPr>
          <w:rFonts w:ascii="Arial" w:eastAsia="Times New Roman" w:hAnsi="Arial" w:cs="Arial"/>
          <w:color w:val="000000" w:themeColor="text1"/>
          <w:kern w:val="0"/>
          <w:sz w:val="22"/>
          <w:szCs w:val="22"/>
          <w:lang w:eastAsia="en-GB"/>
          <w14:ligatures w14:val="none"/>
        </w:rPr>
        <w:t xml:space="preserve">Adolescence is an essential stage for </w:t>
      </w:r>
      <w:r w:rsidR="00040F9A" w:rsidRPr="0063015D">
        <w:rPr>
          <w:rFonts w:ascii="Arial" w:eastAsia="Times New Roman" w:hAnsi="Arial" w:cs="Arial"/>
          <w:color w:val="000000" w:themeColor="text1"/>
          <w:kern w:val="0"/>
          <w:sz w:val="22"/>
          <w:szCs w:val="22"/>
          <w:lang w:eastAsia="en-GB"/>
          <w14:ligatures w14:val="none"/>
        </w:rPr>
        <w:t xml:space="preserve">the development of identity, </w:t>
      </w:r>
      <w:r w:rsidR="009B3E89" w:rsidRPr="0063015D">
        <w:rPr>
          <w:rFonts w:ascii="Arial" w:eastAsia="Times New Roman" w:hAnsi="Arial" w:cs="Arial"/>
          <w:color w:val="000000" w:themeColor="text1"/>
          <w:kern w:val="0"/>
          <w:sz w:val="22"/>
          <w:szCs w:val="22"/>
          <w:lang w:eastAsia="en-GB"/>
          <w14:ligatures w14:val="none"/>
        </w:rPr>
        <w:t>emotion regulation, and</w:t>
      </w:r>
      <w:r w:rsidR="00040F9A" w:rsidRPr="0063015D">
        <w:rPr>
          <w:rFonts w:ascii="Arial" w:eastAsia="Times New Roman" w:hAnsi="Arial" w:cs="Arial"/>
          <w:color w:val="000000" w:themeColor="text1"/>
          <w:kern w:val="0"/>
          <w:sz w:val="22"/>
          <w:szCs w:val="22"/>
          <w:lang w:eastAsia="en-GB"/>
          <w14:ligatures w14:val="none"/>
        </w:rPr>
        <w:t xml:space="preserve"> </w:t>
      </w:r>
      <w:r w:rsidR="00AE60EE" w:rsidRPr="0063015D">
        <w:rPr>
          <w:rFonts w:ascii="Arial" w:eastAsia="Times New Roman" w:hAnsi="Arial" w:cs="Arial"/>
          <w:color w:val="000000" w:themeColor="text1"/>
          <w:kern w:val="0"/>
          <w:sz w:val="22"/>
          <w:szCs w:val="22"/>
          <w:lang w:eastAsia="en-GB"/>
          <w14:ligatures w14:val="none"/>
        </w:rPr>
        <w:t xml:space="preserve">self-concept (Main </w:t>
      </w:r>
      <w:r w:rsidR="00AE60EE" w:rsidRPr="00C34EE0">
        <w:rPr>
          <w:rFonts w:ascii="Arial" w:eastAsia="Times New Roman" w:hAnsi="Arial" w:cs="Arial"/>
          <w:i/>
          <w:iCs/>
          <w:color w:val="000000" w:themeColor="text1"/>
          <w:kern w:val="0"/>
          <w:sz w:val="22"/>
          <w:szCs w:val="22"/>
          <w:lang w:eastAsia="en-GB"/>
          <w14:ligatures w14:val="none"/>
        </w:rPr>
        <w:t>et al</w:t>
      </w:r>
      <w:r w:rsidR="00AE60EE" w:rsidRPr="0063015D">
        <w:rPr>
          <w:rFonts w:ascii="Arial" w:eastAsia="Times New Roman" w:hAnsi="Arial" w:cs="Arial"/>
          <w:color w:val="000000" w:themeColor="text1"/>
          <w:kern w:val="0"/>
          <w:sz w:val="22"/>
          <w:szCs w:val="22"/>
          <w:lang w:eastAsia="en-GB"/>
          <w14:ligatures w14:val="none"/>
        </w:rPr>
        <w:t xml:space="preserve">., 2025). Digital platforms and social media can enhance self-expression, identity exploration, and a sense of belonging among peers, which is especially valuable for youth who experience </w:t>
      </w:r>
      <w:r w:rsidR="00557908" w:rsidRPr="0063015D">
        <w:rPr>
          <w:rFonts w:ascii="Arial" w:eastAsia="Times New Roman" w:hAnsi="Arial" w:cs="Arial"/>
          <w:color w:val="000000" w:themeColor="text1"/>
          <w:kern w:val="0"/>
          <w:sz w:val="22"/>
          <w:szCs w:val="22"/>
          <w:lang w:eastAsia="en-GB"/>
          <w14:ligatures w14:val="none"/>
        </w:rPr>
        <w:t>marginalisation</w:t>
      </w:r>
      <w:r w:rsidR="00AE60EE" w:rsidRPr="0063015D">
        <w:rPr>
          <w:rFonts w:ascii="Arial" w:eastAsia="Times New Roman" w:hAnsi="Arial" w:cs="Arial"/>
          <w:color w:val="000000" w:themeColor="text1"/>
          <w:kern w:val="0"/>
          <w:sz w:val="22"/>
          <w:szCs w:val="22"/>
          <w:lang w:eastAsia="en-GB"/>
          <w14:ligatures w14:val="none"/>
        </w:rPr>
        <w:t xml:space="preserve"> in offline settings </w:t>
      </w:r>
      <w:r w:rsidR="00836286" w:rsidRPr="0063015D">
        <w:rPr>
          <w:rFonts w:ascii="Arial" w:hAnsi="Arial" w:cs="Arial"/>
          <w:color w:val="000000" w:themeColor="text1"/>
          <w:sz w:val="22"/>
          <w:szCs w:val="22"/>
          <w:shd w:val="clear" w:color="auto" w:fill="FFFFFF"/>
        </w:rPr>
        <w:t>(Avci, Baams and Kretschmer, 2024)</w:t>
      </w:r>
      <w:r w:rsidR="0085474B" w:rsidRPr="0063015D">
        <w:rPr>
          <w:rFonts w:ascii="Arial" w:hAnsi="Arial" w:cs="Arial"/>
          <w:color w:val="000000" w:themeColor="text1"/>
          <w:sz w:val="22"/>
          <w:szCs w:val="22"/>
          <w:shd w:val="clear" w:color="auto" w:fill="FFFFFF"/>
        </w:rPr>
        <w:t xml:space="preserve">. </w:t>
      </w:r>
      <w:r w:rsidR="003A549D" w:rsidRPr="0063015D">
        <w:rPr>
          <w:rFonts w:ascii="Arial" w:hAnsi="Arial" w:cs="Arial"/>
          <w:color w:val="000000" w:themeColor="text1"/>
          <w:sz w:val="22"/>
          <w:szCs w:val="22"/>
        </w:rPr>
        <w:t>However, mental health impacts are not consistent: review-level evidence indicates both benefits and drawbacks, shaped by patterns of use, personal traits, and context</w:t>
      </w:r>
      <w:r w:rsidR="00A80691" w:rsidRPr="0063015D">
        <w:rPr>
          <w:rFonts w:ascii="Arial" w:hAnsi="Arial" w:cs="Arial"/>
          <w:color w:val="000000" w:themeColor="text1"/>
          <w:sz w:val="22"/>
          <w:szCs w:val="22"/>
        </w:rPr>
        <w:t xml:space="preserve"> </w:t>
      </w:r>
      <w:r w:rsidR="003A549D" w:rsidRPr="0063015D">
        <w:rPr>
          <w:rFonts w:ascii="Arial" w:hAnsi="Arial" w:cs="Arial"/>
          <w:color w:val="000000" w:themeColor="text1"/>
          <w:sz w:val="22"/>
          <w:szCs w:val="22"/>
        </w:rPr>
        <w:t xml:space="preserve">(Sala, Porcaro and Gómez, 2024). Research on individual experiences over time highlights this variability, showing that similar </w:t>
      </w:r>
      <w:r w:rsidR="00A9608C">
        <w:rPr>
          <w:rFonts w:ascii="Arial" w:hAnsi="Arial" w:cs="Arial"/>
          <w:color w:val="000000" w:themeColor="text1"/>
          <w:sz w:val="22"/>
          <w:szCs w:val="22"/>
        </w:rPr>
        <w:t xml:space="preserve">levels of online engagement can boost self-esteem for some adolescents while lowering it for others, aligning with the concept of differential susceptibility </w:t>
      </w:r>
      <w:r w:rsidR="00E04907" w:rsidRPr="0063015D">
        <w:rPr>
          <w:rFonts w:ascii="Arial" w:hAnsi="Arial" w:cs="Arial"/>
          <w:color w:val="000000" w:themeColor="text1"/>
          <w:sz w:val="22"/>
          <w:szCs w:val="22"/>
          <w:shd w:val="clear" w:color="auto" w:fill="FFFFFF"/>
        </w:rPr>
        <w:t xml:space="preserve">(Valkenburg </w:t>
      </w:r>
      <w:r w:rsidR="00E04907" w:rsidRPr="00C34EE0">
        <w:rPr>
          <w:rFonts w:ascii="Arial" w:hAnsi="Arial" w:cs="Arial"/>
          <w:i/>
          <w:iCs/>
          <w:color w:val="000000" w:themeColor="text1"/>
          <w:sz w:val="22"/>
          <w:szCs w:val="22"/>
          <w:shd w:val="clear" w:color="auto" w:fill="FFFFFF"/>
        </w:rPr>
        <w:t>et al</w:t>
      </w:r>
      <w:r w:rsidR="00E04907" w:rsidRPr="0063015D">
        <w:rPr>
          <w:rFonts w:ascii="Arial" w:hAnsi="Arial" w:cs="Arial"/>
          <w:color w:val="000000" w:themeColor="text1"/>
          <w:sz w:val="22"/>
          <w:szCs w:val="22"/>
          <w:shd w:val="clear" w:color="auto" w:fill="FFFFFF"/>
        </w:rPr>
        <w:t xml:space="preserve">., 2021). </w:t>
      </w:r>
      <w:r w:rsidR="003A549D" w:rsidRPr="0063015D">
        <w:rPr>
          <w:rFonts w:ascii="Arial" w:hAnsi="Arial" w:cs="Arial"/>
          <w:color w:val="000000" w:themeColor="text1"/>
          <w:sz w:val="22"/>
          <w:szCs w:val="22"/>
        </w:rPr>
        <w:t xml:space="preserve">Crucially, a young person's ability to learn from online experiences, develop resilience, and recover from setbacks depends on access to trusted support, with some individuals becoming more reliant on digital spaces when offline support networks are weaker (Bibizadeh </w:t>
      </w:r>
      <w:r w:rsidR="003A549D" w:rsidRPr="00C34EE0">
        <w:rPr>
          <w:rFonts w:ascii="Arial" w:hAnsi="Arial" w:cs="Arial"/>
          <w:i/>
          <w:iCs/>
          <w:color w:val="000000" w:themeColor="text1"/>
          <w:sz w:val="22"/>
          <w:szCs w:val="22"/>
        </w:rPr>
        <w:t>et al</w:t>
      </w:r>
      <w:r w:rsidR="003A549D" w:rsidRPr="0063015D">
        <w:rPr>
          <w:rFonts w:ascii="Arial" w:hAnsi="Arial" w:cs="Arial"/>
          <w:color w:val="000000" w:themeColor="text1"/>
          <w:sz w:val="22"/>
          <w:szCs w:val="22"/>
        </w:rPr>
        <w:t xml:space="preserve">., 2023). UK benchmarking also reveals that digital challenges are not evenly experienced, with </w:t>
      </w:r>
      <w:r w:rsidR="009B3E89" w:rsidRPr="0063015D">
        <w:rPr>
          <w:rFonts w:ascii="Arial" w:hAnsi="Arial" w:cs="Arial"/>
          <w:color w:val="000000" w:themeColor="text1"/>
          <w:sz w:val="22"/>
          <w:szCs w:val="22"/>
        </w:rPr>
        <w:t>greater</w:t>
      </w:r>
      <w:r w:rsidR="003A549D" w:rsidRPr="0063015D">
        <w:rPr>
          <w:rFonts w:ascii="Arial" w:hAnsi="Arial" w:cs="Arial"/>
          <w:color w:val="000000" w:themeColor="text1"/>
          <w:sz w:val="22"/>
          <w:szCs w:val="22"/>
        </w:rPr>
        <w:t xml:space="preserve"> reported difficulties among LGBTQ+ </w:t>
      </w:r>
      <w:r w:rsidR="003A549D" w:rsidRPr="0063015D">
        <w:rPr>
          <w:rFonts w:ascii="Arial" w:hAnsi="Arial" w:cs="Arial"/>
          <w:color w:val="000000" w:themeColor="text1"/>
          <w:sz w:val="22"/>
          <w:szCs w:val="22"/>
        </w:rPr>
        <w:lastRenderedPageBreak/>
        <w:t>youth, ethnic minorities, and young individuals with disabilities</w:t>
      </w:r>
      <w:r w:rsidR="00593C5E" w:rsidRPr="0063015D">
        <w:rPr>
          <w:rFonts w:ascii="Arial" w:hAnsi="Arial" w:cs="Arial"/>
          <w:color w:val="000000" w:themeColor="text1"/>
          <w:sz w:val="22"/>
          <w:szCs w:val="22"/>
        </w:rPr>
        <w:t xml:space="preserve"> </w:t>
      </w:r>
      <w:r w:rsidR="003A549D" w:rsidRPr="0063015D">
        <w:rPr>
          <w:rFonts w:ascii="Arial" w:hAnsi="Arial" w:cs="Arial"/>
          <w:color w:val="000000" w:themeColor="text1"/>
          <w:sz w:val="22"/>
          <w:szCs w:val="22"/>
        </w:rPr>
        <w:t>(Nominet, 2022).</w:t>
      </w:r>
      <w:r w:rsidR="00CE1663" w:rsidRPr="0063015D">
        <w:rPr>
          <w:rFonts w:ascii="Arial" w:hAnsi="Arial" w:cs="Arial"/>
          <w:color w:val="000000" w:themeColor="text1"/>
          <w:sz w:val="22"/>
          <w:szCs w:val="22"/>
        </w:rPr>
        <w:t xml:space="preserve"> </w:t>
      </w:r>
      <w:r w:rsidR="00B0621F" w:rsidRPr="0063015D">
        <w:rPr>
          <w:rFonts w:ascii="Arial" w:hAnsi="Arial" w:cs="Arial"/>
          <w:color w:val="000000" w:themeColor="text1"/>
          <w:sz w:val="22"/>
          <w:szCs w:val="22"/>
        </w:rPr>
        <w:t xml:space="preserve">Digital platforms present risks like compulsive usage, cyberbullying, unrealistic appearance standards, and exposure to substance-related content (Masri-zada </w:t>
      </w:r>
      <w:r w:rsidR="00B0621F" w:rsidRPr="00C34EE0">
        <w:rPr>
          <w:rFonts w:ascii="Arial" w:hAnsi="Arial" w:cs="Arial"/>
          <w:i/>
          <w:iCs/>
          <w:color w:val="000000" w:themeColor="text1"/>
          <w:sz w:val="22"/>
          <w:szCs w:val="22"/>
        </w:rPr>
        <w:t>et al</w:t>
      </w:r>
      <w:r w:rsidR="00B0621F" w:rsidRPr="0063015D">
        <w:rPr>
          <w:rFonts w:ascii="Arial" w:hAnsi="Arial" w:cs="Arial"/>
          <w:color w:val="000000" w:themeColor="text1"/>
          <w:sz w:val="22"/>
          <w:szCs w:val="22"/>
        </w:rPr>
        <w:t>., 2025</w:t>
      </w:r>
      <w:r w:rsidR="006B5FE1" w:rsidRPr="0063015D">
        <w:rPr>
          <w:rFonts w:ascii="Arial" w:hAnsi="Arial" w:cs="Arial"/>
          <w:color w:val="000000" w:themeColor="text1"/>
          <w:sz w:val="22"/>
          <w:szCs w:val="22"/>
        </w:rPr>
        <w:t>). In England and Wales, 847,000 (19.1%) of young people aged 10 to 15 encountered online bullying behaviours in the year ending March 2023 (Office for National Statistics, 2024).</w:t>
      </w:r>
      <w:r w:rsidR="00B0621F" w:rsidRPr="0063015D">
        <w:rPr>
          <w:rFonts w:ascii="Arial" w:hAnsi="Arial" w:cs="Arial"/>
          <w:color w:val="000000" w:themeColor="text1"/>
          <w:sz w:val="22"/>
          <w:szCs w:val="22"/>
        </w:rPr>
        <w:t xml:space="preserve"> </w:t>
      </w:r>
      <w:r w:rsidR="00205EB0" w:rsidRPr="0063015D">
        <w:rPr>
          <w:rFonts w:ascii="Arial" w:hAnsi="Arial" w:cs="Arial"/>
          <w:color w:val="000000" w:themeColor="text1"/>
          <w:sz w:val="22"/>
          <w:szCs w:val="22"/>
        </w:rPr>
        <w:t xml:space="preserve">Social comparison serves as a fundamental mechanism, with meta-analytic findings connecting social-media comparison to issues related to body image and symptoms of eating disorders (Bonfanti </w:t>
      </w:r>
      <w:r w:rsidR="00205EB0" w:rsidRPr="00C34EE0">
        <w:rPr>
          <w:rFonts w:ascii="Arial" w:hAnsi="Arial" w:cs="Arial"/>
          <w:i/>
          <w:iCs/>
          <w:color w:val="000000" w:themeColor="text1"/>
          <w:sz w:val="22"/>
          <w:szCs w:val="22"/>
        </w:rPr>
        <w:t>et al</w:t>
      </w:r>
      <w:r w:rsidR="00205EB0" w:rsidRPr="0063015D">
        <w:rPr>
          <w:rFonts w:ascii="Arial" w:hAnsi="Arial" w:cs="Arial"/>
          <w:color w:val="000000" w:themeColor="text1"/>
          <w:sz w:val="22"/>
          <w:szCs w:val="22"/>
        </w:rPr>
        <w:t xml:space="preserve">., 2025). Increased engagement has been linked to greater impulsivity, difficulties with attention, and patterns similar to addiction, while a rise in the portrayal of alcohol and drug use online may </w:t>
      </w:r>
      <w:r w:rsidR="00D0022E" w:rsidRPr="0063015D">
        <w:rPr>
          <w:rFonts w:ascii="Arial" w:hAnsi="Arial" w:cs="Arial"/>
          <w:color w:val="000000" w:themeColor="text1"/>
          <w:sz w:val="22"/>
          <w:szCs w:val="22"/>
        </w:rPr>
        <w:t>normalise risky behaviours</w:t>
      </w:r>
      <w:r w:rsidR="00205EB0" w:rsidRPr="0063015D">
        <w:rPr>
          <w:rFonts w:ascii="Arial" w:hAnsi="Arial" w:cs="Arial"/>
          <w:color w:val="000000" w:themeColor="text1"/>
          <w:sz w:val="22"/>
          <w:szCs w:val="22"/>
        </w:rPr>
        <w:t xml:space="preserve"> among impressionable young people (Masri-zada </w:t>
      </w:r>
      <w:r w:rsidR="00205EB0" w:rsidRPr="00C34EE0">
        <w:rPr>
          <w:rFonts w:ascii="Arial" w:hAnsi="Arial" w:cs="Arial"/>
          <w:i/>
          <w:iCs/>
          <w:color w:val="000000" w:themeColor="text1"/>
          <w:sz w:val="22"/>
          <w:szCs w:val="22"/>
        </w:rPr>
        <w:t>et al</w:t>
      </w:r>
      <w:r w:rsidR="00205EB0" w:rsidRPr="0063015D">
        <w:rPr>
          <w:rFonts w:ascii="Arial" w:hAnsi="Arial" w:cs="Arial"/>
          <w:color w:val="000000" w:themeColor="text1"/>
          <w:sz w:val="22"/>
          <w:szCs w:val="22"/>
        </w:rPr>
        <w:t xml:space="preserve">., 2025). Another pathway is sleep disruption, as adolescents report that their </w:t>
      </w:r>
      <w:r w:rsidR="00D0022E" w:rsidRPr="0063015D">
        <w:rPr>
          <w:rFonts w:ascii="Arial" w:hAnsi="Arial" w:cs="Arial"/>
          <w:color w:val="000000" w:themeColor="text1"/>
          <w:sz w:val="22"/>
          <w:szCs w:val="22"/>
        </w:rPr>
        <w:t>social media use at bedtime is often driven</w:t>
      </w:r>
      <w:r w:rsidR="00205EB0" w:rsidRPr="0063015D">
        <w:rPr>
          <w:rFonts w:ascii="Arial" w:hAnsi="Arial" w:cs="Arial"/>
          <w:color w:val="000000" w:themeColor="text1"/>
          <w:sz w:val="22"/>
          <w:szCs w:val="22"/>
        </w:rPr>
        <w:t xml:space="preserve"> by a need for reassurance and social expectations, which can impair emotional regulation and overall functioning (MacKenzie </w:t>
      </w:r>
      <w:r w:rsidR="00205EB0" w:rsidRPr="00C34EE0">
        <w:rPr>
          <w:rFonts w:ascii="Arial" w:hAnsi="Arial" w:cs="Arial"/>
          <w:i/>
          <w:iCs/>
          <w:color w:val="000000" w:themeColor="text1"/>
          <w:sz w:val="22"/>
          <w:szCs w:val="22"/>
        </w:rPr>
        <w:t>et al</w:t>
      </w:r>
      <w:r w:rsidR="00205EB0" w:rsidRPr="0063015D">
        <w:rPr>
          <w:rFonts w:ascii="Arial" w:hAnsi="Arial" w:cs="Arial"/>
          <w:color w:val="000000" w:themeColor="text1"/>
          <w:sz w:val="22"/>
          <w:szCs w:val="22"/>
        </w:rPr>
        <w:t xml:space="preserve">., 2022). Broader consequences </w:t>
      </w:r>
      <w:r w:rsidR="00763EE1" w:rsidRPr="0063015D">
        <w:rPr>
          <w:rFonts w:ascii="Arial" w:hAnsi="Arial" w:cs="Arial"/>
          <w:color w:val="000000" w:themeColor="text1"/>
          <w:sz w:val="22"/>
          <w:szCs w:val="22"/>
        </w:rPr>
        <w:t>of heavy screen time include an increased likelihood of being overweight or obese and lower standardised academic performance, underscor</w:t>
      </w:r>
      <w:r w:rsidR="00EA649A" w:rsidRPr="0063015D">
        <w:rPr>
          <w:rFonts w:ascii="Arial" w:hAnsi="Arial" w:cs="Arial"/>
          <w:color w:val="000000" w:themeColor="text1"/>
          <w:sz w:val="22"/>
          <w:szCs w:val="22"/>
        </w:rPr>
        <w:t>ing</w:t>
      </w:r>
      <w:r w:rsidR="00205EB0" w:rsidRPr="0063015D">
        <w:rPr>
          <w:rFonts w:ascii="Arial" w:hAnsi="Arial" w:cs="Arial"/>
          <w:color w:val="000000" w:themeColor="text1"/>
          <w:sz w:val="22"/>
          <w:szCs w:val="22"/>
        </w:rPr>
        <w:t xml:space="preserve"> the impact of digital habits on both health and education (Haghjoo </w:t>
      </w:r>
      <w:r w:rsidR="00205EB0" w:rsidRPr="00C34EE0">
        <w:rPr>
          <w:rFonts w:ascii="Arial" w:hAnsi="Arial" w:cs="Arial"/>
          <w:i/>
          <w:iCs/>
          <w:color w:val="000000" w:themeColor="text1"/>
          <w:sz w:val="22"/>
          <w:szCs w:val="22"/>
        </w:rPr>
        <w:t>et al.,</w:t>
      </w:r>
      <w:r w:rsidR="00205EB0" w:rsidRPr="0063015D">
        <w:rPr>
          <w:rFonts w:ascii="Arial" w:hAnsi="Arial" w:cs="Arial"/>
          <w:color w:val="000000" w:themeColor="text1"/>
          <w:sz w:val="22"/>
          <w:szCs w:val="22"/>
        </w:rPr>
        <w:t xml:space="preserve"> 2022). </w:t>
      </w:r>
      <w:r w:rsidR="004D2E41" w:rsidRPr="0063015D">
        <w:rPr>
          <w:rFonts w:ascii="Arial" w:hAnsi="Arial" w:cs="Arial"/>
          <w:color w:val="000000" w:themeColor="text1"/>
          <w:sz w:val="22"/>
          <w:szCs w:val="22"/>
        </w:rPr>
        <w:t xml:space="preserve">Cyberbullying remains a key safeguarding issue in England and Wales, reflecting school peer dynamics and </w:t>
      </w:r>
      <w:r w:rsidR="005B760D" w:rsidRPr="0063015D">
        <w:rPr>
          <w:rFonts w:ascii="Arial" w:hAnsi="Arial" w:cs="Arial"/>
          <w:color w:val="000000" w:themeColor="text1"/>
          <w:sz w:val="22"/>
          <w:szCs w:val="22"/>
        </w:rPr>
        <w:t>emphasising the need for coordinated responses from schools and various agencies (Office for National Statistics, 2024).</w:t>
      </w:r>
      <w:r w:rsidR="00205EB0" w:rsidRPr="0063015D">
        <w:rPr>
          <w:rFonts w:ascii="Arial" w:hAnsi="Arial" w:cs="Arial"/>
          <w:color w:val="000000" w:themeColor="text1"/>
          <w:sz w:val="22"/>
          <w:szCs w:val="22"/>
        </w:rPr>
        <w:t xml:space="preserve"> Therefore, effective mitigation requires a multifaceted approach rather than simple restrictions, including digital detox strategies, educational initiatives in schools, reasonable parental supervision, privacy-by-default measures, and, when clinically necessary, </w:t>
      </w:r>
      <w:r w:rsidR="00D0022E" w:rsidRPr="0063015D">
        <w:rPr>
          <w:rFonts w:ascii="Arial" w:hAnsi="Arial" w:cs="Arial"/>
          <w:color w:val="000000" w:themeColor="text1"/>
          <w:sz w:val="22"/>
          <w:szCs w:val="22"/>
        </w:rPr>
        <w:t>cognitive-behavioural therapy to address compulsive behaviour</w:t>
      </w:r>
      <w:r w:rsidR="00205EB0" w:rsidRPr="0063015D">
        <w:rPr>
          <w:rFonts w:ascii="Arial" w:hAnsi="Arial" w:cs="Arial"/>
          <w:color w:val="000000" w:themeColor="text1"/>
          <w:sz w:val="22"/>
          <w:szCs w:val="22"/>
        </w:rPr>
        <w:t xml:space="preserve"> (Masri-zada </w:t>
      </w:r>
      <w:r w:rsidR="00205EB0" w:rsidRPr="00C34EE0">
        <w:rPr>
          <w:rFonts w:ascii="Arial" w:hAnsi="Arial" w:cs="Arial"/>
          <w:i/>
          <w:iCs/>
          <w:color w:val="000000" w:themeColor="text1"/>
          <w:sz w:val="22"/>
          <w:szCs w:val="22"/>
        </w:rPr>
        <w:t>et al</w:t>
      </w:r>
      <w:r w:rsidR="00205EB0" w:rsidRPr="0063015D">
        <w:rPr>
          <w:rFonts w:ascii="Arial" w:hAnsi="Arial" w:cs="Arial"/>
          <w:color w:val="000000" w:themeColor="text1"/>
          <w:sz w:val="22"/>
          <w:szCs w:val="22"/>
        </w:rPr>
        <w:t>., 2025).</w:t>
      </w:r>
    </w:p>
    <w:p w14:paraId="674E54B1" w14:textId="1C3A5D3E" w:rsidR="005559A8" w:rsidRPr="0063015D" w:rsidRDefault="009A564E" w:rsidP="0063015D">
      <w:pPr>
        <w:pStyle w:val="NormalWeb"/>
        <w:shd w:val="clear" w:color="auto" w:fill="FFFFFF" w:themeFill="background1"/>
        <w:spacing w:before="240" w:before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        </w:t>
      </w:r>
      <w:r w:rsidR="0048461C" w:rsidRPr="0063015D">
        <w:rPr>
          <w:rFonts w:ascii="Arial" w:hAnsi="Arial" w:cs="Arial"/>
          <w:color w:val="000000" w:themeColor="text1"/>
          <w:sz w:val="22"/>
          <w:szCs w:val="22"/>
        </w:rPr>
        <w:t xml:space="preserve">The intricate nature of </w:t>
      </w:r>
      <w:r w:rsidRPr="0063015D">
        <w:rPr>
          <w:rFonts w:ascii="Arial" w:hAnsi="Arial" w:cs="Arial"/>
          <w:color w:val="000000" w:themeColor="text1"/>
          <w:sz w:val="22"/>
          <w:szCs w:val="22"/>
        </w:rPr>
        <w:t>CYP</w:t>
      </w:r>
      <w:r w:rsidR="0048461C" w:rsidRPr="0063015D">
        <w:rPr>
          <w:rFonts w:ascii="Arial" w:hAnsi="Arial" w:cs="Arial"/>
          <w:color w:val="000000" w:themeColor="text1"/>
          <w:sz w:val="22"/>
          <w:szCs w:val="22"/>
        </w:rPr>
        <w:t xml:space="preserve">'s online experiences requires health and social care professionals to respond </w:t>
      </w:r>
      <w:r w:rsidR="00763EE1" w:rsidRPr="0063015D">
        <w:rPr>
          <w:rFonts w:ascii="Arial" w:hAnsi="Arial" w:cs="Arial"/>
          <w:color w:val="000000" w:themeColor="text1"/>
          <w:sz w:val="22"/>
          <w:szCs w:val="22"/>
        </w:rPr>
        <w:t>knowledgeably and in a</w:t>
      </w:r>
      <w:r w:rsidR="0048461C" w:rsidRPr="0063015D">
        <w:rPr>
          <w:rFonts w:ascii="Arial" w:hAnsi="Arial" w:cs="Arial"/>
          <w:color w:val="000000" w:themeColor="text1"/>
          <w:sz w:val="22"/>
          <w:szCs w:val="22"/>
        </w:rPr>
        <w:t xml:space="preserve"> coordinated manner. Practitioners must strike a balance between </w:t>
      </w:r>
      <w:r w:rsidR="00091F94" w:rsidRPr="0063015D">
        <w:rPr>
          <w:rFonts w:ascii="Arial" w:hAnsi="Arial" w:cs="Arial"/>
          <w:color w:val="000000" w:themeColor="text1"/>
          <w:sz w:val="22"/>
          <w:szCs w:val="22"/>
        </w:rPr>
        <w:t>recognising</w:t>
      </w:r>
      <w:r w:rsidR="0048461C" w:rsidRPr="0063015D">
        <w:rPr>
          <w:rFonts w:ascii="Arial" w:hAnsi="Arial" w:cs="Arial"/>
          <w:color w:val="000000" w:themeColor="text1"/>
          <w:sz w:val="22"/>
          <w:szCs w:val="22"/>
        </w:rPr>
        <w:t xml:space="preserve"> digital threats and appreciating the possible advantages of online involvement, steering clear of methods based solely on limitations or moral anxiety, and concentrating instead on the impact of digital activities on a child's life (e.g., relationships, coping strategies, avoidance, education)</w:t>
      </w:r>
      <w:r w:rsidR="00330336" w:rsidRPr="0063015D">
        <w:rPr>
          <w:rFonts w:ascii="Arial" w:hAnsi="Arial" w:cs="Arial"/>
          <w:color w:val="000000" w:themeColor="text1"/>
          <w:sz w:val="22"/>
          <w:szCs w:val="22"/>
        </w:rPr>
        <w:t xml:space="preserve"> </w:t>
      </w:r>
      <w:r w:rsidR="0048461C" w:rsidRPr="0063015D">
        <w:rPr>
          <w:rFonts w:ascii="Arial" w:hAnsi="Arial" w:cs="Arial"/>
          <w:color w:val="000000" w:themeColor="text1"/>
          <w:sz w:val="22"/>
          <w:szCs w:val="22"/>
        </w:rPr>
        <w:t xml:space="preserve">(Sala, Porcaro, and Gómez, 2024). A practical recommendation is to integrate digital wellbeing into standard assessments and early support pathways through a concise </w:t>
      </w:r>
      <w:r w:rsidR="00695B0B" w:rsidRPr="0063015D">
        <w:rPr>
          <w:rFonts w:ascii="Arial" w:hAnsi="Arial" w:cs="Arial"/>
          <w:color w:val="000000" w:themeColor="text1"/>
          <w:sz w:val="22"/>
          <w:szCs w:val="22"/>
        </w:rPr>
        <w:t>"</w:t>
      </w:r>
      <w:r w:rsidR="0048461C" w:rsidRPr="0063015D">
        <w:rPr>
          <w:rFonts w:ascii="Arial" w:hAnsi="Arial" w:cs="Arial"/>
          <w:color w:val="000000" w:themeColor="text1"/>
          <w:sz w:val="22"/>
          <w:szCs w:val="22"/>
        </w:rPr>
        <w:t>digital history</w:t>
      </w:r>
      <w:r w:rsidR="00695B0B" w:rsidRPr="0063015D">
        <w:rPr>
          <w:rFonts w:ascii="Arial" w:hAnsi="Arial" w:cs="Arial"/>
          <w:color w:val="000000" w:themeColor="text1"/>
          <w:sz w:val="22"/>
          <w:szCs w:val="22"/>
        </w:rPr>
        <w:t>"</w:t>
      </w:r>
      <w:r w:rsidR="0048461C" w:rsidRPr="0063015D">
        <w:rPr>
          <w:rFonts w:ascii="Arial" w:hAnsi="Arial" w:cs="Arial"/>
          <w:color w:val="000000" w:themeColor="text1"/>
          <w:sz w:val="22"/>
          <w:szCs w:val="22"/>
        </w:rPr>
        <w:t xml:space="preserve"> that investigates usage patterns, evening routines, exposure to relational harm, and confidence in seeking help</w:t>
      </w:r>
      <w:r w:rsidR="00330336" w:rsidRPr="0063015D">
        <w:rPr>
          <w:rFonts w:ascii="Arial" w:hAnsi="Arial" w:cs="Arial"/>
          <w:color w:val="000000" w:themeColor="text1"/>
          <w:sz w:val="22"/>
          <w:szCs w:val="22"/>
        </w:rPr>
        <w:t xml:space="preserve"> </w:t>
      </w:r>
      <w:r w:rsidR="001D4357" w:rsidRPr="0063015D">
        <w:rPr>
          <w:rFonts w:ascii="Arial" w:hAnsi="Arial" w:cs="Arial"/>
          <w:color w:val="000000" w:themeColor="text1"/>
          <w:sz w:val="22"/>
          <w:szCs w:val="22"/>
          <w:shd w:val="clear" w:color="auto" w:fill="FFFFFF"/>
        </w:rPr>
        <w:t xml:space="preserve">(Liverpool </w:t>
      </w:r>
      <w:r w:rsidR="001D4357" w:rsidRPr="00C34EE0">
        <w:rPr>
          <w:rFonts w:ascii="Arial" w:hAnsi="Arial" w:cs="Arial"/>
          <w:i/>
          <w:iCs/>
          <w:color w:val="000000" w:themeColor="text1"/>
          <w:sz w:val="22"/>
          <w:szCs w:val="22"/>
          <w:shd w:val="clear" w:color="auto" w:fill="FFFFFF"/>
        </w:rPr>
        <w:t>et al.,</w:t>
      </w:r>
      <w:r w:rsidR="001D4357" w:rsidRPr="0063015D">
        <w:rPr>
          <w:rFonts w:ascii="Arial" w:hAnsi="Arial" w:cs="Arial"/>
          <w:color w:val="000000" w:themeColor="text1"/>
          <w:sz w:val="22"/>
          <w:szCs w:val="22"/>
          <w:shd w:val="clear" w:color="auto" w:fill="FFFFFF"/>
        </w:rPr>
        <w:t xml:space="preserve"> 2025)</w:t>
      </w:r>
      <w:r w:rsidR="00091F94" w:rsidRPr="0063015D">
        <w:rPr>
          <w:rFonts w:ascii="Arial" w:hAnsi="Arial" w:cs="Arial"/>
          <w:color w:val="000000" w:themeColor="text1"/>
          <w:sz w:val="22"/>
          <w:szCs w:val="22"/>
          <w:shd w:val="clear" w:color="auto" w:fill="FFFFFF"/>
        </w:rPr>
        <w:t xml:space="preserve">. </w:t>
      </w:r>
      <w:r w:rsidR="0048461C" w:rsidRPr="0063015D">
        <w:rPr>
          <w:rFonts w:ascii="Arial" w:hAnsi="Arial" w:cs="Arial"/>
          <w:color w:val="000000" w:themeColor="text1"/>
          <w:sz w:val="22"/>
          <w:szCs w:val="22"/>
        </w:rPr>
        <w:t xml:space="preserve">Digital literacy should be viewed as a safeguarding skill, involving critical analysis, emotional awareness, and knowledge of how to find support, since these abilities boost resilience and lessen susceptibility to manipulation and harm </w:t>
      </w:r>
      <w:r w:rsidR="00992DC4" w:rsidRPr="0063015D">
        <w:rPr>
          <w:rFonts w:ascii="Arial" w:hAnsi="Arial" w:cs="Arial"/>
          <w:color w:val="000000" w:themeColor="text1"/>
          <w:sz w:val="22"/>
          <w:szCs w:val="22"/>
          <w:shd w:val="clear" w:color="auto" w:fill="FFFFFF"/>
        </w:rPr>
        <w:t>(Eyal and Te</w:t>
      </w:r>
      <w:r w:rsidR="00695B0B" w:rsidRPr="0063015D">
        <w:rPr>
          <w:rFonts w:ascii="Arial" w:hAnsi="Arial" w:cs="Arial"/>
          <w:color w:val="000000" w:themeColor="text1"/>
          <w:sz w:val="22"/>
          <w:szCs w:val="22"/>
          <w:shd w:val="clear" w:color="auto" w:fill="FFFFFF"/>
        </w:rPr>
        <w:t>'</w:t>
      </w:r>
      <w:r w:rsidR="00992DC4" w:rsidRPr="0063015D">
        <w:rPr>
          <w:rFonts w:ascii="Arial" w:hAnsi="Arial" w:cs="Arial"/>
          <w:color w:val="000000" w:themeColor="text1"/>
          <w:sz w:val="22"/>
          <w:szCs w:val="22"/>
          <w:shd w:val="clear" w:color="auto" w:fill="FFFFFF"/>
        </w:rPr>
        <w:t xml:space="preserve">eni-Harari, 2023). </w:t>
      </w:r>
      <w:r w:rsidR="0048461C" w:rsidRPr="0063015D">
        <w:rPr>
          <w:rFonts w:ascii="Arial" w:hAnsi="Arial" w:cs="Arial"/>
          <w:color w:val="000000" w:themeColor="text1"/>
          <w:sz w:val="22"/>
          <w:szCs w:val="22"/>
        </w:rPr>
        <w:t>It</w:t>
      </w:r>
      <w:r w:rsidR="00992DC4" w:rsidRPr="0063015D">
        <w:rPr>
          <w:rFonts w:ascii="Arial" w:hAnsi="Arial" w:cs="Arial"/>
          <w:color w:val="000000" w:themeColor="text1"/>
          <w:sz w:val="22"/>
          <w:szCs w:val="22"/>
        </w:rPr>
        <w:t xml:space="preserve"> i</w:t>
      </w:r>
      <w:r w:rsidR="0048461C" w:rsidRPr="0063015D">
        <w:rPr>
          <w:rFonts w:ascii="Arial" w:hAnsi="Arial" w:cs="Arial"/>
          <w:color w:val="000000" w:themeColor="text1"/>
          <w:sz w:val="22"/>
          <w:szCs w:val="22"/>
        </w:rPr>
        <w:t xml:space="preserve">s also vital to </w:t>
      </w:r>
      <w:r w:rsidR="00DA7CD4" w:rsidRPr="0063015D">
        <w:rPr>
          <w:rFonts w:ascii="Arial" w:hAnsi="Arial" w:cs="Arial"/>
          <w:color w:val="000000" w:themeColor="text1"/>
          <w:sz w:val="22"/>
          <w:szCs w:val="22"/>
        </w:rPr>
        <w:t>help parents and caregivers confidently engage</w:t>
      </w:r>
      <w:r w:rsidR="0048461C" w:rsidRPr="0063015D">
        <w:rPr>
          <w:rFonts w:ascii="Arial" w:hAnsi="Arial" w:cs="Arial"/>
          <w:color w:val="000000" w:themeColor="text1"/>
          <w:sz w:val="22"/>
          <w:szCs w:val="22"/>
        </w:rPr>
        <w:t xml:space="preserve"> with children's online experiences, </w:t>
      </w:r>
      <w:r w:rsidR="0048461C" w:rsidRPr="0063015D">
        <w:rPr>
          <w:rFonts w:ascii="Arial" w:hAnsi="Arial" w:cs="Arial"/>
          <w:color w:val="000000" w:themeColor="text1"/>
          <w:sz w:val="22"/>
          <w:szCs w:val="22"/>
        </w:rPr>
        <w:lastRenderedPageBreak/>
        <w:t>especially when financial stress or limited digital skills hinder supervision and increase dependence on online environments for support or social interaction (OECD, 2025). When digital involvement becomes compulsive or is associated with anxiety, rumination, or avoidance coping strategies, a tiered approach to support is advisable, with psychologically informed interventions</w:t>
      </w:r>
      <w:r w:rsidR="005559A8" w:rsidRPr="0063015D">
        <w:rPr>
          <w:rFonts w:ascii="Arial" w:hAnsi="Arial" w:cs="Arial"/>
          <w:color w:val="000000" w:themeColor="text1"/>
          <w:sz w:val="22"/>
          <w:szCs w:val="22"/>
        </w:rPr>
        <w:t xml:space="preserve">, </w:t>
      </w:r>
      <w:r w:rsidR="0048461C" w:rsidRPr="0063015D">
        <w:rPr>
          <w:rFonts w:ascii="Arial" w:hAnsi="Arial" w:cs="Arial"/>
          <w:color w:val="000000" w:themeColor="text1"/>
          <w:sz w:val="22"/>
          <w:szCs w:val="22"/>
        </w:rPr>
        <w:t>including</w:t>
      </w:r>
      <w:r w:rsidR="005559A8" w:rsidRPr="0063015D">
        <w:rPr>
          <w:rFonts w:ascii="Arial" w:hAnsi="Arial" w:cs="Arial"/>
          <w:color w:val="000000" w:themeColor="text1"/>
          <w:sz w:val="22"/>
          <w:szCs w:val="22"/>
        </w:rPr>
        <w:t xml:space="preserve"> Cognitive-behavioral therapy</w:t>
      </w:r>
      <w:r w:rsidR="0048461C" w:rsidRPr="0063015D">
        <w:rPr>
          <w:rFonts w:ascii="Arial" w:hAnsi="Arial" w:cs="Arial"/>
          <w:color w:val="000000" w:themeColor="text1"/>
          <w:sz w:val="22"/>
          <w:szCs w:val="22"/>
        </w:rPr>
        <w:t xml:space="preserve"> </w:t>
      </w:r>
      <w:r w:rsidR="005559A8" w:rsidRPr="0063015D">
        <w:rPr>
          <w:rFonts w:ascii="Arial" w:hAnsi="Arial" w:cs="Arial"/>
          <w:color w:val="000000" w:themeColor="text1"/>
          <w:sz w:val="22"/>
          <w:szCs w:val="22"/>
        </w:rPr>
        <w:t>(</w:t>
      </w:r>
      <w:r w:rsidR="0048461C" w:rsidRPr="0063015D">
        <w:rPr>
          <w:rFonts w:ascii="Arial" w:hAnsi="Arial" w:cs="Arial"/>
          <w:color w:val="000000" w:themeColor="text1"/>
          <w:sz w:val="22"/>
          <w:szCs w:val="22"/>
        </w:rPr>
        <w:t>CBT</w:t>
      </w:r>
      <w:r w:rsidR="005559A8" w:rsidRPr="0063015D">
        <w:rPr>
          <w:rFonts w:ascii="Arial" w:hAnsi="Arial" w:cs="Arial"/>
          <w:color w:val="000000" w:themeColor="text1"/>
          <w:sz w:val="22"/>
          <w:szCs w:val="22"/>
        </w:rPr>
        <w:t xml:space="preserve">) </w:t>
      </w:r>
      <w:r w:rsidR="0048461C" w:rsidRPr="0063015D">
        <w:rPr>
          <w:rFonts w:ascii="Arial" w:hAnsi="Arial" w:cs="Arial"/>
          <w:color w:val="000000" w:themeColor="text1"/>
          <w:sz w:val="22"/>
          <w:szCs w:val="22"/>
        </w:rPr>
        <w:t>informed methods being considered if functioning is impaired</w:t>
      </w:r>
      <w:r w:rsidR="005559A8" w:rsidRPr="0063015D">
        <w:rPr>
          <w:rFonts w:ascii="Arial" w:hAnsi="Arial" w:cs="Arial"/>
          <w:color w:val="000000" w:themeColor="text1"/>
          <w:sz w:val="22"/>
          <w:szCs w:val="22"/>
        </w:rPr>
        <w:t xml:space="preserve"> </w:t>
      </w:r>
      <w:r w:rsidR="0048461C" w:rsidRPr="0063015D">
        <w:rPr>
          <w:rFonts w:ascii="Arial" w:hAnsi="Arial" w:cs="Arial"/>
          <w:color w:val="000000" w:themeColor="text1"/>
          <w:sz w:val="22"/>
          <w:szCs w:val="22"/>
        </w:rPr>
        <w:t xml:space="preserve">(Masri-zada </w:t>
      </w:r>
      <w:r w:rsidR="0048461C" w:rsidRPr="00C34EE0">
        <w:rPr>
          <w:rFonts w:ascii="Arial" w:hAnsi="Arial" w:cs="Arial"/>
          <w:i/>
          <w:iCs/>
          <w:color w:val="000000" w:themeColor="text1"/>
          <w:sz w:val="22"/>
          <w:szCs w:val="22"/>
        </w:rPr>
        <w:t xml:space="preserve">et al., </w:t>
      </w:r>
      <w:r w:rsidR="0048461C" w:rsidRPr="0063015D">
        <w:rPr>
          <w:rFonts w:ascii="Arial" w:hAnsi="Arial" w:cs="Arial"/>
          <w:color w:val="000000" w:themeColor="text1"/>
          <w:sz w:val="22"/>
          <w:szCs w:val="22"/>
        </w:rPr>
        <w:t>2025).</w:t>
      </w:r>
      <w:r w:rsidR="005559A8" w:rsidRPr="0063015D">
        <w:rPr>
          <w:rFonts w:ascii="Arial" w:hAnsi="Arial" w:cs="Arial"/>
          <w:color w:val="000000" w:themeColor="text1"/>
          <w:sz w:val="22"/>
          <w:szCs w:val="22"/>
        </w:rPr>
        <w:t xml:space="preserve"> </w:t>
      </w:r>
    </w:p>
    <w:p w14:paraId="7E83FF78" w14:textId="20D2F972" w:rsidR="0050295F" w:rsidRPr="0063015D" w:rsidRDefault="00D652A9" w:rsidP="0063015D">
      <w:pPr>
        <w:pStyle w:val="NormalWeb"/>
        <w:shd w:val="clear" w:color="auto" w:fill="FFFFFF" w:themeFill="background1"/>
        <w:spacing w:before="240" w:before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     </w:t>
      </w:r>
      <w:r w:rsidR="008E7BF2" w:rsidRPr="0063015D">
        <w:rPr>
          <w:rFonts w:ascii="Arial" w:hAnsi="Arial" w:cs="Arial"/>
          <w:color w:val="000000" w:themeColor="text1"/>
          <w:sz w:val="22"/>
          <w:szCs w:val="22"/>
        </w:rPr>
        <w:t>At a structural level, UK policy is increasingly oriented towards shared accountability for online safety</w:t>
      </w:r>
      <w:r w:rsidR="00EE30C3" w:rsidRPr="0063015D">
        <w:rPr>
          <w:rFonts w:ascii="Arial" w:hAnsi="Arial" w:cs="Arial"/>
          <w:color w:val="000000" w:themeColor="text1"/>
          <w:sz w:val="22"/>
          <w:szCs w:val="22"/>
        </w:rPr>
        <w:t xml:space="preserve">. </w:t>
      </w:r>
      <w:r w:rsidR="00F4364B" w:rsidRPr="0063015D">
        <w:rPr>
          <w:rFonts w:ascii="Arial" w:hAnsi="Arial" w:cs="Arial"/>
          <w:color w:val="000000" w:themeColor="text1"/>
          <w:sz w:val="22"/>
          <w:szCs w:val="22"/>
        </w:rPr>
        <w:t xml:space="preserve">The </w:t>
      </w:r>
      <w:r w:rsidR="00F4364B" w:rsidRPr="007725B6">
        <w:rPr>
          <w:rFonts w:ascii="Arial" w:hAnsi="Arial" w:cs="Arial"/>
          <w:i/>
          <w:iCs/>
          <w:color w:val="000000" w:themeColor="text1"/>
          <w:sz w:val="22"/>
          <w:szCs w:val="22"/>
        </w:rPr>
        <w:t xml:space="preserve">Online Safety Act </w:t>
      </w:r>
      <w:r w:rsidR="00F4364B" w:rsidRPr="0063015D">
        <w:rPr>
          <w:rFonts w:ascii="Arial" w:hAnsi="Arial" w:cs="Arial"/>
          <w:color w:val="000000" w:themeColor="text1"/>
          <w:sz w:val="22"/>
          <w:szCs w:val="22"/>
        </w:rPr>
        <w:t xml:space="preserve">(UK Government, 2024) mandates </w:t>
      </w:r>
      <w:r w:rsidR="00A9608C">
        <w:rPr>
          <w:rFonts w:ascii="Arial" w:hAnsi="Arial" w:cs="Arial"/>
          <w:color w:val="000000" w:themeColor="text1"/>
          <w:sz w:val="22"/>
          <w:szCs w:val="22"/>
        </w:rPr>
        <w:t>that digital service providers assess and reduce risks to children posed by</w:t>
      </w:r>
      <w:r w:rsidR="00F4364B" w:rsidRPr="0063015D">
        <w:rPr>
          <w:rFonts w:ascii="Arial" w:hAnsi="Arial" w:cs="Arial"/>
          <w:color w:val="000000" w:themeColor="text1"/>
          <w:sz w:val="22"/>
          <w:szCs w:val="22"/>
        </w:rPr>
        <w:t xml:space="preserve"> harmful or illegal content. Additionally, the </w:t>
      </w:r>
      <w:r w:rsidR="00F4364B" w:rsidRPr="00007664">
        <w:rPr>
          <w:rFonts w:ascii="Arial" w:hAnsi="Arial" w:cs="Arial"/>
          <w:i/>
          <w:iCs/>
          <w:color w:val="000000" w:themeColor="text1"/>
          <w:sz w:val="22"/>
          <w:szCs w:val="22"/>
        </w:rPr>
        <w:t>Age Appropriate Design Code</w:t>
      </w:r>
      <w:r w:rsidR="00F4364B" w:rsidRPr="0063015D">
        <w:rPr>
          <w:rFonts w:ascii="Arial" w:hAnsi="Arial" w:cs="Arial"/>
          <w:color w:val="000000" w:themeColor="text1"/>
          <w:sz w:val="22"/>
          <w:szCs w:val="22"/>
        </w:rPr>
        <w:t xml:space="preserve"> (Information Commissioner</w:t>
      </w:r>
      <w:r w:rsidR="00695B0B" w:rsidRPr="0063015D">
        <w:rPr>
          <w:rFonts w:ascii="Arial" w:hAnsi="Arial" w:cs="Arial"/>
          <w:color w:val="000000" w:themeColor="text1"/>
          <w:sz w:val="22"/>
          <w:szCs w:val="22"/>
        </w:rPr>
        <w:t>'</w:t>
      </w:r>
      <w:r w:rsidR="00F4364B" w:rsidRPr="0063015D">
        <w:rPr>
          <w:rFonts w:ascii="Arial" w:hAnsi="Arial" w:cs="Arial"/>
          <w:color w:val="000000" w:themeColor="text1"/>
          <w:sz w:val="22"/>
          <w:szCs w:val="22"/>
        </w:rPr>
        <w:t xml:space="preserve">s Office, 2025) requires online services to </w:t>
      </w:r>
      <w:r w:rsidR="009A564E" w:rsidRPr="0063015D">
        <w:rPr>
          <w:rFonts w:ascii="Arial" w:hAnsi="Arial" w:cs="Arial"/>
          <w:color w:val="000000" w:themeColor="text1"/>
          <w:sz w:val="22"/>
          <w:szCs w:val="22"/>
        </w:rPr>
        <w:t>prioritise children's best interests, focusing on how their data is collected, used and influenced</w:t>
      </w:r>
      <w:r w:rsidR="00855C56" w:rsidRPr="0063015D">
        <w:rPr>
          <w:rFonts w:ascii="Arial" w:hAnsi="Arial" w:cs="Arial"/>
          <w:color w:val="000000" w:themeColor="text1"/>
          <w:sz w:val="22"/>
          <w:szCs w:val="22"/>
        </w:rPr>
        <w:t xml:space="preserve"> by design decisions</w:t>
      </w:r>
      <w:r w:rsidR="00F4364B" w:rsidRPr="0063015D">
        <w:rPr>
          <w:rFonts w:ascii="Arial" w:hAnsi="Arial" w:cs="Arial"/>
          <w:color w:val="000000" w:themeColor="text1"/>
          <w:sz w:val="22"/>
          <w:szCs w:val="22"/>
        </w:rPr>
        <w:t>.</w:t>
      </w:r>
      <w:r w:rsidR="00855C56" w:rsidRPr="0063015D">
        <w:rPr>
          <w:rFonts w:ascii="Arial" w:hAnsi="Arial" w:cs="Arial"/>
          <w:color w:val="000000" w:themeColor="text1"/>
          <w:sz w:val="22"/>
          <w:szCs w:val="22"/>
        </w:rPr>
        <w:t xml:space="preserve"> </w:t>
      </w:r>
      <w:r w:rsidR="008E7BF2" w:rsidRPr="0063015D">
        <w:rPr>
          <w:rFonts w:ascii="Arial" w:hAnsi="Arial" w:cs="Arial"/>
          <w:color w:val="000000" w:themeColor="text1"/>
          <w:sz w:val="22"/>
          <w:szCs w:val="22"/>
        </w:rPr>
        <w:t xml:space="preserve">Although these frameworks signify important progress, their success </w:t>
      </w:r>
      <w:r w:rsidR="008D3205" w:rsidRPr="0063015D">
        <w:rPr>
          <w:rFonts w:ascii="Arial" w:hAnsi="Arial" w:cs="Arial"/>
          <w:color w:val="000000" w:themeColor="text1"/>
          <w:sz w:val="22"/>
          <w:szCs w:val="22"/>
        </w:rPr>
        <w:t>depends</w:t>
      </w:r>
      <w:r w:rsidR="008E7BF2" w:rsidRPr="0063015D">
        <w:rPr>
          <w:rFonts w:ascii="Arial" w:hAnsi="Arial" w:cs="Arial"/>
          <w:color w:val="000000" w:themeColor="text1"/>
          <w:sz w:val="22"/>
          <w:szCs w:val="22"/>
        </w:rPr>
        <w:t xml:space="preserve"> on enforcement, transparency, and the </w:t>
      </w:r>
      <w:r w:rsidR="00B32B81" w:rsidRPr="0063015D">
        <w:rPr>
          <w:rFonts w:ascii="Arial" w:hAnsi="Arial" w:cs="Arial"/>
          <w:color w:val="000000" w:themeColor="text1"/>
          <w:sz w:val="22"/>
          <w:szCs w:val="22"/>
        </w:rPr>
        <w:t>prioritisation</w:t>
      </w:r>
      <w:r w:rsidR="008E7BF2" w:rsidRPr="0063015D">
        <w:rPr>
          <w:rFonts w:ascii="Arial" w:hAnsi="Arial" w:cs="Arial"/>
          <w:color w:val="000000" w:themeColor="text1"/>
          <w:sz w:val="22"/>
          <w:szCs w:val="22"/>
        </w:rPr>
        <w:t xml:space="preserve"> of child wellbeing over commercial interests (Ofcom, 202</w:t>
      </w:r>
      <w:r w:rsidR="00DA55B3" w:rsidRPr="0063015D">
        <w:rPr>
          <w:rFonts w:ascii="Arial" w:hAnsi="Arial" w:cs="Arial"/>
          <w:color w:val="000000" w:themeColor="text1"/>
          <w:sz w:val="22"/>
          <w:szCs w:val="22"/>
        </w:rPr>
        <w:t>4</w:t>
      </w:r>
      <w:r w:rsidR="008E7BF2" w:rsidRPr="0063015D">
        <w:rPr>
          <w:rFonts w:ascii="Arial" w:hAnsi="Arial" w:cs="Arial"/>
          <w:color w:val="000000" w:themeColor="text1"/>
          <w:sz w:val="22"/>
          <w:szCs w:val="22"/>
        </w:rPr>
        <w:t xml:space="preserve">). </w:t>
      </w:r>
      <w:r w:rsidR="009A564E" w:rsidRPr="0063015D">
        <w:rPr>
          <w:rFonts w:ascii="Arial" w:hAnsi="Arial" w:cs="Arial"/>
          <w:color w:val="000000" w:themeColor="text1"/>
          <w:sz w:val="22"/>
          <w:szCs w:val="22"/>
        </w:rPr>
        <w:t xml:space="preserve">Advancements in health and social care emphasise the need for multidisciplinary collaboration and </w:t>
      </w:r>
      <w:r w:rsidR="00A9608C">
        <w:rPr>
          <w:rFonts w:ascii="Arial" w:hAnsi="Arial" w:cs="Arial"/>
          <w:color w:val="000000" w:themeColor="text1"/>
          <w:sz w:val="22"/>
          <w:szCs w:val="22"/>
        </w:rPr>
        <w:t>the integration of</w:t>
      </w:r>
      <w:r w:rsidR="009A564E" w:rsidRPr="0063015D">
        <w:rPr>
          <w:rFonts w:ascii="Arial" w:hAnsi="Arial" w:cs="Arial"/>
          <w:color w:val="000000" w:themeColor="text1"/>
          <w:sz w:val="22"/>
          <w:szCs w:val="22"/>
        </w:rPr>
        <w:t xml:space="preserve"> digital wellbeing into safeguarding and mental health strategies. This should involve clear multi-agency protocols to address issues like cyberbullying, harmful content exposure, and online coercion, which often intersect with family, school, and community environments</w:t>
      </w:r>
      <w:r w:rsidR="008E7BF2" w:rsidRPr="0063015D">
        <w:rPr>
          <w:rFonts w:ascii="Arial" w:hAnsi="Arial" w:cs="Arial"/>
          <w:color w:val="000000" w:themeColor="text1"/>
          <w:sz w:val="22"/>
          <w:szCs w:val="22"/>
        </w:rPr>
        <w:t xml:space="preserve"> (</w:t>
      </w:r>
      <w:r w:rsidR="00CD3B7E" w:rsidRPr="0063015D">
        <w:rPr>
          <w:rFonts w:ascii="Arial" w:hAnsi="Arial" w:cs="Arial"/>
          <w:color w:val="000000" w:themeColor="text1"/>
          <w:sz w:val="22"/>
          <w:szCs w:val="22"/>
        </w:rPr>
        <w:t>Ofcom</w:t>
      </w:r>
      <w:r w:rsidR="008E7BF2" w:rsidRPr="0063015D">
        <w:rPr>
          <w:rFonts w:ascii="Arial" w:hAnsi="Arial" w:cs="Arial"/>
          <w:color w:val="000000" w:themeColor="text1"/>
          <w:sz w:val="22"/>
          <w:szCs w:val="22"/>
        </w:rPr>
        <w:t>, 2024).</w:t>
      </w:r>
    </w:p>
    <w:p w14:paraId="189C5AF8" w14:textId="2356209A" w:rsidR="00336199" w:rsidRPr="0063015D" w:rsidRDefault="000E4628" w:rsidP="0063015D">
      <w:pPr>
        <w:shd w:val="clear" w:color="auto" w:fill="FFFFFF" w:themeFill="background1"/>
        <w:spacing w:before="240" w:after="100" w:afterAutospacing="1" w:line="360" w:lineRule="auto"/>
        <w:jc w:val="both"/>
        <w:rPr>
          <w:rFonts w:ascii="Arial" w:hAnsi="Arial" w:cs="Arial"/>
          <w:color w:val="000000" w:themeColor="text1"/>
          <w:sz w:val="22"/>
          <w:szCs w:val="22"/>
          <w:shd w:val="clear" w:color="auto" w:fill="FFFFFF"/>
        </w:rPr>
      </w:pPr>
      <w:r w:rsidRPr="0063015D">
        <w:rPr>
          <w:rFonts w:ascii="Arial" w:hAnsi="Arial" w:cs="Arial"/>
          <w:color w:val="000000" w:themeColor="text1"/>
          <w:sz w:val="22"/>
          <w:szCs w:val="22"/>
          <w:shd w:val="clear" w:color="auto" w:fill="FFFFFF"/>
        </w:rPr>
        <w:t xml:space="preserve">      </w:t>
      </w:r>
      <w:r w:rsidR="00AA10C9" w:rsidRPr="0063015D">
        <w:rPr>
          <w:rFonts w:ascii="Arial" w:hAnsi="Arial" w:cs="Arial"/>
          <w:color w:val="000000" w:themeColor="text1"/>
          <w:sz w:val="22"/>
          <w:szCs w:val="22"/>
          <w:shd w:val="clear" w:color="auto" w:fill="FFFFFF"/>
        </w:rPr>
        <w:t>The integration of emergent technologies into the lives of children and young people brings both opportunities and challenges that significantly influence their development. Evidence indicates that while digital engagement can enhance learning and foster social connections, it also poses risks to emotional wellbeing and social dynamics. As young individuals navigate these complex online environments, a multifaceted approach is necessary to ensure their safety, inclusion, and overall development.</w:t>
      </w:r>
      <w:r w:rsidR="0060477F" w:rsidRPr="0063015D">
        <w:rPr>
          <w:rFonts w:ascii="Arial" w:hAnsi="Arial" w:cs="Arial"/>
          <w:color w:val="000000" w:themeColor="text1"/>
          <w:sz w:val="22"/>
          <w:szCs w:val="22"/>
          <w:shd w:val="clear" w:color="auto" w:fill="FFFFFF"/>
        </w:rPr>
        <w:t xml:space="preserve"> </w:t>
      </w:r>
      <w:r w:rsidR="00AA10C9" w:rsidRPr="0063015D">
        <w:rPr>
          <w:rFonts w:ascii="Arial" w:hAnsi="Arial" w:cs="Arial"/>
          <w:color w:val="000000" w:themeColor="text1"/>
          <w:sz w:val="22"/>
          <w:szCs w:val="22"/>
          <w:shd w:val="clear" w:color="auto" w:fill="FFFFFF"/>
        </w:rPr>
        <w:t xml:space="preserve">Collaboration among health and social care systems and educational frameworks is essential for creating effective policies that address the varied experiences of youth online. By </w:t>
      </w:r>
      <w:r w:rsidR="00467617" w:rsidRPr="0063015D">
        <w:rPr>
          <w:rFonts w:ascii="Arial" w:hAnsi="Arial" w:cs="Arial"/>
          <w:color w:val="000000" w:themeColor="text1"/>
          <w:sz w:val="22"/>
          <w:szCs w:val="22"/>
          <w:shd w:val="clear" w:color="auto" w:fill="FFFFFF"/>
        </w:rPr>
        <w:t>prioritising ethical practices and recognising the broader social contexts impacting children, stakeholders can better support them in maximising</w:t>
      </w:r>
      <w:r w:rsidR="00AA10C9" w:rsidRPr="0063015D">
        <w:rPr>
          <w:rFonts w:ascii="Arial" w:hAnsi="Arial" w:cs="Arial"/>
          <w:color w:val="000000" w:themeColor="text1"/>
          <w:sz w:val="22"/>
          <w:szCs w:val="22"/>
          <w:shd w:val="clear" w:color="auto" w:fill="FFFFFF"/>
        </w:rPr>
        <w:t xml:space="preserve"> the benefits of technology while reducing potential harms. The objective should be to create a digital landscape that empowers young people to thrive in an interconnected world.</w:t>
      </w:r>
      <w:r w:rsidR="006542DB" w:rsidRPr="0063015D">
        <w:rPr>
          <w:rFonts w:ascii="Arial" w:hAnsi="Arial" w:cs="Arial"/>
          <w:color w:val="000000" w:themeColor="text1"/>
          <w:sz w:val="22"/>
          <w:szCs w:val="22"/>
          <w:shd w:val="clear" w:color="auto" w:fill="FFFFFF"/>
        </w:rPr>
        <w:t xml:space="preserve"> </w:t>
      </w:r>
      <w:r w:rsidR="00AA10C9" w:rsidRPr="0063015D">
        <w:rPr>
          <w:rFonts w:ascii="Arial" w:hAnsi="Arial" w:cs="Arial"/>
          <w:color w:val="000000" w:themeColor="text1"/>
          <w:sz w:val="22"/>
          <w:szCs w:val="22"/>
          <w:shd w:val="clear" w:color="auto" w:fill="FFFFFF"/>
        </w:rPr>
        <w:t xml:space="preserve">Responsibility for their digital wellbeing cannot rest solely with children and their families. Effective support necessitates shared accountability among health, education, social care, regulatory bodies, and digital service providers. While recent </w:t>
      </w:r>
      <w:r w:rsidR="008B08D6" w:rsidRPr="0063015D">
        <w:rPr>
          <w:rFonts w:ascii="Arial" w:hAnsi="Arial" w:cs="Arial"/>
          <w:color w:val="000000" w:themeColor="text1"/>
          <w:sz w:val="22"/>
          <w:szCs w:val="22"/>
          <w:shd w:val="clear" w:color="auto" w:fill="FFFFFF"/>
        </w:rPr>
        <w:t xml:space="preserve">UK </w:t>
      </w:r>
      <w:r w:rsidR="00AA10C9" w:rsidRPr="0063015D">
        <w:rPr>
          <w:rFonts w:ascii="Arial" w:hAnsi="Arial" w:cs="Arial"/>
          <w:color w:val="000000" w:themeColor="text1"/>
          <w:sz w:val="22"/>
          <w:szCs w:val="22"/>
          <w:shd w:val="clear" w:color="auto" w:fill="FFFFFF"/>
        </w:rPr>
        <w:t xml:space="preserve">policy developments show progress toward greater accountability, ongoing evaluation and enforcement remain vital. Supporting children and young people in the digital age requires informed, ethically </w:t>
      </w:r>
      <w:r w:rsidR="00AA10C9" w:rsidRPr="0063015D">
        <w:rPr>
          <w:rFonts w:ascii="Arial" w:hAnsi="Arial" w:cs="Arial"/>
          <w:color w:val="000000" w:themeColor="text1"/>
          <w:sz w:val="22"/>
          <w:szCs w:val="22"/>
          <w:shd w:val="clear" w:color="auto" w:fill="FFFFFF"/>
        </w:rPr>
        <w:lastRenderedPageBreak/>
        <w:t>grounded, and developmentally appropriate engagement with the technologies that shape their daily lives.</w:t>
      </w:r>
    </w:p>
    <w:p w14:paraId="1B3E3A33" w14:textId="77777777" w:rsidR="00F42C71" w:rsidRPr="0063015D" w:rsidRDefault="00F42C71" w:rsidP="0063015D">
      <w:pPr>
        <w:shd w:val="clear" w:color="auto" w:fill="FFFFFF" w:themeFill="background1"/>
        <w:spacing w:before="240" w:after="100" w:afterAutospacing="1" w:line="360" w:lineRule="auto"/>
        <w:jc w:val="both"/>
        <w:rPr>
          <w:rFonts w:ascii="Arial" w:hAnsi="Arial" w:cs="Arial"/>
          <w:color w:val="000000" w:themeColor="text1"/>
          <w:sz w:val="22"/>
          <w:szCs w:val="22"/>
          <w:shd w:val="clear" w:color="auto" w:fill="FFFFFF"/>
        </w:rPr>
      </w:pPr>
    </w:p>
    <w:p w14:paraId="10DDFDA9"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01F14FF2"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6084828D"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1E11BCF1"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3326801A"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02B77FE5"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4F445857"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278A570D"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3414C57E"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5DE29A97"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2565F78F"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77683586"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15FBC071"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3E657828"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2E1E28FA"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41E506B6"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37319D9C"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2ACFCAD9"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497527DD" w14:textId="77777777"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p>
    <w:p w14:paraId="112D565F" w14:textId="7E192CC8" w:rsidR="00F42C71" w:rsidRPr="0063015D" w:rsidRDefault="00F42C71" w:rsidP="0063015D">
      <w:pPr>
        <w:shd w:val="clear" w:color="auto" w:fill="FFFFFF" w:themeFill="background1"/>
        <w:spacing w:before="100" w:beforeAutospacing="1" w:after="100" w:afterAutospacing="1" w:line="360" w:lineRule="auto"/>
        <w:jc w:val="both"/>
        <w:rPr>
          <w:rFonts w:ascii="Arial" w:hAnsi="Arial" w:cs="Arial"/>
          <w:color w:val="000000" w:themeColor="text1"/>
          <w:sz w:val="22"/>
          <w:szCs w:val="22"/>
          <w:shd w:val="clear" w:color="auto" w:fill="FFFFFF"/>
        </w:rPr>
      </w:pPr>
      <w:r w:rsidRPr="0063015D">
        <w:rPr>
          <w:rFonts w:ascii="Arial" w:hAnsi="Arial" w:cs="Arial"/>
          <w:color w:val="000000" w:themeColor="text1"/>
          <w:sz w:val="22"/>
          <w:szCs w:val="22"/>
          <w:shd w:val="clear" w:color="auto" w:fill="FFFFFF"/>
        </w:rPr>
        <w:lastRenderedPageBreak/>
        <w:t>References:</w:t>
      </w:r>
    </w:p>
    <w:p w14:paraId="373033C1" w14:textId="44AB939C"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Avci, H., Baams, L. and Kretschmer, T. (2024) 'A Systematic Review of Social Media Use and Adolescent Identity Development', </w:t>
      </w:r>
      <w:r w:rsidRPr="0063015D">
        <w:rPr>
          <w:rFonts w:ascii="Arial" w:hAnsi="Arial" w:cs="Arial"/>
          <w:i/>
          <w:iCs/>
          <w:color w:val="000000" w:themeColor="text1"/>
          <w:sz w:val="22"/>
          <w:szCs w:val="22"/>
        </w:rPr>
        <w:t>Adolescent Research Review</w:t>
      </w:r>
      <w:r w:rsidRPr="0063015D">
        <w:rPr>
          <w:rFonts w:ascii="Arial" w:hAnsi="Arial" w:cs="Arial"/>
          <w:color w:val="000000" w:themeColor="text1"/>
          <w:sz w:val="22"/>
          <w:szCs w:val="22"/>
        </w:rPr>
        <w:t>,10(2), pp.219–236. Available at: https://doi.org/10.1007/s40894-024-00251-1 .</w:t>
      </w:r>
    </w:p>
    <w:p w14:paraId="4F3E514C"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Department for Education (2025) </w:t>
      </w:r>
      <w:r w:rsidRPr="0063015D">
        <w:rPr>
          <w:rFonts w:ascii="Arial" w:hAnsi="Arial" w:cs="Arial"/>
          <w:i/>
          <w:iCs/>
          <w:color w:val="000000" w:themeColor="text1"/>
          <w:sz w:val="22"/>
          <w:szCs w:val="22"/>
        </w:rPr>
        <w:t>Generative Artificial Intelligence (AI) in Education</w:t>
      </w:r>
      <w:r w:rsidRPr="0063015D">
        <w:rPr>
          <w:rFonts w:ascii="Arial" w:hAnsi="Arial" w:cs="Arial"/>
          <w:color w:val="000000" w:themeColor="text1"/>
          <w:sz w:val="22"/>
          <w:szCs w:val="22"/>
        </w:rPr>
        <w:t>. Available at: https://www.gov.uk/government/publications/generative-artificial-intelligence-in-education/generative-artificial-intelligence-ai-in-education (Accessed 28 February 2026)</w:t>
      </w:r>
    </w:p>
    <w:p w14:paraId="24C1B6D0" w14:textId="23C2CF24"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Eyal, K. and Te'eni-Harari, T. (2023) 'Systematic review: Characteristics and outcomes of in-school digital media literacy interventions, 2010-2021', </w:t>
      </w:r>
      <w:r w:rsidRPr="0063015D">
        <w:rPr>
          <w:rFonts w:ascii="Arial" w:hAnsi="Arial" w:cs="Arial"/>
          <w:i/>
          <w:iCs/>
          <w:color w:val="000000" w:themeColor="text1"/>
          <w:sz w:val="22"/>
          <w:szCs w:val="22"/>
        </w:rPr>
        <w:t>Journal of Children and Media</w:t>
      </w:r>
      <w:r w:rsidRPr="0063015D">
        <w:rPr>
          <w:rFonts w:ascii="Arial" w:hAnsi="Arial" w:cs="Arial"/>
          <w:color w:val="000000" w:themeColor="text1"/>
          <w:sz w:val="22"/>
          <w:szCs w:val="22"/>
        </w:rPr>
        <w:t>, 18(1), pp.1–21. Available at: https://doi.org/10.1080/17482798.2023.2265510 .</w:t>
      </w:r>
    </w:p>
    <w:p w14:paraId="368F1A1C" w14:textId="33D689FC"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Firmin, C., Manister, M. and Peace, D. (2022) 'Serious Case Reviews and Extra-Familial Harm: Missed and Emerging Opportunities to Develop Contextual Practices', </w:t>
      </w:r>
      <w:r w:rsidRPr="0063015D">
        <w:rPr>
          <w:rFonts w:ascii="Arial" w:hAnsi="Arial" w:cs="Arial"/>
          <w:i/>
          <w:iCs/>
          <w:color w:val="000000" w:themeColor="text1"/>
          <w:sz w:val="22"/>
          <w:szCs w:val="22"/>
        </w:rPr>
        <w:t>The British Journal of Social Work</w:t>
      </w:r>
      <w:r w:rsidRPr="0063015D">
        <w:rPr>
          <w:rFonts w:ascii="Arial" w:hAnsi="Arial" w:cs="Arial"/>
          <w:color w:val="000000" w:themeColor="text1"/>
          <w:sz w:val="22"/>
          <w:szCs w:val="22"/>
        </w:rPr>
        <w:t>, 53(2). Available at: https://doi.org/10.1093/bjsw/bcac172 .</w:t>
      </w:r>
    </w:p>
    <w:p w14:paraId="2AE98821" w14:textId="217F596F"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Haghjoo, P., Siri, G., Soleimani, E., Farhangi, M.A. and Alesaeidi, S. (2022) 'Screen time increases overweight and obesity risk among adolescents: a systematic review and dose-response meta-analysis', </w:t>
      </w:r>
      <w:r w:rsidRPr="0063015D">
        <w:rPr>
          <w:rFonts w:ascii="Arial" w:hAnsi="Arial" w:cs="Arial"/>
          <w:i/>
          <w:iCs/>
          <w:color w:val="000000" w:themeColor="text1"/>
          <w:sz w:val="22"/>
          <w:szCs w:val="22"/>
        </w:rPr>
        <w:t>BMC Primary Care</w:t>
      </w:r>
      <w:r w:rsidRPr="0063015D">
        <w:rPr>
          <w:rFonts w:ascii="Arial" w:hAnsi="Arial" w:cs="Arial"/>
          <w:color w:val="000000" w:themeColor="text1"/>
          <w:sz w:val="22"/>
          <w:szCs w:val="22"/>
        </w:rPr>
        <w:t>, 23(1). Available at: https://doi.org/10.1186/s12875-022-01761-4 .</w:t>
      </w:r>
    </w:p>
    <w:p w14:paraId="5C18194D"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Halla Holmarsdottir, Seland, I., Christer Hyggen and Roth, M. (2024) </w:t>
      </w:r>
      <w:r w:rsidRPr="0063015D">
        <w:rPr>
          <w:rFonts w:ascii="Arial" w:hAnsi="Arial" w:cs="Arial"/>
          <w:i/>
          <w:iCs/>
          <w:color w:val="000000" w:themeColor="text1"/>
          <w:sz w:val="22"/>
          <w:szCs w:val="22"/>
        </w:rPr>
        <w:t>Understanding The Everyday Digital Lives of Children and Young People</w:t>
      </w:r>
      <w:r w:rsidRPr="0063015D">
        <w:rPr>
          <w:rFonts w:ascii="Arial" w:hAnsi="Arial" w:cs="Arial"/>
          <w:color w:val="000000" w:themeColor="text1"/>
          <w:sz w:val="22"/>
          <w:szCs w:val="22"/>
        </w:rPr>
        <w:t>. Springer Nature.</w:t>
      </w:r>
    </w:p>
    <w:p w14:paraId="238F8B79" w14:textId="0C4C7C1D"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Iivari, N., Sharma, S. and Ventä-Olkkonen, L. (2020) 'Digital transformation of everyday life – How COVID-19 pandemic transformed the basic education of the young generation and why information management research should care?', </w:t>
      </w:r>
      <w:r w:rsidRPr="0063015D">
        <w:rPr>
          <w:rFonts w:ascii="Arial" w:hAnsi="Arial" w:cs="Arial"/>
          <w:i/>
          <w:iCs/>
          <w:color w:val="000000" w:themeColor="text1"/>
          <w:sz w:val="22"/>
          <w:szCs w:val="22"/>
        </w:rPr>
        <w:t>International Journal of Information Management</w:t>
      </w:r>
      <w:r w:rsidRPr="0063015D">
        <w:rPr>
          <w:rFonts w:ascii="Arial" w:hAnsi="Arial" w:cs="Arial"/>
          <w:color w:val="000000" w:themeColor="text1"/>
          <w:sz w:val="22"/>
          <w:szCs w:val="22"/>
        </w:rPr>
        <w:t>, 55(1), pp.1–6. Available at: https://doi.org/10.1016/j.ijinfomgt.2020.102183 .</w:t>
      </w:r>
    </w:p>
    <w:p w14:paraId="54E65508" w14:textId="73DF0F30"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Information Commissioner's Office (2025) </w:t>
      </w:r>
      <w:r w:rsidRPr="0063015D">
        <w:rPr>
          <w:rFonts w:ascii="Arial" w:hAnsi="Arial" w:cs="Arial"/>
          <w:i/>
          <w:iCs/>
          <w:color w:val="000000" w:themeColor="text1"/>
          <w:sz w:val="22"/>
          <w:szCs w:val="22"/>
        </w:rPr>
        <w:t>Protecting children's privacy online: Our Children's Code Strategy</w:t>
      </w:r>
      <w:r w:rsidRPr="0063015D">
        <w:rPr>
          <w:rFonts w:ascii="Arial" w:hAnsi="Arial" w:cs="Arial"/>
          <w:color w:val="000000" w:themeColor="text1"/>
          <w:sz w:val="22"/>
          <w:szCs w:val="22"/>
        </w:rPr>
        <w:t>. Available at: https://ico.org.uk/for-organisations/uk-gdpr-guidance-and-resources/childrens-information/childrens-code-guidance-and-resources/protecting-childrens-privacy-online/ (Accessed 07 March 2026).</w:t>
      </w:r>
    </w:p>
    <w:p w14:paraId="2358F6F7" w14:textId="4E987D1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Liverpool, S., Mc Donagh, C., Feather, J., Uzondu, C., Howarth, M., Bannerman, F., Kaehne, A., Foster, C. and Mateus, C. (2025) 'Updates on digital mental health interventions for children and young people: systematic overview of reviews', </w:t>
      </w:r>
      <w:r w:rsidRPr="0063015D">
        <w:rPr>
          <w:rFonts w:ascii="Arial" w:hAnsi="Arial" w:cs="Arial"/>
          <w:i/>
          <w:iCs/>
          <w:color w:val="000000" w:themeColor="text1"/>
          <w:sz w:val="22"/>
          <w:szCs w:val="22"/>
        </w:rPr>
        <w:t>European Child &amp; Adolescent Psychiatry</w:t>
      </w:r>
      <w:r w:rsidRPr="0063015D">
        <w:rPr>
          <w:rFonts w:ascii="Arial" w:hAnsi="Arial" w:cs="Arial"/>
          <w:color w:val="000000" w:themeColor="text1"/>
          <w:sz w:val="22"/>
          <w:szCs w:val="22"/>
        </w:rPr>
        <w:t>. Available at: https://doi.org/10.1007/s00787-025-02722-9 .</w:t>
      </w:r>
    </w:p>
    <w:p w14:paraId="27071A27" w14:textId="4FDB2C44"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lastRenderedPageBreak/>
        <w:t>MacKenzie, M.D., Scott, H., Reid, K. and Gardani, M. (2022) 'Adolescent perspectives of bedtime social media use: a qualitative systematic review and thematic synthesis', </w:t>
      </w:r>
      <w:r w:rsidRPr="0063015D">
        <w:rPr>
          <w:rFonts w:ascii="Arial" w:hAnsi="Arial" w:cs="Arial"/>
          <w:i/>
          <w:iCs/>
          <w:color w:val="000000" w:themeColor="text1"/>
          <w:sz w:val="22"/>
          <w:szCs w:val="22"/>
        </w:rPr>
        <w:t>Sleep Medicine Reviews</w:t>
      </w:r>
      <w:r w:rsidRPr="0063015D">
        <w:rPr>
          <w:rFonts w:ascii="Arial" w:hAnsi="Arial" w:cs="Arial"/>
          <w:color w:val="000000" w:themeColor="text1"/>
          <w:sz w:val="22"/>
          <w:szCs w:val="22"/>
        </w:rPr>
        <w:t>, 63, p.101626. Available at: https://doi.org/10.1016/j.smrv.2022.101626 .</w:t>
      </w:r>
    </w:p>
    <w:p w14:paraId="56831B64" w14:textId="727ED9C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 Main, K., Bouton, B.D., Pendergast, D. and Whitaker, N. (2025) 'The Importance of Social and Emotional Skills During Adolescence to Promote a Positive Social Identity: A Systematic Literature Review and Reflection Using Bronfenbrenner's Bioecological Theory', </w:t>
      </w:r>
      <w:r w:rsidRPr="0063015D">
        <w:rPr>
          <w:rFonts w:ascii="Arial" w:hAnsi="Arial" w:cs="Arial"/>
          <w:i/>
          <w:iCs/>
          <w:color w:val="000000" w:themeColor="text1"/>
          <w:sz w:val="22"/>
          <w:szCs w:val="22"/>
        </w:rPr>
        <w:t>Education Sciences</w:t>
      </w:r>
      <w:r w:rsidRPr="0063015D">
        <w:rPr>
          <w:rFonts w:ascii="Arial" w:hAnsi="Arial" w:cs="Arial"/>
          <w:color w:val="000000" w:themeColor="text1"/>
          <w:sz w:val="22"/>
          <w:szCs w:val="22"/>
        </w:rPr>
        <w:t>, 15(2), pp.258–258. Available at: https://doi.org/10.3390/educsci15020258 .</w:t>
      </w:r>
    </w:p>
    <w:p w14:paraId="7EBEA144" w14:textId="0B63978C"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Masri-zada, T. Martirosyan, S., Abdou, A., Barbar, R., Kades, S., Makki, H., Haley, G. and Agrawal, D.K. (2025) 'The Impact of Social Media &amp; Technology on Child and Adolescent Mental Health', </w:t>
      </w:r>
      <w:r w:rsidRPr="0063015D">
        <w:rPr>
          <w:rFonts w:ascii="Arial" w:hAnsi="Arial" w:cs="Arial"/>
          <w:i/>
          <w:iCs/>
          <w:color w:val="000000" w:themeColor="text1"/>
          <w:sz w:val="22"/>
          <w:szCs w:val="22"/>
        </w:rPr>
        <w:t>Journal of psychiatry and psychiatric disorders</w:t>
      </w:r>
      <w:r w:rsidRPr="0063015D">
        <w:rPr>
          <w:rFonts w:ascii="Arial" w:hAnsi="Arial" w:cs="Arial"/>
          <w:color w:val="000000" w:themeColor="text1"/>
          <w:sz w:val="22"/>
          <w:szCs w:val="22"/>
        </w:rPr>
        <w:t>, 9(2), p.111. Available at: https://pubmed.ncbi.nlm.nih.gov/40520349/ .</w:t>
      </w:r>
    </w:p>
    <w:p w14:paraId="723DBB04" w14:textId="44149495"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McNaughton, S., Rosedale, N., Zhu, T., Lin Sophie Teng, Jesson, R., Oldehaver, J., Hoda, R. and Williamson, R. (2023)' A school-wide digital programme has context specific impacts on self-regulation but not social skills', </w:t>
      </w:r>
      <w:r w:rsidRPr="0063015D">
        <w:rPr>
          <w:rFonts w:ascii="Arial" w:hAnsi="Arial" w:cs="Arial"/>
          <w:i/>
          <w:iCs/>
          <w:color w:val="000000" w:themeColor="text1"/>
          <w:sz w:val="22"/>
          <w:szCs w:val="22"/>
        </w:rPr>
        <w:t>E-learning and Digital Media</w:t>
      </w:r>
      <w:r w:rsidRPr="0063015D">
        <w:rPr>
          <w:rFonts w:ascii="Arial" w:hAnsi="Arial" w:cs="Arial"/>
          <w:color w:val="000000" w:themeColor="text1"/>
          <w:sz w:val="22"/>
          <w:szCs w:val="22"/>
        </w:rPr>
        <w:t>, p.204275302311562-204275302311562. Available at: https://doi.org/10.1177/20427530231156282 .</w:t>
      </w:r>
    </w:p>
    <w:p w14:paraId="453C7879"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‌Nominet (2022) </w:t>
      </w:r>
      <w:r w:rsidRPr="0063015D">
        <w:rPr>
          <w:rFonts w:ascii="Arial" w:hAnsi="Arial" w:cs="Arial"/>
          <w:i/>
          <w:iCs/>
          <w:color w:val="000000" w:themeColor="text1"/>
          <w:sz w:val="22"/>
          <w:szCs w:val="22"/>
        </w:rPr>
        <w:t>DIGITAL YOUTH INDEX REPORT 2022.</w:t>
      </w:r>
      <w:r w:rsidRPr="0063015D">
        <w:rPr>
          <w:rFonts w:ascii="Arial" w:hAnsi="Arial" w:cs="Arial"/>
          <w:color w:val="000000" w:themeColor="text1"/>
          <w:sz w:val="22"/>
          <w:szCs w:val="22"/>
        </w:rPr>
        <w:t xml:space="preserve"> Available at: https://nominet.uk/wp-content/uploads/2024/09/Digital_Youth_Index_Year_2.pdf (Accessed 05 March 2026).</w:t>
      </w:r>
    </w:p>
    <w:p w14:paraId="3BE682B7"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OECD (2023) </w:t>
      </w:r>
      <w:r w:rsidRPr="0063015D">
        <w:rPr>
          <w:rFonts w:ascii="Arial" w:hAnsi="Arial" w:cs="Arial"/>
          <w:i/>
          <w:iCs/>
          <w:color w:val="000000" w:themeColor="text1"/>
          <w:sz w:val="22"/>
          <w:szCs w:val="22"/>
        </w:rPr>
        <w:t>OECD DIGITAL EDUCATION OUTLOOK 2023 Towards an Effective Digital Education Ecosystem</w:t>
      </w:r>
      <w:r w:rsidRPr="0063015D">
        <w:rPr>
          <w:rFonts w:ascii="Arial" w:hAnsi="Arial" w:cs="Arial"/>
          <w:color w:val="000000" w:themeColor="text1"/>
          <w:sz w:val="22"/>
          <w:szCs w:val="22"/>
        </w:rPr>
        <w:t>. Available at: https://www.oecd.org/content/dam/oecd/en/publications/reports/2023/12/oecd-digital-education-outlook-2023_c827b81a/c74f03de-en.pdf (Accessed 05 March 2026).</w:t>
      </w:r>
    </w:p>
    <w:p w14:paraId="15316845" w14:textId="39FCB4B0"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OECD (2025) </w:t>
      </w:r>
      <w:r w:rsidRPr="0063015D">
        <w:rPr>
          <w:rFonts w:ascii="Arial" w:hAnsi="Arial" w:cs="Arial"/>
          <w:i/>
          <w:iCs/>
          <w:color w:val="000000" w:themeColor="text1"/>
          <w:sz w:val="22"/>
          <w:szCs w:val="22"/>
        </w:rPr>
        <w:t>How's Life for Children in the Digital Age?: The impact of digital activities on children's lives</w:t>
      </w:r>
      <w:r w:rsidRPr="0063015D">
        <w:rPr>
          <w:rFonts w:ascii="Arial" w:hAnsi="Arial" w:cs="Arial"/>
          <w:color w:val="000000" w:themeColor="text1"/>
          <w:sz w:val="22"/>
          <w:szCs w:val="22"/>
        </w:rPr>
        <w:t>. Available at: https://www.oecd.org/en/publications/how-s-life-for-children-in-the-digital-age_0854b900-en/full-report/the-impact-of-digital-activities-on-children-s-lives_4df70664.html (Accessed 03 March 2026).</w:t>
      </w:r>
    </w:p>
    <w:p w14:paraId="2379E4FA"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Ofcom (2024) </w:t>
      </w:r>
      <w:r w:rsidRPr="0063015D">
        <w:rPr>
          <w:rFonts w:ascii="Arial" w:hAnsi="Arial" w:cs="Arial"/>
          <w:i/>
          <w:iCs/>
          <w:color w:val="000000" w:themeColor="text1"/>
          <w:sz w:val="22"/>
          <w:szCs w:val="22"/>
        </w:rPr>
        <w:t>Protecting children from harms online A summary of our consultation</w:t>
      </w:r>
      <w:r w:rsidRPr="0063015D">
        <w:rPr>
          <w:rFonts w:ascii="Arial" w:hAnsi="Arial" w:cs="Arial"/>
          <w:color w:val="000000" w:themeColor="text1"/>
          <w:sz w:val="22"/>
          <w:szCs w:val="22"/>
        </w:rPr>
        <w:t>. Available at: https://www.ofcom.org.uk/siteassets/resources/documents/consultations/category-1-10-weeks/284469-consultation-protecting-children-from-harms-online/associated-documents/summary-of-consultation.pdf?v=336045 (Accessed 07 March 2026).</w:t>
      </w:r>
    </w:p>
    <w:p w14:paraId="1652105B"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Ofcom (2025) </w:t>
      </w:r>
      <w:r w:rsidRPr="0063015D">
        <w:rPr>
          <w:rFonts w:ascii="Arial" w:hAnsi="Arial" w:cs="Arial"/>
          <w:i/>
          <w:iCs/>
          <w:color w:val="000000" w:themeColor="text1"/>
          <w:sz w:val="22"/>
          <w:szCs w:val="22"/>
        </w:rPr>
        <w:t>Children and Parents: Media Use and Attitudes Report</w:t>
      </w:r>
      <w:r w:rsidRPr="0063015D">
        <w:rPr>
          <w:rFonts w:ascii="Arial" w:hAnsi="Arial" w:cs="Arial"/>
          <w:color w:val="000000" w:themeColor="text1"/>
          <w:sz w:val="22"/>
          <w:szCs w:val="22"/>
        </w:rPr>
        <w:t>. Available at: https://www.ofcom.org.uk/siteassets/resources/documents/research-and-data/media-</w:t>
      </w:r>
      <w:r w:rsidRPr="0063015D">
        <w:rPr>
          <w:rFonts w:ascii="Arial" w:hAnsi="Arial" w:cs="Arial"/>
          <w:color w:val="000000" w:themeColor="text1"/>
          <w:sz w:val="22"/>
          <w:szCs w:val="22"/>
        </w:rPr>
        <w:lastRenderedPageBreak/>
        <w:t>literacy-research/children/childrens-media-use-and-attitudes-report-2025/childrens-media-literacy-report-2025.pdf?v=396621 (Accessed 05 March 2026).</w:t>
      </w:r>
    </w:p>
    <w:p w14:paraId="654A3C1D"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Office for National Statistics (2024) </w:t>
      </w:r>
      <w:r w:rsidRPr="0063015D">
        <w:rPr>
          <w:rFonts w:ascii="Arial" w:hAnsi="Arial" w:cs="Arial"/>
          <w:i/>
          <w:iCs/>
          <w:color w:val="000000" w:themeColor="text1"/>
          <w:sz w:val="22"/>
          <w:szCs w:val="22"/>
        </w:rPr>
        <w:t>Bullying and online experiences among children in England and Wales</w:t>
      </w:r>
      <w:r w:rsidRPr="0063015D">
        <w:rPr>
          <w:rFonts w:ascii="Arial" w:hAnsi="Arial" w:cs="Arial"/>
          <w:color w:val="000000" w:themeColor="text1"/>
          <w:sz w:val="22"/>
          <w:szCs w:val="22"/>
        </w:rPr>
        <w:t>. Available at: https://www.ons.gov.uk/peoplepopulationandcommunity/crimeandjustice/bulletins/bullyingandonlineexperiencesamongchildreninenglandandwales/yearendingmarch2023‌ (Accessed 07 March 2026).</w:t>
      </w:r>
    </w:p>
    <w:p w14:paraId="6BF10231"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Office for National Statistics (2024) </w:t>
      </w:r>
      <w:r w:rsidRPr="0063015D">
        <w:rPr>
          <w:rFonts w:ascii="Arial" w:hAnsi="Arial" w:cs="Arial"/>
          <w:i/>
          <w:iCs/>
          <w:color w:val="000000" w:themeColor="text1"/>
          <w:sz w:val="22"/>
          <w:szCs w:val="22"/>
        </w:rPr>
        <w:t>Bullying and online experiences among children in England and Wales</w:t>
      </w:r>
      <w:r w:rsidRPr="0063015D">
        <w:rPr>
          <w:rFonts w:ascii="Arial" w:hAnsi="Arial" w:cs="Arial"/>
          <w:color w:val="000000" w:themeColor="text1"/>
          <w:sz w:val="22"/>
          <w:szCs w:val="22"/>
        </w:rPr>
        <w:t>. Available at: https://www.ons.gov.uk/peoplepopulationandcommunity/crimeandjustice/bulletins/bullyingandonlineexperiencesamongchildreninenglandandwales/yearendingmarch2023 (Accessed 06 March 2026).</w:t>
      </w:r>
    </w:p>
    <w:p w14:paraId="17EE13F4" w14:textId="1617F1D6"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Paulus, M.P., Zhao, Y., Potenza, M.N., Aupperle, R.L., Bagot, K.S. and Tapert, S.F. (2023) 'Screen media activity in youth: A critical review of mental health and neuroscience findings', </w:t>
      </w:r>
      <w:r w:rsidRPr="0063015D">
        <w:rPr>
          <w:rFonts w:ascii="Arial" w:hAnsi="Arial" w:cs="Arial"/>
          <w:i/>
          <w:iCs/>
          <w:color w:val="000000" w:themeColor="text1"/>
          <w:sz w:val="22"/>
          <w:szCs w:val="22"/>
        </w:rPr>
        <w:t>Journal of Mood and Anxiety Disorders</w:t>
      </w:r>
      <w:r w:rsidRPr="0063015D">
        <w:rPr>
          <w:rFonts w:ascii="Arial" w:hAnsi="Arial" w:cs="Arial"/>
          <w:color w:val="000000" w:themeColor="text1"/>
          <w:sz w:val="22"/>
          <w:szCs w:val="22"/>
        </w:rPr>
        <w:t>, 3, p.100018. Available at: https://doi.org/10.1016/j.xjmad.2023.100018 .</w:t>
      </w:r>
    </w:p>
    <w:p w14:paraId="23803EC0" w14:textId="40C2320D"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Regehr, K., Shaughnessy, C., Zhao, M., Cambazoglu, I., Turner, A. and Shaughnessy, N. (2025) 'Normalising toxicity: the role of recommender algorithms for young people's mental health and social wellbeing', </w:t>
      </w:r>
      <w:r w:rsidRPr="0063015D">
        <w:rPr>
          <w:rFonts w:ascii="Arial" w:hAnsi="Arial" w:cs="Arial"/>
          <w:i/>
          <w:iCs/>
          <w:color w:val="000000" w:themeColor="text1"/>
          <w:sz w:val="22"/>
          <w:szCs w:val="22"/>
        </w:rPr>
        <w:t>Frontiers in Psychology</w:t>
      </w:r>
      <w:r w:rsidRPr="0063015D">
        <w:rPr>
          <w:rFonts w:ascii="Arial" w:hAnsi="Arial" w:cs="Arial"/>
          <w:color w:val="000000" w:themeColor="text1"/>
          <w:sz w:val="22"/>
          <w:szCs w:val="22"/>
        </w:rPr>
        <w:t>, 16. Available at: https://doi.org/10.3389/fpsyg.2025.1523649 .</w:t>
      </w:r>
    </w:p>
    <w:p w14:paraId="09F40DB1"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‌Richmond, T. (2025) </w:t>
      </w:r>
      <w:r w:rsidRPr="0063015D">
        <w:rPr>
          <w:rFonts w:ascii="Arial" w:hAnsi="Arial" w:cs="Arial"/>
          <w:i/>
          <w:iCs/>
          <w:color w:val="000000" w:themeColor="text1"/>
          <w:sz w:val="22"/>
          <w:szCs w:val="22"/>
        </w:rPr>
        <w:t>EducAItion, educAItion, educAItion: Could Generative Artificial Intelligence pose a risk to educational standards?</w:t>
      </w:r>
      <w:r w:rsidRPr="0063015D">
        <w:rPr>
          <w:rFonts w:ascii="Arial" w:hAnsi="Arial" w:cs="Arial"/>
          <w:color w:val="000000" w:themeColor="text1"/>
          <w:sz w:val="22"/>
          <w:szCs w:val="22"/>
        </w:rPr>
        <w:t>. Available at: https://www.smf.co.uk/wp-content/uploads/2025/09/EducAItion-educAItion-educAItion-Sept-2025-correct.pdf (Accessed 03 March 2026).</w:t>
      </w:r>
    </w:p>
    <w:p w14:paraId="72BDECC8" w14:textId="13C8CCB6"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Roxanne Ellen Bibizadeh, Procter, R., Girvan, C., Webb, H. and Jirotka, M. (2023) 'Digitally Un/Free: the everyday impact of social media on the lives of young people', </w:t>
      </w:r>
      <w:r w:rsidRPr="0063015D">
        <w:rPr>
          <w:rFonts w:ascii="Arial" w:hAnsi="Arial" w:cs="Arial"/>
          <w:i/>
          <w:iCs/>
          <w:color w:val="000000" w:themeColor="text1"/>
          <w:sz w:val="22"/>
          <w:szCs w:val="22"/>
        </w:rPr>
        <w:t>Learning, Media and Technology</w:t>
      </w:r>
      <w:r w:rsidRPr="0063015D">
        <w:rPr>
          <w:rFonts w:ascii="Arial" w:hAnsi="Arial" w:cs="Arial"/>
          <w:color w:val="000000" w:themeColor="text1"/>
          <w:sz w:val="22"/>
          <w:szCs w:val="22"/>
        </w:rPr>
        <w:t>, pp.1–14. Available at: https://doi.org/10.1080/17439884.2023.2237883 .</w:t>
      </w:r>
    </w:p>
    <w:p w14:paraId="7B31984F" w14:textId="2CB5987F"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Sala, A., Porcaro, L. and Gómez, E. (2024) 'Social Media Use and adolescents' mental health and wellbeing: An umbrella review', </w:t>
      </w:r>
      <w:r w:rsidRPr="0063015D">
        <w:rPr>
          <w:rFonts w:ascii="Arial" w:hAnsi="Arial" w:cs="Arial"/>
          <w:i/>
          <w:iCs/>
          <w:color w:val="000000" w:themeColor="text1"/>
          <w:sz w:val="22"/>
          <w:szCs w:val="22"/>
        </w:rPr>
        <w:t>Computers in Human Behavior Reports</w:t>
      </w:r>
      <w:r w:rsidRPr="0063015D">
        <w:rPr>
          <w:rFonts w:ascii="Arial" w:hAnsi="Arial" w:cs="Arial"/>
          <w:color w:val="000000" w:themeColor="text1"/>
          <w:sz w:val="22"/>
          <w:szCs w:val="22"/>
        </w:rPr>
        <w:t>,14(14), pp.100404–100404. Available at: https://doi.org/10.1016/j.chbr.2024.100404 .</w:t>
      </w:r>
    </w:p>
    <w:p w14:paraId="38ACFF04" w14:textId="0F8076F1"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Timotheou, S., Miliou, O., Dimitriadis, Y., Sobrino, S.V., Giannoutsou, N., Cachia, R., Monés, A.M. and Ioannou, A. (2022) 'Impacts of digital technologies on education and factors </w:t>
      </w:r>
      <w:r w:rsidRPr="0063015D">
        <w:rPr>
          <w:rFonts w:ascii="Arial" w:hAnsi="Arial" w:cs="Arial"/>
          <w:color w:val="000000" w:themeColor="text1"/>
          <w:sz w:val="22"/>
          <w:szCs w:val="22"/>
        </w:rPr>
        <w:lastRenderedPageBreak/>
        <w:t>influencing schools' digital capacity and transformation: A literature review', </w:t>
      </w:r>
      <w:r w:rsidRPr="0063015D">
        <w:rPr>
          <w:rFonts w:ascii="Arial" w:hAnsi="Arial" w:cs="Arial"/>
          <w:i/>
          <w:iCs/>
          <w:color w:val="000000" w:themeColor="text1"/>
          <w:sz w:val="22"/>
          <w:szCs w:val="22"/>
        </w:rPr>
        <w:t>Education and Information Technologies</w:t>
      </w:r>
      <w:r w:rsidRPr="0063015D">
        <w:rPr>
          <w:rFonts w:ascii="Arial" w:hAnsi="Arial" w:cs="Arial"/>
          <w:color w:val="000000" w:themeColor="text1"/>
          <w:sz w:val="22"/>
          <w:szCs w:val="22"/>
        </w:rPr>
        <w:t>,28(28), pp.6695–6726. Available at: https://doi.org/10.1007/s10639-022-11431-8 .</w:t>
      </w:r>
    </w:p>
    <w:p w14:paraId="5FC02115" w14:textId="77BC3944"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Tong, P. and An, I.S. (2024) 'Review of studies applying Bronfenbrenner's bioecological theory in international and intercultural education research', </w:t>
      </w:r>
      <w:r w:rsidRPr="0063015D">
        <w:rPr>
          <w:rFonts w:ascii="Arial" w:hAnsi="Arial" w:cs="Arial"/>
          <w:i/>
          <w:iCs/>
          <w:color w:val="000000" w:themeColor="text1"/>
          <w:sz w:val="22"/>
          <w:szCs w:val="22"/>
        </w:rPr>
        <w:t>Frontiers in Psychology</w:t>
      </w:r>
      <w:r w:rsidRPr="0063015D">
        <w:rPr>
          <w:rFonts w:ascii="Arial" w:hAnsi="Arial" w:cs="Arial"/>
          <w:color w:val="000000" w:themeColor="text1"/>
          <w:sz w:val="22"/>
          <w:szCs w:val="22"/>
        </w:rPr>
        <w:t>, 14(14), pp.1–17. Available at: https://doi.org/10.3389/fpsyg.2023.1233925 .</w:t>
      </w:r>
    </w:p>
    <w:p w14:paraId="68C1FA4B" w14:textId="77777777"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 xml:space="preserve">UK Government (2024) </w:t>
      </w:r>
      <w:r w:rsidRPr="0063015D">
        <w:rPr>
          <w:rFonts w:ascii="Arial" w:hAnsi="Arial" w:cs="Arial"/>
          <w:i/>
          <w:iCs/>
          <w:color w:val="000000" w:themeColor="text1"/>
          <w:sz w:val="22"/>
          <w:szCs w:val="22"/>
        </w:rPr>
        <w:t>Online Safety Act: explainer</w:t>
      </w:r>
      <w:r w:rsidRPr="0063015D">
        <w:rPr>
          <w:rFonts w:ascii="Arial" w:hAnsi="Arial" w:cs="Arial"/>
          <w:color w:val="000000" w:themeColor="text1"/>
          <w:sz w:val="22"/>
          <w:szCs w:val="22"/>
        </w:rPr>
        <w:t>. Available at: https://www.gov.uk/government/publications/online-safety-act-explainer/online-safety-act-explainer (Accessed 07 March 2026).</w:t>
      </w:r>
    </w:p>
    <w:p w14:paraId="74ABFD03" w14:textId="45E803EC"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Valkenburg, P., Beyens, I., Pouwels, J.L., van Driel, I.I. and Keijsers, L. (2021) 'Social Media Use and Adolescents' Self-Esteem: Heading for a Person-Specific Media Effects Paradigm', </w:t>
      </w:r>
      <w:r w:rsidRPr="0063015D">
        <w:rPr>
          <w:rFonts w:ascii="Arial" w:hAnsi="Arial" w:cs="Arial"/>
          <w:i/>
          <w:iCs/>
          <w:color w:val="000000" w:themeColor="text1"/>
          <w:sz w:val="22"/>
          <w:szCs w:val="22"/>
        </w:rPr>
        <w:t>Journal of Communication</w:t>
      </w:r>
      <w:r w:rsidRPr="0063015D">
        <w:rPr>
          <w:rFonts w:ascii="Arial" w:hAnsi="Arial" w:cs="Arial"/>
          <w:color w:val="000000" w:themeColor="text1"/>
          <w:sz w:val="22"/>
          <w:szCs w:val="22"/>
        </w:rPr>
        <w:t>, 71(1), pp.56–78. Available at: https://doi.org/10.1093/joc/jqaa039 .</w:t>
      </w:r>
    </w:p>
    <w:p w14:paraId="477A3AD7" w14:textId="2AFE9689" w:rsidR="00F42C71" w:rsidRPr="0063015D" w:rsidRDefault="00F42C71" w:rsidP="0063015D">
      <w:pPr>
        <w:pStyle w:val="NormalWeb"/>
        <w:shd w:val="clear" w:color="auto" w:fill="FFFFFF" w:themeFill="background1"/>
        <w:spacing w:before="240" w:beforeAutospacing="0" w:after="240" w:afterAutospacing="0" w:line="360" w:lineRule="auto"/>
        <w:jc w:val="both"/>
        <w:rPr>
          <w:rFonts w:ascii="Arial" w:hAnsi="Arial" w:cs="Arial"/>
          <w:color w:val="000000" w:themeColor="text1"/>
          <w:sz w:val="22"/>
          <w:szCs w:val="22"/>
        </w:rPr>
      </w:pPr>
      <w:r w:rsidRPr="0063015D">
        <w:rPr>
          <w:rFonts w:ascii="Arial" w:hAnsi="Arial" w:cs="Arial"/>
          <w:color w:val="000000" w:themeColor="text1"/>
          <w:sz w:val="22"/>
          <w:szCs w:val="22"/>
        </w:rPr>
        <w:t>Villena-Taranilla, R., Tirado-Olivares, S., Cózar-Gutiérrez, R. and González-Calero, J.A. (2022) 'Effects of Virtual Reality on Learning Outcomes in K-6 education: a meta-analysis', </w:t>
      </w:r>
      <w:r w:rsidRPr="0063015D">
        <w:rPr>
          <w:rFonts w:ascii="Arial" w:hAnsi="Arial" w:cs="Arial"/>
          <w:i/>
          <w:iCs/>
          <w:color w:val="000000" w:themeColor="text1"/>
          <w:sz w:val="22"/>
          <w:szCs w:val="22"/>
        </w:rPr>
        <w:t>Educational Research Review</w:t>
      </w:r>
      <w:r w:rsidRPr="0063015D">
        <w:rPr>
          <w:rFonts w:ascii="Arial" w:hAnsi="Arial" w:cs="Arial"/>
          <w:color w:val="000000" w:themeColor="text1"/>
          <w:sz w:val="22"/>
          <w:szCs w:val="22"/>
        </w:rPr>
        <w:t>, 35(35), p.100434. Available at: https://doi.org/10.1016/j.edurev.2022.100434 .</w:t>
      </w:r>
    </w:p>
    <w:p w14:paraId="6911EECA" w14:textId="77777777" w:rsidR="00B363EC" w:rsidRPr="0063015D" w:rsidRDefault="00B363EC" w:rsidP="0063015D">
      <w:pPr>
        <w:shd w:val="clear" w:color="auto" w:fill="FFFFFF" w:themeFill="background1"/>
        <w:spacing w:line="360" w:lineRule="auto"/>
        <w:rPr>
          <w:rFonts w:ascii="Arial" w:hAnsi="Arial" w:cs="Arial"/>
          <w:color w:val="000000" w:themeColor="text1"/>
          <w:sz w:val="22"/>
          <w:szCs w:val="22"/>
        </w:rPr>
      </w:pPr>
    </w:p>
    <w:sectPr w:rsidR="00B363EC" w:rsidRPr="00630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1MDI0MzMxtTA1NzZQ0lEKTi0uzszPAykwNKwFAIBGL6gtAAAA"/>
  </w:docVars>
  <w:rsids>
    <w:rsidRoot w:val="0050295F"/>
    <w:rsid w:val="00003175"/>
    <w:rsid w:val="00007664"/>
    <w:rsid w:val="00026098"/>
    <w:rsid w:val="00040F9A"/>
    <w:rsid w:val="00063815"/>
    <w:rsid w:val="00091F94"/>
    <w:rsid w:val="00092891"/>
    <w:rsid w:val="000A0B62"/>
    <w:rsid w:val="000E4628"/>
    <w:rsid w:val="00111CFC"/>
    <w:rsid w:val="00182B2A"/>
    <w:rsid w:val="0019045E"/>
    <w:rsid w:val="001A6F62"/>
    <w:rsid w:val="001B6FFC"/>
    <w:rsid w:val="001C703E"/>
    <w:rsid w:val="001C7BA1"/>
    <w:rsid w:val="001D4357"/>
    <w:rsid w:val="001E16BC"/>
    <w:rsid w:val="001F7117"/>
    <w:rsid w:val="00205407"/>
    <w:rsid w:val="00205EB0"/>
    <w:rsid w:val="002172B1"/>
    <w:rsid w:val="00250458"/>
    <w:rsid w:val="00294148"/>
    <w:rsid w:val="002976D9"/>
    <w:rsid w:val="002A6FAA"/>
    <w:rsid w:val="002C25BA"/>
    <w:rsid w:val="002C56AD"/>
    <w:rsid w:val="002D7169"/>
    <w:rsid w:val="002F5BF3"/>
    <w:rsid w:val="00300F17"/>
    <w:rsid w:val="00330336"/>
    <w:rsid w:val="00336199"/>
    <w:rsid w:val="00347402"/>
    <w:rsid w:val="00353AD0"/>
    <w:rsid w:val="00354692"/>
    <w:rsid w:val="00354719"/>
    <w:rsid w:val="00374F46"/>
    <w:rsid w:val="003A549D"/>
    <w:rsid w:val="003B3C23"/>
    <w:rsid w:val="003C06C7"/>
    <w:rsid w:val="003C222C"/>
    <w:rsid w:val="003C2664"/>
    <w:rsid w:val="004158E6"/>
    <w:rsid w:val="00427B05"/>
    <w:rsid w:val="00442660"/>
    <w:rsid w:val="00445264"/>
    <w:rsid w:val="00467617"/>
    <w:rsid w:val="00476F61"/>
    <w:rsid w:val="0048461C"/>
    <w:rsid w:val="004A440C"/>
    <w:rsid w:val="004A5F14"/>
    <w:rsid w:val="004D2E41"/>
    <w:rsid w:val="0050295F"/>
    <w:rsid w:val="0050430B"/>
    <w:rsid w:val="00525711"/>
    <w:rsid w:val="00526161"/>
    <w:rsid w:val="005559A8"/>
    <w:rsid w:val="00557908"/>
    <w:rsid w:val="00570DD8"/>
    <w:rsid w:val="0058702B"/>
    <w:rsid w:val="00593C5E"/>
    <w:rsid w:val="005B760D"/>
    <w:rsid w:val="0060232A"/>
    <w:rsid w:val="0060477F"/>
    <w:rsid w:val="00617EA5"/>
    <w:rsid w:val="0063015D"/>
    <w:rsid w:val="006542DB"/>
    <w:rsid w:val="006638CD"/>
    <w:rsid w:val="00663ECE"/>
    <w:rsid w:val="00693C40"/>
    <w:rsid w:val="00695B0B"/>
    <w:rsid w:val="0069602A"/>
    <w:rsid w:val="006A0A6F"/>
    <w:rsid w:val="006B30B2"/>
    <w:rsid w:val="006B5FE1"/>
    <w:rsid w:val="006B60F1"/>
    <w:rsid w:val="006E5FE2"/>
    <w:rsid w:val="0070698B"/>
    <w:rsid w:val="00762674"/>
    <w:rsid w:val="00763EE1"/>
    <w:rsid w:val="007725B6"/>
    <w:rsid w:val="00786248"/>
    <w:rsid w:val="007A736A"/>
    <w:rsid w:val="007B1401"/>
    <w:rsid w:val="007B1DA3"/>
    <w:rsid w:val="007C5DC2"/>
    <w:rsid w:val="007D7EA0"/>
    <w:rsid w:val="007E1883"/>
    <w:rsid w:val="007E474B"/>
    <w:rsid w:val="0083261B"/>
    <w:rsid w:val="00836286"/>
    <w:rsid w:val="00842661"/>
    <w:rsid w:val="0085474B"/>
    <w:rsid w:val="00855C56"/>
    <w:rsid w:val="00862527"/>
    <w:rsid w:val="00870645"/>
    <w:rsid w:val="00883CE9"/>
    <w:rsid w:val="008A6AC9"/>
    <w:rsid w:val="008B08D6"/>
    <w:rsid w:val="008C2B98"/>
    <w:rsid w:val="008C709B"/>
    <w:rsid w:val="008D3205"/>
    <w:rsid w:val="008E7BF2"/>
    <w:rsid w:val="00902A4B"/>
    <w:rsid w:val="00933DB2"/>
    <w:rsid w:val="00945DAA"/>
    <w:rsid w:val="00950E00"/>
    <w:rsid w:val="00957737"/>
    <w:rsid w:val="00992DC4"/>
    <w:rsid w:val="009A564E"/>
    <w:rsid w:val="009B2B0A"/>
    <w:rsid w:val="009B3E89"/>
    <w:rsid w:val="00A22543"/>
    <w:rsid w:val="00A65734"/>
    <w:rsid w:val="00A71280"/>
    <w:rsid w:val="00A80462"/>
    <w:rsid w:val="00A80691"/>
    <w:rsid w:val="00A921C0"/>
    <w:rsid w:val="00A9608C"/>
    <w:rsid w:val="00A97166"/>
    <w:rsid w:val="00AA10C9"/>
    <w:rsid w:val="00AB488A"/>
    <w:rsid w:val="00AC6DB2"/>
    <w:rsid w:val="00AE1179"/>
    <w:rsid w:val="00AE60EE"/>
    <w:rsid w:val="00B0621F"/>
    <w:rsid w:val="00B17C1B"/>
    <w:rsid w:val="00B32B81"/>
    <w:rsid w:val="00B363EC"/>
    <w:rsid w:val="00B47D86"/>
    <w:rsid w:val="00B57F4F"/>
    <w:rsid w:val="00B67704"/>
    <w:rsid w:val="00B750BD"/>
    <w:rsid w:val="00BD7A4D"/>
    <w:rsid w:val="00BF2A6A"/>
    <w:rsid w:val="00C15E7F"/>
    <w:rsid w:val="00C34EE0"/>
    <w:rsid w:val="00C5333D"/>
    <w:rsid w:val="00C70B1E"/>
    <w:rsid w:val="00C72AB9"/>
    <w:rsid w:val="00C87D2D"/>
    <w:rsid w:val="00CA3738"/>
    <w:rsid w:val="00CB79EE"/>
    <w:rsid w:val="00CD3B7E"/>
    <w:rsid w:val="00CE1663"/>
    <w:rsid w:val="00CE7CC7"/>
    <w:rsid w:val="00CF28EB"/>
    <w:rsid w:val="00D0022E"/>
    <w:rsid w:val="00D53E21"/>
    <w:rsid w:val="00D542F9"/>
    <w:rsid w:val="00D652A9"/>
    <w:rsid w:val="00D727AD"/>
    <w:rsid w:val="00D93573"/>
    <w:rsid w:val="00DA55B3"/>
    <w:rsid w:val="00DA6E37"/>
    <w:rsid w:val="00DA7CD4"/>
    <w:rsid w:val="00DB4FFB"/>
    <w:rsid w:val="00DB5023"/>
    <w:rsid w:val="00DD5360"/>
    <w:rsid w:val="00DF49F1"/>
    <w:rsid w:val="00E04907"/>
    <w:rsid w:val="00E30DB7"/>
    <w:rsid w:val="00E80FE1"/>
    <w:rsid w:val="00E85E21"/>
    <w:rsid w:val="00E96CC7"/>
    <w:rsid w:val="00E9727B"/>
    <w:rsid w:val="00EA50D0"/>
    <w:rsid w:val="00EA649A"/>
    <w:rsid w:val="00ED6CBE"/>
    <w:rsid w:val="00ED6EB3"/>
    <w:rsid w:val="00EE093B"/>
    <w:rsid w:val="00EE30C3"/>
    <w:rsid w:val="00EF4A5C"/>
    <w:rsid w:val="00F22EE8"/>
    <w:rsid w:val="00F42C71"/>
    <w:rsid w:val="00F4364B"/>
    <w:rsid w:val="00F6103F"/>
    <w:rsid w:val="00F63CD5"/>
    <w:rsid w:val="00F760EA"/>
    <w:rsid w:val="00F9132E"/>
    <w:rsid w:val="00FC0CBF"/>
    <w:rsid w:val="00FE5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BB896"/>
  <w15:chartTrackingRefBased/>
  <w15:docId w15:val="{B514A37E-B90A-4BC9-A90F-A225C541A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9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29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029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9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9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9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9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9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9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9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29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029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9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9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9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9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9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95F"/>
    <w:rPr>
      <w:rFonts w:eastAsiaTheme="majorEastAsia" w:cstheme="majorBidi"/>
      <w:color w:val="272727" w:themeColor="text1" w:themeTint="D8"/>
    </w:rPr>
  </w:style>
  <w:style w:type="paragraph" w:styleId="Title">
    <w:name w:val="Title"/>
    <w:basedOn w:val="Normal"/>
    <w:next w:val="Normal"/>
    <w:link w:val="TitleChar"/>
    <w:uiPriority w:val="10"/>
    <w:qFormat/>
    <w:rsid w:val="005029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9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95F"/>
    <w:pPr>
      <w:spacing w:before="160"/>
      <w:jc w:val="center"/>
    </w:pPr>
    <w:rPr>
      <w:i/>
      <w:iCs/>
      <w:color w:val="404040" w:themeColor="text1" w:themeTint="BF"/>
    </w:rPr>
  </w:style>
  <w:style w:type="character" w:customStyle="1" w:styleId="QuoteChar">
    <w:name w:val="Quote Char"/>
    <w:basedOn w:val="DefaultParagraphFont"/>
    <w:link w:val="Quote"/>
    <w:uiPriority w:val="29"/>
    <w:rsid w:val="0050295F"/>
    <w:rPr>
      <w:i/>
      <w:iCs/>
      <w:color w:val="404040" w:themeColor="text1" w:themeTint="BF"/>
    </w:rPr>
  </w:style>
  <w:style w:type="paragraph" w:styleId="ListParagraph">
    <w:name w:val="List Paragraph"/>
    <w:basedOn w:val="Normal"/>
    <w:uiPriority w:val="34"/>
    <w:qFormat/>
    <w:rsid w:val="0050295F"/>
    <w:pPr>
      <w:ind w:left="720"/>
      <w:contextualSpacing/>
    </w:pPr>
  </w:style>
  <w:style w:type="character" w:styleId="IntenseEmphasis">
    <w:name w:val="Intense Emphasis"/>
    <w:basedOn w:val="DefaultParagraphFont"/>
    <w:uiPriority w:val="21"/>
    <w:qFormat/>
    <w:rsid w:val="0050295F"/>
    <w:rPr>
      <w:i/>
      <w:iCs/>
      <w:color w:val="0F4761" w:themeColor="accent1" w:themeShade="BF"/>
    </w:rPr>
  </w:style>
  <w:style w:type="paragraph" w:styleId="IntenseQuote">
    <w:name w:val="Intense Quote"/>
    <w:basedOn w:val="Normal"/>
    <w:next w:val="Normal"/>
    <w:link w:val="IntenseQuoteChar"/>
    <w:uiPriority w:val="30"/>
    <w:qFormat/>
    <w:rsid w:val="005029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95F"/>
    <w:rPr>
      <w:i/>
      <w:iCs/>
      <w:color w:val="0F4761" w:themeColor="accent1" w:themeShade="BF"/>
    </w:rPr>
  </w:style>
  <w:style w:type="character" w:styleId="IntenseReference">
    <w:name w:val="Intense Reference"/>
    <w:basedOn w:val="DefaultParagraphFont"/>
    <w:uiPriority w:val="32"/>
    <w:qFormat/>
    <w:rsid w:val="0050295F"/>
    <w:rPr>
      <w:b/>
      <w:bCs/>
      <w:smallCaps/>
      <w:color w:val="0F4761" w:themeColor="accent1" w:themeShade="BF"/>
      <w:spacing w:val="5"/>
    </w:rPr>
  </w:style>
  <w:style w:type="paragraph" w:styleId="NormalWeb">
    <w:name w:val="Normal (Web)"/>
    <w:basedOn w:val="Normal"/>
    <w:uiPriority w:val="99"/>
    <w:unhideWhenUsed/>
    <w:rsid w:val="005029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C5D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262</TotalTime>
  <Pages>10</Pages>
  <Words>3598</Words>
  <Characters>20511</Characters>
  <Application>Microsoft Office Word</Application>
  <DocSecurity>0</DocSecurity>
  <Lines>170</Lines>
  <Paragraphs>48</Paragraphs>
  <ScaleCrop>false</ScaleCrop>
  <Company/>
  <LinksUpToDate>false</LinksUpToDate>
  <CharactersWithSpaces>24061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Tanase</dc:creator>
  <cp:keywords/>
  <dc:description/>
  <cp:lastModifiedBy>Ana Tanase</cp:lastModifiedBy>
  <cp:revision>147</cp:revision>
  <dcterms:created xsi:type="dcterms:W3CDTF">2026-02-28T17:45:00Z</dcterms:created>
  <dcterms:modified xsi:type="dcterms:W3CDTF">2026-03-11T16:35:00Z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855a09a8-fcd1-4ec5-bf85-8a1110becf43</vt:lpwstr>
  </property>
</Properties>
</file>